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35388" w14:textId="77777777" w:rsidR="00EE2DEB" w:rsidRPr="00191C75" w:rsidRDefault="00625939" w:rsidP="00EE2DEB">
      <w:pPr>
        <w:spacing w:after="0" w:line="240" w:lineRule="auto"/>
        <w:jc w:val="center"/>
        <w:rPr>
          <w:rFonts w:ascii="Times New Roman" w:hAnsi="Times New Roman"/>
          <w:b/>
          <w:sz w:val="24"/>
          <w:szCs w:val="24"/>
        </w:rPr>
      </w:pPr>
      <w:bookmarkStart w:id="0" w:name="_GoBack"/>
      <w:bookmarkEnd w:id="0"/>
      <w:r w:rsidRPr="00191C75">
        <w:rPr>
          <w:rFonts w:ascii="Times New Roman" w:hAnsi="Times New Roman"/>
          <w:b/>
          <w:sz w:val="24"/>
          <w:szCs w:val="24"/>
        </w:rPr>
        <w:t xml:space="preserve">A Participação </w:t>
      </w:r>
      <w:r w:rsidR="003E49D5" w:rsidRPr="00191C75">
        <w:rPr>
          <w:rFonts w:ascii="Times New Roman" w:hAnsi="Times New Roman"/>
          <w:b/>
          <w:sz w:val="24"/>
          <w:szCs w:val="24"/>
        </w:rPr>
        <w:t>d</w:t>
      </w:r>
      <w:r w:rsidRPr="00191C75">
        <w:rPr>
          <w:rFonts w:ascii="Times New Roman" w:hAnsi="Times New Roman"/>
          <w:b/>
          <w:sz w:val="24"/>
          <w:szCs w:val="24"/>
        </w:rPr>
        <w:t xml:space="preserve">e Fundos </w:t>
      </w:r>
      <w:r w:rsidR="003E49D5" w:rsidRPr="00191C75">
        <w:rPr>
          <w:rFonts w:ascii="Times New Roman" w:hAnsi="Times New Roman"/>
          <w:b/>
          <w:sz w:val="24"/>
          <w:szCs w:val="24"/>
        </w:rPr>
        <w:t>d</w:t>
      </w:r>
      <w:r w:rsidRPr="00191C75">
        <w:rPr>
          <w:rFonts w:ascii="Times New Roman" w:hAnsi="Times New Roman"/>
          <w:b/>
          <w:sz w:val="24"/>
          <w:szCs w:val="24"/>
        </w:rPr>
        <w:t xml:space="preserve">e </w:t>
      </w:r>
      <w:r w:rsidRPr="00191C75">
        <w:rPr>
          <w:rFonts w:ascii="Times New Roman" w:hAnsi="Times New Roman"/>
          <w:b/>
          <w:i/>
          <w:sz w:val="24"/>
          <w:szCs w:val="24"/>
        </w:rPr>
        <w:t>Venture Capital</w:t>
      </w:r>
      <w:r w:rsidRPr="00191C75">
        <w:rPr>
          <w:rFonts w:ascii="Times New Roman" w:hAnsi="Times New Roman"/>
          <w:b/>
          <w:sz w:val="24"/>
          <w:szCs w:val="24"/>
        </w:rPr>
        <w:t xml:space="preserve"> </w:t>
      </w:r>
      <w:r w:rsidR="003E49D5" w:rsidRPr="00191C75">
        <w:rPr>
          <w:rFonts w:ascii="Times New Roman" w:hAnsi="Times New Roman"/>
          <w:b/>
          <w:sz w:val="24"/>
          <w:szCs w:val="24"/>
        </w:rPr>
        <w:t>e</w:t>
      </w:r>
      <w:r w:rsidRPr="00191C75">
        <w:rPr>
          <w:rFonts w:ascii="Times New Roman" w:hAnsi="Times New Roman"/>
          <w:b/>
          <w:sz w:val="24"/>
          <w:szCs w:val="24"/>
        </w:rPr>
        <w:t xml:space="preserve"> </w:t>
      </w:r>
      <w:r w:rsidRPr="00191C75">
        <w:rPr>
          <w:rFonts w:ascii="Times New Roman" w:hAnsi="Times New Roman"/>
          <w:b/>
          <w:i/>
          <w:sz w:val="24"/>
          <w:szCs w:val="24"/>
        </w:rPr>
        <w:t>Private Equity</w:t>
      </w:r>
      <w:r w:rsidRPr="00191C75">
        <w:rPr>
          <w:rFonts w:ascii="Times New Roman" w:hAnsi="Times New Roman"/>
          <w:b/>
          <w:sz w:val="24"/>
          <w:szCs w:val="24"/>
        </w:rPr>
        <w:t xml:space="preserve"> Adiciona</w:t>
      </w:r>
    </w:p>
    <w:p w14:paraId="394DE37C" w14:textId="51E170DB" w:rsidR="00A74B9A" w:rsidRPr="00191C75" w:rsidRDefault="00625939" w:rsidP="00EE2DEB">
      <w:pPr>
        <w:spacing w:after="0" w:line="240" w:lineRule="auto"/>
        <w:jc w:val="center"/>
        <w:rPr>
          <w:rFonts w:ascii="Times New Roman" w:hAnsi="Times New Roman"/>
          <w:b/>
          <w:sz w:val="24"/>
          <w:szCs w:val="24"/>
        </w:rPr>
      </w:pPr>
      <w:r w:rsidRPr="00191C75">
        <w:rPr>
          <w:rFonts w:ascii="Times New Roman" w:hAnsi="Times New Roman"/>
          <w:b/>
          <w:sz w:val="24"/>
          <w:szCs w:val="24"/>
        </w:rPr>
        <w:t xml:space="preserve">Valor </w:t>
      </w:r>
      <w:r w:rsidR="003E49D5" w:rsidRPr="00191C75">
        <w:rPr>
          <w:rFonts w:ascii="Times New Roman" w:hAnsi="Times New Roman"/>
          <w:b/>
          <w:sz w:val="24"/>
          <w:szCs w:val="24"/>
        </w:rPr>
        <w:t>à</w:t>
      </w:r>
      <w:r w:rsidRPr="00191C75">
        <w:rPr>
          <w:rFonts w:ascii="Times New Roman" w:hAnsi="Times New Roman"/>
          <w:b/>
          <w:sz w:val="24"/>
          <w:szCs w:val="24"/>
        </w:rPr>
        <w:t xml:space="preserve">s Empresas Brasileiras? Um Estudo </w:t>
      </w:r>
      <w:r w:rsidR="003E49D5" w:rsidRPr="00191C75">
        <w:rPr>
          <w:rFonts w:ascii="Times New Roman" w:hAnsi="Times New Roman"/>
          <w:b/>
          <w:sz w:val="24"/>
          <w:szCs w:val="24"/>
        </w:rPr>
        <w:t>s</w:t>
      </w:r>
      <w:r w:rsidRPr="00191C75">
        <w:rPr>
          <w:rFonts w:ascii="Times New Roman" w:hAnsi="Times New Roman"/>
          <w:b/>
          <w:sz w:val="24"/>
          <w:szCs w:val="24"/>
        </w:rPr>
        <w:t>obre IPOs</w:t>
      </w:r>
    </w:p>
    <w:p w14:paraId="7C1CE13D" w14:textId="7264F710" w:rsidR="00A74B9A" w:rsidRPr="00191C75" w:rsidRDefault="00A74B9A" w:rsidP="003E49D5">
      <w:pPr>
        <w:spacing w:after="0" w:line="240" w:lineRule="auto"/>
        <w:jc w:val="center"/>
        <w:rPr>
          <w:rFonts w:ascii="Times New Roman" w:hAnsi="Times New Roman"/>
          <w:b/>
          <w:sz w:val="24"/>
          <w:szCs w:val="24"/>
        </w:rPr>
      </w:pPr>
    </w:p>
    <w:p w14:paraId="5C1FD6FF" w14:textId="29DB0CD7" w:rsidR="00B20A46" w:rsidRPr="00191C75" w:rsidRDefault="00B20A46" w:rsidP="00B20A46">
      <w:pPr>
        <w:spacing w:after="0" w:line="240" w:lineRule="auto"/>
        <w:jc w:val="center"/>
        <w:rPr>
          <w:rFonts w:ascii="Times New Roman" w:hAnsi="Times New Roman"/>
          <w:b/>
          <w:i/>
          <w:sz w:val="24"/>
          <w:szCs w:val="24"/>
        </w:rPr>
      </w:pPr>
      <w:r w:rsidRPr="00191C75">
        <w:rPr>
          <w:rFonts w:ascii="Times New Roman" w:hAnsi="Times New Roman"/>
          <w:b/>
          <w:i/>
          <w:sz w:val="24"/>
          <w:szCs w:val="24"/>
          <w:lang w:val="en-US"/>
        </w:rPr>
        <w:t xml:space="preserve">Do Venture Capital and Private Equity </w:t>
      </w:r>
      <w:r w:rsidR="00315575" w:rsidRPr="00191C75">
        <w:rPr>
          <w:rFonts w:ascii="Times New Roman" w:hAnsi="Times New Roman"/>
          <w:b/>
          <w:i/>
          <w:sz w:val="24"/>
          <w:szCs w:val="24"/>
          <w:lang w:val="en-US"/>
        </w:rPr>
        <w:t>F</w:t>
      </w:r>
      <w:r w:rsidRPr="00191C75">
        <w:rPr>
          <w:rFonts w:ascii="Times New Roman" w:hAnsi="Times New Roman"/>
          <w:b/>
          <w:i/>
          <w:sz w:val="24"/>
          <w:szCs w:val="24"/>
          <w:lang w:val="en-US"/>
        </w:rPr>
        <w:t xml:space="preserve">unds </w:t>
      </w:r>
      <w:r w:rsidR="00315575" w:rsidRPr="00191C75">
        <w:rPr>
          <w:rFonts w:ascii="Times New Roman" w:hAnsi="Times New Roman"/>
          <w:b/>
          <w:i/>
          <w:sz w:val="24"/>
          <w:szCs w:val="24"/>
          <w:lang w:val="en-US"/>
        </w:rPr>
        <w:t>A</w:t>
      </w:r>
      <w:r w:rsidRPr="00191C75">
        <w:rPr>
          <w:rFonts w:ascii="Times New Roman" w:hAnsi="Times New Roman"/>
          <w:b/>
          <w:i/>
          <w:sz w:val="24"/>
          <w:szCs w:val="24"/>
          <w:lang w:val="en-US"/>
        </w:rPr>
        <w:t xml:space="preserve">dd </w:t>
      </w:r>
      <w:r w:rsidR="00315575" w:rsidRPr="00191C75">
        <w:rPr>
          <w:rFonts w:ascii="Times New Roman" w:hAnsi="Times New Roman"/>
          <w:b/>
          <w:i/>
          <w:sz w:val="24"/>
          <w:szCs w:val="24"/>
          <w:lang w:val="en-US"/>
        </w:rPr>
        <w:t>V</w:t>
      </w:r>
      <w:r w:rsidRPr="00191C75">
        <w:rPr>
          <w:rFonts w:ascii="Times New Roman" w:hAnsi="Times New Roman"/>
          <w:b/>
          <w:i/>
          <w:sz w:val="24"/>
          <w:szCs w:val="24"/>
          <w:lang w:val="en-US"/>
        </w:rPr>
        <w:t xml:space="preserve">alue to Brazilian </w:t>
      </w:r>
      <w:r w:rsidR="00315575" w:rsidRPr="00191C75">
        <w:rPr>
          <w:rFonts w:ascii="Times New Roman" w:hAnsi="Times New Roman"/>
          <w:b/>
          <w:i/>
          <w:sz w:val="24"/>
          <w:szCs w:val="24"/>
          <w:lang w:val="en-US"/>
        </w:rPr>
        <w:t>C</w:t>
      </w:r>
      <w:r w:rsidRPr="00191C75">
        <w:rPr>
          <w:rFonts w:ascii="Times New Roman" w:hAnsi="Times New Roman"/>
          <w:b/>
          <w:i/>
          <w:sz w:val="24"/>
          <w:szCs w:val="24"/>
          <w:lang w:val="en-US"/>
        </w:rPr>
        <w:t xml:space="preserve">ompanies? </w:t>
      </w:r>
      <w:r w:rsidRPr="00191C75">
        <w:rPr>
          <w:rFonts w:ascii="Times New Roman" w:hAnsi="Times New Roman"/>
          <w:b/>
          <w:i/>
          <w:sz w:val="24"/>
          <w:szCs w:val="24"/>
        </w:rPr>
        <w:t xml:space="preserve">A </w:t>
      </w:r>
      <w:proofErr w:type="spellStart"/>
      <w:r w:rsidR="00315575" w:rsidRPr="00191C75">
        <w:rPr>
          <w:rFonts w:ascii="Times New Roman" w:hAnsi="Times New Roman"/>
          <w:b/>
          <w:i/>
          <w:sz w:val="24"/>
          <w:szCs w:val="24"/>
        </w:rPr>
        <w:t>S</w:t>
      </w:r>
      <w:r w:rsidRPr="00191C75">
        <w:rPr>
          <w:rFonts w:ascii="Times New Roman" w:hAnsi="Times New Roman"/>
          <w:b/>
          <w:i/>
          <w:sz w:val="24"/>
          <w:szCs w:val="24"/>
        </w:rPr>
        <w:t>tudy</w:t>
      </w:r>
      <w:proofErr w:type="spellEnd"/>
      <w:r w:rsidRPr="00191C75">
        <w:rPr>
          <w:rFonts w:ascii="Times New Roman" w:hAnsi="Times New Roman"/>
          <w:b/>
          <w:i/>
          <w:sz w:val="24"/>
          <w:szCs w:val="24"/>
        </w:rPr>
        <w:t xml:space="preserve"> </w:t>
      </w:r>
      <w:proofErr w:type="spellStart"/>
      <w:r w:rsidRPr="00191C75">
        <w:rPr>
          <w:rFonts w:ascii="Times New Roman" w:hAnsi="Times New Roman"/>
          <w:b/>
          <w:i/>
          <w:sz w:val="24"/>
          <w:szCs w:val="24"/>
        </w:rPr>
        <w:t>on</w:t>
      </w:r>
      <w:proofErr w:type="spellEnd"/>
      <w:r w:rsidRPr="00191C75">
        <w:rPr>
          <w:rFonts w:ascii="Times New Roman" w:hAnsi="Times New Roman"/>
          <w:b/>
          <w:i/>
          <w:sz w:val="24"/>
          <w:szCs w:val="24"/>
        </w:rPr>
        <w:t xml:space="preserve"> IPOs</w:t>
      </w:r>
    </w:p>
    <w:p w14:paraId="26671866" w14:textId="77777777" w:rsidR="00B20A46" w:rsidRPr="00191C75" w:rsidRDefault="00B20A46" w:rsidP="003E49D5">
      <w:pPr>
        <w:spacing w:after="0" w:line="240" w:lineRule="auto"/>
        <w:jc w:val="center"/>
        <w:rPr>
          <w:rFonts w:ascii="Times New Roman" w:hAnsi="Times New Roman"/>
          <w:b/>
          <w:sz w:val="24"/>
          <w:szCs w:val="24"/>
        </w:rPr>
      </w:pPr>
    </w:p>
    <w:p w14:paraId="7AF9CF27" w14:textId="0BFCF81A" w:rsidR="00A74B9A" w:rsidRPr="00191C75" w:rsidRDefault="00B20A46" w:rsidP="00B20A46">
      <w:pPr>
        <w:spacing w:after="0" w:line="240" w:lineRule="auto"/>
        <w:jc w:val="center"/>
        <w:rPr>
          <w:rFonts w:ascii="Times New Roman" w:hAnsi="Times New Roman"/>
          <w:b/>
          <w:sz w:val="24"/>
          <w:szCs w:val="24"/>
        </w:rPr>
      </w:pPr>
      <w:r w:rsidRPr="00191C75">
        <w:rPr>
          <w:rFonts w:ascii="Times New Roman" w:hAnsi="Times New Roman"/>
          <w:b/>
          <w:sz w:val="24"/>
          <w:szCs w:val="24"/>
        </w:rPr>
        <w:t xml:space="preserve">Felipe </w:t>
      </w:r>
      <w:r w:rsidR="00EE2DEB" w:rsidRPr="00191C75">
        <w:rPr>
          <w:rFonts w:ascii="Times New Roman" w:hAnsi="Times New Roman"/>
          <w:b/>
          <w:sz w:val="24"/>
          <w:szCs w:val="24"/>
        </w:rPr>
        <w:t>L</w:t>
      </w:r>
      <w:r w:rsidRPr="00191C75">
        <w:rPr>
          <w:rFonts w:ascii="Times New Roman" w:hAnsi="Times New Roman"/>
          <w:b/>
          <w:sz w:val="24"/>
          <w:szCs w:val="24"/>
        </w:rPr>
        <w:t xml:space="preserve">opes </w:t>
      </w:r>
      <w:r w:rsidR="00EE2DEB" w:rsidRPr="00191C75">
        <w:rPr>
          <w:rFonts w:ascii="Times New Roman" w:hAnsi="Times New Roman"/>
          <w:b/>
          <w:sz w:val="24"/>
          <w:szCs w:val="24"/>
        </w:rPr>
        <w:t>M</w:t>
      </w:r>
      <w:r w:rsidRPr="00191C75">
        <w:rPr>
          <w:rFonts w:ascii="Times New Roman" w:hAnsi="Times New Roman"/>
          <w:b/>
          <w:sz w:val="24"/>
          <w:szCs w:val="24"/>
        </w:rPr>
        <w:t>endes</w:t>
      </w:r>
    </w:p>
    <w:p w14:paraId="700BFCA6" w14:textId="5F153980" w:rsidR="00DC5B7E" w:rsidRPr="00191C75" w:rsidRDefault="00B20A46" w:rsidP="00B20A46">
      <w:pPr>
        <w:spacing w:after="0" w:line="240" w:lineRule="auto"/>
        <w:jc w:val="center"/>
        <w:rPr>
          <w:rFonts w:ascii="Times New Roman" w:hAnsi="Times New Roman"/>
          <w:sz w:val="24"/>
          <w:szCs w:val="24"/>
        </w:rPr>
      </w:pPr>
      <w:r w:rsidRPr="00191C75">
        <w:rPr>
          <w:rFonts w:ascii="Times New Roman" w:hAnsi="Times New Roman"/>
          <w:sz w:val="24"/>
          <w:szCs w:val="24"/>
        </w:rPr>
        <w:t>Bacharel em Administração</w:t>
      </w:r>
      <w:r w:rsidR="00DC5B7E" w:rsidRPr="00191C75">
        <w:rPr>
          <w:rFonts w:ascii="Times New Roman" w:hAnsi="Times New Roman"/>
          <w:sz w:val="24"/>
          <w:szCs w:val="24"/>
        </w:rPr>
        <w:t xml:space="preserve"> </w:t>
      </w:r>
      <w:r w:rsidR="000F14C5" w:rsidRPr="00191C75">
        <w:rPr>
          <w:rFonts w:ascii="Times New Roman" w:hAnsi="Times New Roman"/>
          <w:sz w:val="24"/>
          <w:szCs w:val="24"/>
        </w:rPr>
        <w:t>pela Universidade Presbiteriana Mackenzie</w:t>
      </w:r>
    </w:p>
    <w:p w14:paraId="5C8CFDE2" w14:textId="53DC28A5" w:rsidR="00B3530A" w:rsidRPr="00191C75" w:rsidRDefault="00B3530A" w:rsidP="00B20A46">
      <w:pPr>
        <w:spacing w:after="0" w:line="240" w:lineRule="auto"/>
        <w:jc w:val="center"/>
        <w:rPr>
          <w:rFonts w:ascii="Times New Roman" w:hAnsi="Times New Roman"/>
          <w:sz w:val="24"/>
          <w:szCs w:val="24"/>
        </w:rPr>
      </w:pPr>
      <w:r w:rsidRPr="00191C75">
        <w:rPr>
          <w:rFonts w:ascii="Times New Roman" w:hAnsi="Times New Roman"/>
          <w:sz w:val="24"/>
          <w:szCs w:val="24"/>
        </w:rPr>
        <w:t>Universidade Presbiteriana Mackenzie</w:t>
      </w:r>
    </w:p>
    <w:p w14:paraId="40101FC0" w14:textId="56324B0A" w:rsidR="00D96F77" w:rsidRPr="00191C75" w:rsidRDefault="00D96F77" w:rsidP="00D96F77">
      <w:pPr>
        <w:spacing w:after="0" w:line="240" w:lineRule="auto"/>
        <w:jc w:val="center"/>
        <w:rPr>
          <w:rFonts w:ascii="Times New Roman" w:hAnsi="Times New Roman"/>
          <w:sz w:val="24"/>
          <w:szCs w:val="24"/>
        </w:rPr>
      </w:pPr>
      <w:r w:rsidRPr="00191C75">
        <w:rPr>
          <w:rFonts w:ascii="Times New Roman" w:hAnsi="Times New Roman"/>
          <w:sz w:val="24"/>
          <w:szCs w:val="24"/>
        </w:rPr>
        <w:t>Rua da Consolação, 930 - Consolação, São Paulo, SP, CEP:01302-907</w:t>
      </w:r>
    </w:p>
    <w:p w14:paraId="1E79A615" w14:textId="7E9313A8" w:rsidR="00EE2DEB" w:rsidRPr="00191C75" w:rsidRDefault="00EE2DEB" w:rsidP="00B20A46">
      <w:pPr>
        <w:spacing w:after="0" w:line="240" w:lineRule="auto"/>
        <w:jc w:val="center"/>
        <w:rPr>
          <w:rFonts w:ascii="Times New Roman" w:hAnsi="Times New Roman"/>
          <w:sz w:val="24"/>
          <w:szCs w:val="24"/>
        </w:rPr>
      </w:pPr>
      <w:r w:rsidRPr="00191C75">
        <w:rPr>
          <w:rFonts w:ascii="Times New Roman" w:hAnsi="Times New Roman"/>
          <w:sz w:val="24"/>
          <w:szCs w:val="24"/>
        </w:rPr>
        <w:t>felipelm34@hotmail.com</w:t>
      </w:r>
    </w:p>
    <w:p w14:paraId="23BBBE20" w14:textId="77777777" w:rsidR="00EE2DEB" w:rsidRPr="00191C75" w:rsidRDefault="00EE2DEB" w:rsidP="00B20A46">
      <w:pPr>
        <w:spacing w:after="0" w:line="240" w:lineRule="auto"/>
        <w:jc w:val="center"/>
        <w:rPr>
          <w:rFonts w:ascii="Times New Roman" w:hAnsi="Times New Roman"/>
          <w:sz w:val="24"/>
          <w:szCs w:val="24"/>
        </w:rPr>
      </w:pPr>
    </w:p>
    <w:p w14:paraId="27F4A48A" w14:textId="1ED3D900" w:rsidR="00A74B9A" w:rsidRPr="00191C75" w:rsidRDefault="00B20A46" w:rsidP="00B20A46">
      <w:pPr>
        <w:spacing w:after="0" w:line="240" w:lineRule="auto"/>
        <w:jc w:val="center"/>
        <w:rPr>
          <w:rFonts w:ascii="Times New Roman" w:hAnsi="Times New Roman"/>
          <w:b/>
          <w:sz w:val="24"/>
          <w:szCs w:val="24"/>
        </w:rPr>
      </w:pPr>
      <w:r w:rsidRPr="00191C75">
        <w:rPr>
          <w:rFonts w:ascii="Times New Roman" w:hAnsi="Times New Roman"/>
          <w:b/>
          <w:sz w:val="24"/>
          <w:szCs w:val="24"/>
        </w:rPr>
        <w:t xml:space="preserve">Gabriel de </w:t>
      </w:r>
      <w:r w:rsidR="00EE2DEB" w:rsidRPr="00191C75">
        <w:rPr>
          <w:rFonts w:ascii="Times New Roman" w:hAnsi="Times New Roman"/>
          <w:b/>
          <w:sz w:val="24"/>
          <w:szCs w:val="24"/>
        </w:rPr>
        <w:t>S</w:t>
      </w:r>
      <w:r w:rsidRPr="00191C75">
        <w:rPr>
          <w:rFonts w:ascii="Times New Roman" w:hAnsi="Times New Roman"/>
          <w:b/>
          <w:sz w:val="24"/>
          <w:szCs w:val="24"/>
        </w:rPr>
        <w:t xml:space="preserve">ouza </w:t>
      </w:r>
      <w:r w:rsidR="00EE2DEB" w:rsidRPr="00191C75">
        <w:rPr>
          <w:rFonts w:ascii="Times New Roman" w:hAnsi="Times New Roman"/>
          <w:b/>
          <w:sz w:val="24"/>
          <w:szCs w:val="24"/>
        </w:rPr>
        <w:t>R</w:t>
      </w:r>
      <w:r w:rsidRPr="00191C75">
        <w:rPr>
          <w:rFonts w:ascii="Times New Roman" w:hAnsi="Times New Roman"/>
          <w:b/>
          <w:sz w:val="24"/>
          <w:szCs w:val="24"/>
        </w:rPr>
        <w:t>eis</w:t>
      </w:r>
    </w:p>
    <w:p w14:paraId="6413F1B1" w14:textId="77777777" w:rsidR="000F14C5" w:rsidRPr="00191C75" w:rsidRDefault="00EE2DEB" w:rsidP="000F14C5">
      <w:pPr>
        <w:spacing w:after="0" w:line="240" w:lineRule="auto"/>
        <w:jc w:val="center"/>
        <w:rPr>
          <w:rFonts w:ascii="Times New Roman" w:hAnsi="Times New Roman"/>
          <w:sz w:val="24"/>
          <w:szCs w:val="24"/>
        </w:rPr>
      </w:pPr>
      <w:r w:rsidRPr="00191C75">
        <w:rPr>
          <w:rFonts w:ascii="Times New Roman" w:hAnsi="Times New Roman"/>
          <w:sz w:val="24"/>
          <w:szCs w:val="24"/>
        </w:rPr>
        <w:t>Bacharel em Administração</w:t>
      </w:r>
      <w:r w:rsidR="000F14C5" w:rsidRPr="00191C75">
        <w:rPr>
          <w:rFonts w:ascii="Times New Roman" w:hAnsi="Times New Roman"/>
          <w:sz w:val="24"/>
          <w:szCs w:val="24"/>
        </w:rPr>
        <w:t xml:space="preserve"> pela Universidade Presbiteriana Mackenzie</w:t>
      </w:r>
    </w:p>
    <w:p w14:paraId="2EE76936" w14:textId="57A5E641" w:rsidR="00EE2DEB" w:rsidRPr="00191C75" w:rsidRDefault="00EE2DEB" w:rsidP="00EE2DEB">
      <w:pPr>
        <w:spacing w:after="0" w:line="240" w:lineRule="auto"/>
        <w:jc w:val="center"/>
        <w:rPr>
          <w:rFonts w:ascii="Times New Roman" w:hAnsi="Times New Roman"/>
          <w:sz w:val="24"/>
          <w:szCs w:val="24"/>
        </w:rPr>
      </w:pPr>
      <w:r w:rsidRPr="00191C75">
        <w:rPr>
          <w:rFonts w:ascii="Times New Roman" w:hAnsi="Times New Roman"/>
          <w:sz w:val="24"/>
          <w:szCs w:val="24"/>
        </w:rPr>
        <w:t>Universidade Presbiteriana Mackenzie</w:t>
      </w:r>
    </w:p>
    <w:p w14:paraId="32794890" w14:textId="77777777" w:rsidR="00D96F77" w:rsidRPr="00191C75" w:rsidRDefault="00D96F77" w:rsidP="00D96F77">
      <w:pPr>
        <w:spacing w:after="0" w:line="240" w:lineRule="auto"/>
        <w:jc w:val="center"/>
        <w:rPr>
          <w:rFonts w:ascii="Times New Roman" w:hAnsi="Times New Roman"/>
          <w:sz w:val="24"/>
          <w:szCs w:val="24"/>
        </w:rPr>
      </w:pPr>
      <w:r w:rsidRPr="00191C75">
        <w:rPr>
          <w:rFonts w:ascii="Times New Roman" w:hAnsi="Times New Roman"/>
          <w:sz w:val="24"/>
          <w:szCs w:val="24"/>
        </w:rPr>
        <w:t>Rua da Consolação, 930 - Consolação, São Paulo, SP, CEP:01302-907</w:t>
      </w:r>
    </w:p>
    <w:p w14:paraId="50761807" w14:textId="3E89B502" w:rsidR="00EE2DEB" w:rsidRPr="00191C75" w:rsidRDefault="00EE2DEB" w:rsidP="00EE2DEB">
      <w:pPr>
        <w:spacing w:after="0" w:line="240" w:lineRule="auto"/>
        <w:jc w:val="center"/>
        <w:rPr>
          <w:rFonts w:ascii="Times New Roman" w:hAnsi="Times New Roman"/>
          <w:sz w:val="24"/>
          <w:szCs w:val="24"/>
        </w:rPr>
      </w:pPr>
      <w:r w:rsidRPr="00191C75">
        <w:rPr>
          <w:rFonts w:ascii="Times New Roman" w:hAnsi="Times New Roman"/>
          <w:sz w:val="24"/>
          <w:szCs w:val="24"/>
        </w:rPr>
        <w:t>gabrielreis21@gmail.com</w:t>
      </w:r>
    </w:p>
    <w:p w14:paraId="78BB488A" w14:textId="77777777" w:rsidR="00EE2DEB" w:rsidRPr="00191C75" w:rsidRDefault="00EE2DEB" w:rsidP="00EE2DEB">
      <w:pPr>
        <w:spacing w:after="0" w:line="240" w:lineRule="auto"/>
        <w:jc w:val="center"/>
        <w:rPr>
          <w:rFonts w:ascii="Times New Roman" w:hAnsi="Times New Roman"/>
          <w:sz w:val="24"/>
          <w:szCs w:val="24"/>
        </w:rPr>
      </w:pPr>
    </w:p>
    <w:p w14:paraId="45BBB1D9" w14:textId="0A98574F" w:rsidR="00A74B9A" w:rsidRPr="00191C75" w:rsidRDefault="00B20A46" w:rsidP="00B20A46">
      <w:pPr>
        <w:spacing w:after="0" w:line="240" w:lineRule="auto"/>
        <w:jc w:val="center"/>
        <w:rPr>
          <w:rFonts w:ascii="Times New Roman" w:hAnsi="Times New Roman"/>
          <w:b/>
          <w:sz w:val="24"/>
          <w:szCs w:val="24"/>
        </w:rPr>
      </w:pPr>
      <w:r w:rsidRPr="00191C75">
        <w:rPr>
          <w:rFonts w:ascii="Times New Roman" w:hAnsi="Times New Roman"/>
          <w:b/>
          <w:sz w:val="24"/>
          <w:szCs w:val="24"/>
        </w:rPr>
        <w:t xml:space="preserve">Michele </w:t>
      </w:r>
      <w:r w:rsidR="00EE2DEB" w:rsidRPr="00191C75">
        <w:rPr>
          <w:rFonts w:ascii="Times New Roman" w:hAnsi="Times New Roman"/>
          <w:b/>
          <w:sz w:val="24"/>
          <w:szCs w:val="24"/>
        </w:rPr>
        <w:t>N</w:t>
      </w:r>
      <w:r w:rsidRPr="00191C75">
        <w:rPr>
          <w:rFonts w:ascii="Times New Roman" w:hAnsi="Times New Roman"/>
          <w:b/>
          <w:sz w:val="24"/>
          <w:szCs w:val="24"/>
        </w:rPr>
        <w:t xml:space="preserve">ascimento </w:t>
      </w:r>
      <w:r w:rsidR="00EE2DEB" w:rsidRPr="00191C75">
        <w:rPr>
          <w:rFonts w:ascii="Times New Roman" w:hAnsi="Times New Roman"/>
          <w:b/>
          <w:sz w:val="24"/>
          <w:szCs w:val="24"/>
        </w:rPr>
        <w:t>J</w:t>
      </w:r>
      <w:r w:rsidRPr="00191C75">
        <w:rPr>
          <w:rFonts w:ascii="Times New Roman" w:hAnsi="Times New Roman"/>
          <w:b/>
          <w:sz w:val="24"/>
          <w:szCs w:val="24"/>
        </w:rPr>
        <w:t>ucá</w:t>
      </w:r>
    </w:p>
    <w:p w14:paraId="115A2F71" w14:textId="4B98B790" w:rsidR="00EE2DEB" w:rsidRPr="00191C75" w:rsidRDefault="000F14C5" w:rsidP="00B20A46">
      <w:pPr>
        <w:spacing w:after="0" w:line="240" w:lineRule="auto"/>
        <w:jc w:val="center"/>
        <w:rPr>
          <w:rFonts w:ascii="Times New Roman" w:hAnsi="Times New Roman"/>
          <w:sz w:val="24"/>
          <w:szCs w:val="24"/>
        </w:rPr>
      </w:pPr>
      <w:r w:rsidRPr="00191C75">
        <w:rPr>
          <w:rFonts w:ascii="Times New Roman" w:hAnsi="Times New Roman"/>
          <w:sz w:val="24"/>
          <w:szCs w:val="24"/>
        </w:rPr>
        <w:t>Doutora em Administração pela Universidade de São Paulo</w:t>
      </w:r>
    </w:p>
    <w:p w14:paraId="0D358087" w14:textId="3E34725C" w:rsidR="00EE2DEB" w:rsidRPr="00191C75" w:rsidRDefault="00D96F77" w:rsidP="00EE2DEB">
      <w:pPr>
        <w:spacing w:after="0" w:line="240" w:lineRule="auto"/>
        <w:jc w:val="center"/>
        <w:rPr>
          <w:rFonts w:ascii="Times New Roman" w:hAnsi="Times New Roman"/>
          <w:sz w:val="24"/>
          <w:szCs w:val="24"/>
        </w:rPr>
      </w:pPr>
      <w:r w:rsidRPr="00191C75">
        <w:rPr>
          <w:rFonts w:ascii="Times New Roman" w:hAnsi="Times New Roman"/>
          <w:sz w:val="24"/>
          <w:szCs w:val="24"/>
        </w:rPr>
        <w:t xml:space="preserve">Professora da </w:t>
      </w:r>
      <w:r w:rsidR="00EE2DEB" w:rsidRPr="00191C75">
        <w:rPr>
          <w:rFonts w:ascii="Times New Roman" w:hAnsi="Times New Roman"/>
          <w:sz w:val="24"/>
          <w:szCs w:val="24"/>
        </w:rPr>
        <w:t>Universidade Presbiteriana Mackenzie</w:t>
      </w:r>
    </w:p>
    <w:p w14:paraId="04B25C00" w14:textId="77777777" w:rsidR="00D96F77" w:rsidRPr="00191C75" w:rsidRDefault="00D96F77" w:rsidP="00D96F77">
      <w:pPr>
        <w:spacing w:after="0" w:line="240" w:lineRule="auto"/>
        <w:jc w:val="center"/>
        <w:rPr>
          <w:rFonts w:ascii="Times New Roman" w:hAnsi="Times New Roman"/>
          <w:sz w:val="24"/>
          <w:szCs w:val="24"/>
        </w:rPr>
      </w:pPr>
      <w:r w:rsidRPr="00191C75">
        <w:rPr>
          <w:rFonts w:ascii="Times New Roman" w:hAnsi="Times New Roman"/>
          <w:sz w:val="24"/>
          <w:szCs w:val="24"/>
        </w:rPr>
        <w:t>Rua da Consolação, 930 - Consolação, São Paulo, SP, CEP:01302-907</w:t>
      </w:r>
    </w:p>
    <w:p w14:paraId="101504FE" w14:textId="08E27C84" w:rsidR="00EE2DEB" w:rsidRPr="00191C75" w:rsidRDefault="0054141F" w:rsidP="00EE2DEB">
      <w:pPr>
        <w:spacing w:after="0" w:line="240" w:lineRule="auto"/>
        <w:jc w:val="center"/>
        <w:rPr>
          <w:rFonts w:ascii="Times New Roman" w:hAnsi="Times New Roman"/>
          <w:sz w:val="24"/>
          <w:szCs w:val="24"/>
          <w:lang w:val="en-US"/>
        </w:rPr>
      </w:pPr>
      <w:hyperlink r:id="rId7" w:history="1">
        <w:r w:rsidR="00EE2DEB" w:rsidRPr="00191C75">
          <w:rPr>
            <w:rFonts w:ascii="Times New Roman" w:hAnsi="Times New Roman"/>
            <w:sz w:val="24"/>
            <w:szCs w:val="24"/>
            <w:lang w:val="en-US"/>
          </w:rPr>
          <w:t>michele.juca@mackenzie.br</w:t>
        </w:r>
      </w:hyperlink>
    </w:p>
    <w:p w14:paraId="599F5AE6" w14:textId="77777777" w:rsidR="00EE2DEB" w:rsidRPr="00191C75" w:rsidRDefault="00EE2DEB" w:rsidP="00EE2DEB">
      <w:pPr>
        <w:spacing w:after="0" w:line="240" w:lineRule="auto"/>
        <w:jc w:val="center"/>
        <w:rPr>
          <w:rFonts w:ascii="Times New Roman" w:hAnsi="Times New Roman"/>
          <w:sz w:val="24"/>
          <w:szCs w:val="24"/>
          <w:lang w:val="en-US"/>
        </w:rPr>
      </w:pPr>
    </w:p>
    <w:p w14:paraId="1897EC09" w14:textId="4BDACF4D" w:rsidR="00A74B9A" w:rsidRPr="00191C75" w:rsidRDefault="00B20A46" w:rsidP="00B20A46">
      <w:pPr>
        <w:spacing w:after="0" w:line="240" w:lineRule="auto"/>
        <w:jc w:val="center"/>
        <w:rPr>
          <w:rFonts w:ascii="Times New Roman" w:hAnsi="Times New Roman"/>
          <w:b/>
          <w:sz w:val="24"/>
          <w:szCs w:val="24"/>
          <w:lang w:val="en-US"/>
        </w:rPr>
      </w:pPr>
      <w:r w:rsidRPr="00191C75">
        <w:rPr>
          <w:rFonts w:ascii="Times New Roman" w:hAnsi="Times New Roman"/>
          <w:b/>
          <w:sz w:val="24"/>
          <w:szCs w:val="24"/>
          <w:lang w:val="en-US"/>
        </w:rPr>
        <w:t xml:space="preserve">Eli </w:t>
      </w:r>
      <w:r w:rsidR="00EE2DEB" w:rsidRPr="00191C75">
        <w:rPr>
          <w:rFonts w:ascii="Times New Roman" w:hAnsi="Times New Roman"/>
          <w:b/>
          <w:sz w:val="24"/>
          <w:szCs w:val="24"/>
          <w:lang w:val="en-US"/>
        </w:rPr>
        <w:t>H</w:t>
      </w:r>
      <w:r w:rsidRPr="00191C75">
        <w:rPr>
          <w:rFonts w:ascii="Times New Roman" w:hAnsi="Times New Roman"/>
          <w:b/>
          <w:sz w:val="24"/>
          <w:szCs w:val="24"/>
          <w:lang w:val="en-US"/>
        </w:rPr>
        <w:t xml:space="preserve">adad </w:t>
      </w:r>
      <w:r w:rsidR="00EE2DEB" w:rsidRPr="00191C75">
        <w:rPr>
          <w:rFonts w:ascii="Times New Roman" w:hAnsi="Times New Roman"/>
          <w:b/>
          <w:sz w:val="24"/>
          <w:szCs w:val="24"/>
          <w:lang w:val="en-US"/>
        </w:rPr>
        <w:t>J</w:t>
      </w:r>
      <w:r w:rsidRPr="00191C75">
        <w:rPr>
          <w:rFonts w:ascii="Times New Roman" w:hAnsi="Times New Roman"/>
          <w:b/>
          <w:sz w:val="24"/>
          <w:szCs w:val="24"/>
          <w:lang w:val="en-US"/>
        </w:rPr>
        <w:t>unior</w:t>
      </w:r>
    </w:p>
    <w:p w14:paraId="552F1C29" w14:textId="07226799" w:rsidR="000F14C5" w:rsidRPr="00191C75" w:rsidRDefault="000F14C5" w:rsidP="000F14C5">
      <w:pPr>
        <w:spacing w:after="0" w:line="240" w:lineRule="auto"/>
        <w:jc w:val="center"/>
        <w:rPr>
          <w:rFonts w:ascii="Times New Roman" w:hAnsi="Times New Roman"/>
          <w:sz w:val="24"/>
          <w:szCs w:val="24"/>
        </w:rPr>
      </w:pPr>
      <w:r w:rsidRPr="00191C75">
        <w:rPr>
          <w:rFonts w:ascii="Times New Roman" w:hAnsi="Times New Roman"/>
          <w:sz w:val="24"/>
          <w:szCs w:val="24"/>
        </w:rPr>
        <w:t xml:space="preserve">Doutor em Administração pela Universidade Presbiteriana Mackenzie </w:t>
      </w:r>
    </w:p>
    <w:p w14:paraId="5285C7C9" w14:textId="6E1F2AD5" w:rsidR="000F14C5" w:rsidRPr="00191C75" w:rsidRDefault="00D96F77" w:rsidP="000F14C5">
      <w:pPr>
        <w:spacing w:after="0" w:line="240" w:lineRule="auto"/>
        <w:jc w:val="center"/>
        <w:rPr>
          <w:rFonts w:ascii="Times New Roman" w:hAnsi="Times New Roman"/>
          <w:sz w:val="24"/>
          <w:szCs w:val="24"/>
        </w:rPr>
      </w:pPr>
      <w:r w:rsidRPr="00191C75">
        <w:rPr>
          <w:rFonts w:ascii="Times New Roman" w:hAnsi="Times New Roman"/>
          <w:sz w:val="24"/>
          <w:szCs w:val="24"/>
        </w:rPr>
        <w:t xml:space="preserve">Professor da </w:t>
      </w:r>
      <w:r w:rsidR="000F14C5" w:rsidRPr="00191C75">
        <w:rPr>
          <w:rFonts w:ascii="Times New Roman" w:hAnsi="Times New Roman"/>
          <w:sz w:val="24"/>
          <w:szCs w:val="24"/>
        </w:rPr>
        <w:t>Universidade Presbiteriana Mackenzie</w:t>
      </w:r>
    </w:p>
    <w:p w14:paraId="71E2151E" w14:textId="77777777" w:rsidR="00D96F77" w:rsidRPr="00191C75" w:rsidRDefault="00D96F77" w:rsidP="00D96F77">
      <w:pPr>
        <w:spacing w:after="0" w:line="240" w:lineRule="auto"/>
        <w:jc w:val="center"/>
        <w:rPr>
          <w:rFonts w:ascii="Times New Roman" w:hAnsi="Times New Roman"/>
          <w:sz w:val="24"/>
          <w:szCs w:val="24"/>
        </w:rPr>
      </w:pPr>
      <w:r w:rsidRPr="00191C75">
        <w:rPr>
          <w:rFonts w:ascii="Times New Roman" w:hAnsi="Times New Roman"/>
          <w:sz w:val="24"/>
          <w:szCs w:val="24"/>
        </w:rPr>
        <w:t>Rua da Consolação, 930 - Consolação, São Paulo, SP, CEP:01302-907</w:t>
      </w:r>
    </w:p>
    <w:p w14:paraId="26510ECD" w14:textId="195836AD" w:rsidR="00EE2DEB" w:rsidRPr="00191C75" w:rsidRDefault="00EE2DEB" w:rsidP="00EE2DEB">
      <w:pPr>
        <w:spacing w:after="0" w:line="240" w:lineRule="auto"/>
        <w:jc w:val="center"/>
        <w:rPr>
          <w:rFonts w:ascii="Times New Roman" w:hAnsi="Times New Roman"/>
          <w:sz w:val="24"/>
          <w:szCs w:val="24"/>
        </w:rPr>
      </w:pPr>
      <w:r w:rsidRPr="00191C75">
        <w:rPr>
          <w:rFonts w:ascii="Times New Roman" w:hAnsi="Times New Roman"/>
          <w:sz w:val="24"/>
          <w:szCs w:val="24"/>
        </w:rPr>
        <w:t>eli.hadad@mackenzie.br</w:t>
      </w:r>
    </w:p>
    <w:p w14:paraId="15DFE766" w14:textId="77777777" w:rsidR="00A74B9A" w:rsidRPr="00191C75" w:rsidRDefault="00A74B9A" w:rsidP="003E49D5">
      <w:pPr>
        <w:spacing w:after="0" w:line="240" w:lineRule="auto"/>
        <w:jc w:val="right"/>
        <w:rPr>
          <w:rFonts w:ascii="Times New Roman" w:hAnsi="Times New Roman"/>
          <w:b/>
          <w:i/>
          <w:sz w:val="24"/>
          <w:szCs w:val="24"/>
        </w:rPr>
      </w:pPr>
    </w:p>
    <w:p w14:paraId="15195114" w14:textId="07481FAC" w:rsidR="00280A70" w:rsidRPr="00191C75" w:rsidRDefault="00280A70">
      <w:pPr>
        <w:spacing w:after="0" w:line="240" w:lineRule="auto"/>
        <w:rPr>
          <w:rFonts w:ascii="Times New Roman" w:hAnsi="Times New Roman"/>
          <w:b/>
          <w:sz w:val="24"/>
          <w:szCs w:val="24"/>
        </w:rPr>
      </w:pPr>
    </w:p>
    <w:p w14:paraId="49BD03DA" w14:textId="264A8D3E" w:rsidR="00A74B9A" w:rsidRPr="00191C75" w:rsidRDefault="00A74B9A" w:rsidP="003E49D5">
      <w:pPr>
        <w:spacing w:after="0" w:line="240" w:lineRule="auto"/>
        <w:rPr>
          <w:rFonts w:ascii="Times New Roman" w:hAnsi="Times New Roman"/>
          <w:b/>
          <w:sz w:val="24"/>
          <w:szCs w:val="24"/>
        </w:rPr>
      </w:pPr>
      <w:r w:rsidRPr="00191C75">
        <w:rPr>
          <w:rFonts w:ascii="Times New Roman" w:hAnsi="Times New Roman"/>
          <w:b/>
          <w:sz w:val="24"/>
          <w:szCs w:val="24"/>
        </w:rPr>
        <w:t>Resumo</w:t>
      </w:r>
    </w:p>
    <w:p w14:paraId="7349AD31" w14:textId="77777777" w:rsidR="00A74B9A" w:rsidRPr="00191C75" w:rsidRDefault="00C90CA8" w:rsidP="003E49D5">
      <w:pPr>
        <w:spacing w:after="0" w:line="240" w:lineRule="auto"/>
        <w:jc w:val="both"/>
        <w:rPr>
          <w:rFonts w:ascii="Times New Roman" w:hAnsi="Times New Roman"/>
          <w:sz w:val="24"/>
          <w:szCs w:val="24"/>
        </w:rPr>
      </w:pPr>
      <w:r w:rsidRPr="00191C75">
        <w:rPr>
          <w:rFonts w:ascii="Times New Roman" w:hAnsi="Times New Roman"/>
          <w:sz w:val="24"/>
          <w:szCs w:val="24"/>
        </w:rPr>
        <w:t xml:space="preserve">Apesar da recessão econômica recente do Brasil, a indústria do empreendedorismo vem crescendo em número de empresas e volume. Esse crescimento, aliado à dificuldade de financiamento encontrada por empresas estreantes no mercado, caracteriza o ambiente de empreendedorismo nacional como uma oportunidade de investimento aos fundos de </w:t>
      </w:r>
      <w:r w:rsidRPr="00191C75">
        <w:rPr>
          <w:rFonts w:ascii="Times New Roman" w:hAnsi="Times New Roman"/>
          <w:i/>
          <w:sz w:val="24"/>
          <w:szCs w:val="24"/>
        </w:rPr>
        <w:t>venture capital</w:t>
      </w:r>
      <w:r w:rsidRPr="00191C75">
        <w:rPr>
          <w:rFonts w:ascii="Times New Roman" w:hAnsi="Times New Roman"/>
          <w:sz w:val="24"/>
          <w:szCs w:val="24"/>
        </w:rPr>
        <w:t xml:space="preserve"> (</w:t>
      </w:r>
      <w:proofErr w:type="spellStart"/>
      <w:r w:rsidRPr="00191C75">
        <w:rPr>
          <w:rFonts w:ascii="Times New Roman" w:hAnsi="Times New Roman"/>
          <w:sz w:val="24"/>
          <w:szCs w:val="24"/>
        </w:rPr>
        <w:t>VC</w:t>
      </w:r>
      <w:proofErr w:type="spellEnd"/>
      <w:r w:rsidRPr="00191C75">
        <w:rPr>
          <w:rFonts w:ascii="Times New Roman" w:hAnsi="Times New Roman"/>
          <w:sz w:val="24"/>
          <w:szCs w:val="24"/>
        </w:rPr>
        <w:t xml:space="preserve">) e </w:t>
      </w:r>
      <w:proofErr w:type="spellStart"/>
      <w:r w:rsidRPr="00191C75">
        <w:rPr>
          <w:rFonts w:ascii="Times New Roman" w:hAnsi="Times New Roman"/>
          <w:i/>
          <w:sz w:val="24"/>
          <w:szCs w:val="24"/>
        </w:rPr>
        <w:t>private</w:t>
      </w:r>
      <w:proofErr w:type="spellEnd"/>
      <w:r w:rsidRPr="00191C75">
        <w:rPr>
          <w:rFonts w:ascii="Times New Roman" w:hAnsi="Times New Roman"/>
          <w:i/>
          <w:sz w:val="24"/>
          <w:szCs w:val="24"/>
        </w:rPr>
        <w:t xml:space="preserve"> </w:t>
      </w:r>
      <w:proofErr w:type="spellStart"/>
      <w:r w:rsidRPr="00191C75">
        <w:rPr>
          <w:rFonts w:ascii="Times New Roman" w:hAnsi="Times New Roman"/>
          <w:i/>
          <w:sz w:val="24"/>
          <w:szCs w:val="24"/>
        </w:rPr>
        <w:t>equity</w:t>
      </w:r>
      <w:proofErr w:type="spellEnd"/>
      <w:r w:rsidRPr="00191C75">
        <w:rPr>
          <w:rFonts w:ascii="Times New Roman" w:hAnsi="Times New Roman"/>
          <w:sz w:val="24"/>
          <w:szCs w:val="24"/>
        </w:rPr>
        <w:t xml:space="preserve"> (PE). Estudos evidenciam que a presença desses fundos contribui para a redução da assimetria informacional no mercado por intermédio da atuação dos seus gestores. Assim, organizações que recebem tais investimentos são vistas como mais confiáveis por investidores não ligados aos fundos, sinalizando a existência de retornos positivos, no momento de sua abertura de capital (IPO). O presente trabalho tem como objetivo comparar o retorno das empresas que recebem aportes prévios desses fundos, em relação àquelas que não contam com esses investimentos no momento do IPO. Para tanto, realiza-se um estudo de evento com 83 companhias, sendo 36 com e 47 sem a participação prévia desses fundos, cuja listagem ocorre durante o período de janeiro de 2005 a dezembro de 2016 na Bolsa Balcão Brasil (B3). A análise dos retornos compreende os períodos de 22 (1 mês), 132 (6 meses) e 264 (1 ano) pregões, a partir do evento de início das negociações dessas ações na bolsa de valores. Os resultados mostram que as janelas de 132 e 264 pregões possuem diferenças de </w:t>
      </w:r>
      <w:proofErr w:type="spellStart"/>
      <w:r w:rsidRPr="00191C75">
        <w:rPr>
          <w:rFonts w:ascii="Times New Roman" w:hAnsi="Times New Roman"/>
          <w:sz w:val="24"/>
          <w:szCs w:val="24"/>
        </w:rPr>
        <w:t>CARs</w:t>
      </w:r>
      <w:proofErr w:type="spellEnd"/>
      <w:r w:rsidRPr="00191C75">
        <w:rPr>
          <w:rFonts w:ascii="Times New Roman" w:hAnsi="Times New Roman"/>
          <w:sz w:val="24"/>
          <w:szCs w:val="24"/>
        </w:rPr>
        <w:t xml:space="preserve"> positivas e estatisticamente diferentes de zero - entre as amostras com e sem participação prévia de fundos de VC/PE. Confirma-se H1 para estas janelas - companhias com participação prévia </w:t>
      </w:r>
      <w:r w:rsidRPr="00191C75">
        <w:rPr>
          <w:rFonts w:ascii="Times New Roman" w:hAnsi="Times New Roman"/>
          <w:sz w:val="24"/>
          <w:szCs w:val="24"/>
        </w:rPr>
        <w:lastRenderedPageBreak/>
        <w:t>de fundos de VC/PE possuem retornos superiores àquelas sem tais participações. Entretanto, essas mesmas janelas apontam para resultados negativos que não permitem a confirmação da H2 - quanto maior a participação prévia dos fundos de VC/PE no capital dessas companhias, maior o retorno de suas ações.</w:t>
      </w:r>
    </w:p>
    <w:p w14:paraId="6F866DF9" w14:textId="77777777" w:rsidR="00A74B9A" w:rsidRPr="00191C75" w:rsidRDefault="00A74B9A" w:rsidP="003E49D5">
      <w:pPr>
        <w:spacing w:after="0" w:line="240" w:lineRule="auto"/>
        <w:rPr>
          <w:rFonts w:ascii="Times New Roman" w:hAnsi="Times New Roman"/>
          <w:sz w:val="24"/>
          <w:szCs w:val="24"/>
        </w:rPr>
      </w:pPr>
    </w:p>
    <w:p w14:paraId="1335EE28" w14:textId="1D7447BA" w:rsidR="006E5F23" w:rsidRPr="00191C75" w:rsidRDefault="00A74B9A" w:rsidP="003E49D5">
      <w:pPr>
        <w:spacing w:after="0" w:line="240" w:lineRule="auto"/>
        <w:rPr>
          <w:rFonts w:ascii="Times New Roman" w:hAnsi="Times New Roman"/>
          <w:sz w:val="24"/>
          <w:szCs w:val="24"/>
        </w:rPr>
      </w:pPr>
      <w:r w:rsidRPr="00191C75">
        <w:rPr>
          <w:rFonts w:ascii="Times New Roman" w:hAnsi="Times New Roman"/>
          <w:b/>
          <w:sz w:val="24"/>
          <w:szCs w:val="24"/>
        </w:rPr>
        <w:t xml:space="preserve">Palavras chave: </w:t>
      </w:r>
      <w:r w:rsidR="003E49D5" w:rsidRPr="00191C75">
        <w:rPr>
          <w:rFonts w:ascii="Times New Roman" w:hAnsi="Times New Roman"/>
          <w:i/>
          <w:sz w:val="24"/>
          <w:szCs w:val="24"/>
        </w:rPr>
        <w:t>Venture capital</w:t>
      </w:r>
      <w:r w:rsidR="00D43ECF" w:rsidRPr="00191C75">
        <w:rPr>
          <w:rFonts w:ascii="Times New Roman" w:hAnsi="Times New Roman"/>
          <w:sz w:val="24"/>
          <w:szCs w:val="24"/>
        </w:rPr>
        <w:t>,</w:t>
      </w:r>
      <w:r w:rsidR="003E49D5" w:rsidRPr="00191C75">
        <w:rPr>
          <w:rFonts w:ascii="Times New Roman" w:hAnsi="Times New Roman"/>
          <w:i/>
          <w:sz w:val="24"/>
          <w:szCs w:val="24"/>
        </w:rPr>
        <w:t xml:space="preserve"> Private </w:t>
      </w:r>
      <w:proofErr w:type="spellStart"/>
      <w:r w:rsidR="003E49D5" w:rsidRPr="00191C75">
        <w:rPr>
          <w:rFonts w:ascii="Times New Roman" w:hAnsi="Times New Roman"/>
          <w:i/>
          <w:sz w:val="24"/>
          <w:szCs w:val="24"/>
        </w:rPr>
        <w:t>equity</w:t>
      </w:r>
      <w:proofErr w:type="spellEnd"/>
      <w:r w:rsidR="00D43ECF" w:rsidRPr="00191C75">
        <w:rPr>
          <w:rFonts w:ascii="Times New Roman" w:hAnsi="Times New Roman"/>
          <w:sz w:val="24"/>
          <w:szCs w:val="24"/>
        </w:rPr>
        <w:t>,</w:t>
      </w:r>
      <w:r w:rsidR="003E49D5" w:rsidRPr="00191C75">
        <w:rPr>
          <w:rFonts w:ascii="Times New Roman" w:hAnsi="Times New Roman"/>
          <w:sz w:val="24"/>
          <w:szCs w:val="24"/>
        </w:rPr>
        <w:t xml:space="preserve"> Estudo de evento</w:t>
      </w:r>
      <w:r w:rsidR="004E242D" w:rsidRPr="00191C75">
        <w:rPr>
          <w:rFonts w:ascii="Times New Roman" w:hAnsi="Times New Roman"/>
          <w:sz w:val="24"/>
          <w:szCs w:val="24"/>
        </w:rPr>
        <w:t>, Oferta Pública Inicial, Retorno Anormal Acumulado.</w:t>
      </w:r>
    </w:p>
    <w:p w14:paraId="54F3D6BE" w14:textId="77777777" w:rsidR="008869BC" w:rsidRPr="00191C75" w:rsidRDefault="008869BC" w:rsidP="004E242D">
      <w:pPr>
        <w:spacing w:after="0" w:line="240" w:lineRule="auto"/>
        <w:ind w:right="600"/>
        <w:rPr>
          <w:rFonts w:ascii="Times New Roman" w:hAnsi="Times New Roman"/>
          <w:b/>
          <w:i/>
          <w:sz w:val="24"/>
          <w:szCs w:val="24"/>
        </w:rPr>
      </w:pPr>
      <w:bookmarkStart w:id="1" w:name="_Toc498228379"/>
    </w:p>
    <w:p w14:paraId="6979B835" w14:textId="579DDF1B" w:rsidR="000A241F" w:rsidRPr="00191C75" w:rsidRDefault="000A241F" w:rsidP="000A241F">
      <w:pPr>
        <w:spacing w:after="0" w:line="240" w:lineRule="auto"/>
        <w:rPr>
          <w:rFonts w:ascii="Times New Roman" w:hAnsi="Times New Roman"/>
          <w:b/>
          <w:i/>
          <w:sz w:val="24"/>
          <w:szCs w:val="24"/>
          <w:lang w:val="en-US"/>
        </w:rPr>
      </w:pPr>
      <w:r w:rsidRPr="00191C75">
        <w:rPr>
          <w:rFonts w:ascii="Times New Roman" w:hAnsi="Times New Roman"/>
          <w:b/>
          <w:i/>
          <w:sz w:val="24"/>
          <w:szCs w:val="24"/>
          <w:lang w:val="en-US"/>
        </w:rPr>
        <w:t>Abstract</w:t>
      </w:r>
    </w:p>
    <w:p w14:paraId="17B286EF" w14:textId="40F81873" w:rsidR="000A241F" w:rsidRPr="00191C75" w:rsidRDefault="00C04945" w:rsidP="00A57B62">
      <w:pPr>
        <w:spacing w:after="0" w:line="240" w:lineRule="auto"/>
        <w:jc w:val="both"/>
        <w:rPr>
          <w:rFonts w:ascii="Times New Roman" w:hAnsi="Times New Roman"/>
          <w:i/>
          <w:sz w:val="24"/>
          <w:szCs w:val="24"/>
          <w:lang w:val="en-US"/>
        </w:rPr>
      </w:pPr>
      <w:r w:rsidRPr="00191C75">
        <w:rPr>
          <w:rFonts w:ascii="Times New Roman" w:hAnsi="Times New Roman"/>
          <w:i/>
          <w:sz w:val="24"/>
          <w:szCs w:val="24"/>
          <w:lang w:val="en-US"/>
        </w:rPr>
        <w:t xml:space="preserve">The Brazilian entrepreneurship industry has been growing in number of companies and volume. This growth, coupled with the difficulty of financing found by young companies, characterizes the national entrepreneurship environment as an investment opportunity for venture capital (VC) and private equity (PE) funds. Studies show that the presence of these funds contribute to the reduction of informational asymmetry in the market through their manager’s performance. Specifically, companies receiving such investments are viewed as more reliable by non-fund investors, signaled by the existence of positive returns at the time of their IPO. The present </w:t>
      </w:r>
      <w:r w:rsidR="00AE5165" w:rsidRPr="00191C75">
        <w:rPr>
          <w:rFonts w:ascii="Times New Roman" w:hAnsi="Times New Roman"/>
          <w:i/>
          <w:sz w:val="24"/>
          <w:szCs w:val="24"/>
          <w:lang w:val="en-US"/>
        </w:rPr>
        <w:t>paper</w:t>
      </w:r>
      <w:r w:rsidRPr="00191C75">
        <w:rPr>
          <w:rFonts w:ascii="Times New Roman" w:hAnsi="Times New Roman"/>
          <w:i/>
          <w:sz w:val="24"/>
          <w:szCs w:val="24"/>
          <w:lang w:val="en-US"/>
        </w:rPr>
        <w:t xml:space="preserve"> compares the return of companies that receive prior investments from these funds, in relation to those that do not have such at the time of the IPO. For this purpose, an event study is conducted with 83 companies, of which 36 are and 47 are without the prior participation of these funds, whose listing occurs during the period of January 2005 to December 2016 on the </w:t>
      </w:r>
      <w:proofErr w:type="spellStart"/>
      <w:r w:rsidRPr="00191C75">
        <w:rPr>
          <w:rFonts w:ascii="Times New Roman" w:hAnsi="Times New Roman"/>
          <w:i/>
          <w:sz w:val="24"/>
          <w:szCs w:val="24"/>
          <w:lang w:val="en-US"/>
        </w:rPr>
        <w:t>Balcão</w:t>
      </w:r>
      <w:proofErr w:type="spellEnd"/>
      <w:r w:rsidRPr="00191C75">
        <w:rPr>
          <w:rFonts w:ascii="Times New Roman" w:hAnsi="Times New Roman"/>
          <w:i/>
          <w:sz w:val="24"/>
          <w:szCs w:val="24"/>
          <w:lang w:val="en-US"/>
        </w:rPr>
        <w:t xml:space="preserve"> </w:t>
      </w:r>
      <w:proofErr w:type="spellStart"/>
      <w:r w:rsidRPr="00191C75">
        <w:rPr>
          <w:rFonts w:ascii="Times New Roman" w:hAnsi="Times New Roman"/>
          <w:i/>
          <w:sz w:val="24"/>
          <w:szCs w:val="24"/>
          <w:lang w:val="en-US"/>
        </w:rPr>
        <w:t>Brasil</w:t>
      </w:r>
      <w:proofErr w:type="spellEnd"/>
      <w:r w:rsidRPr="00191C75">
        <w:rPr>
          <w:rFonts w:ascii="Times New Roman" w:hAnsi="Times New Roman"/>
          <w:i/>
          <w:sz w:val="24"/>
          <w:szCs w:val="24"/>
          <w:lang w:val="en-US"/>
        </w:rPr>
        <w:t xml:space="preserve"> Stock Exchange (B3). The analysis of the returns comprises periods of 22 (1 month), 132 (6 months) and 264 (1 year) trading sessions, starting from the event of the beginning of trading of these shares in the stock exchange. The results show that the windows of 132 and 264 trading sessions have positive differences of CARs that are statistically different from zero - between samples with and without prior participation of VC / PE funds. Therefore, H1 is confirmed - companies with prior participation of VC / PE funds have higher returns than those without such participations. Nonetheless, these same windows point to negative results that do not allow confirmation of H2 - the greater the prior participation of VC / PE funds in the capital of these companies, the greater the return of their shares.</w:t>
      </w:r>
    </w:p>
    <w:p w14:paraId="00B4BEAF" w14:textId="77777777" w:rsidR="00C04945" w:rsidRPr="00191C75" w:rsidRDefault="00C04945" w:rsidP="000A241F">
      <w:pPr>
        <w:spacing w:after="0" w:line="240" w:lineRule="auto"/>
        <w:rPr>
          <w:rFonts w:ascii="Times New Roman" w:hAnsi="Times New Roman"/>
          <w:sz w:val="24"/>
          <w:szCs w:val="24"/>
          <w:lang w:val="en-US"/>
        </w:rPr>
      </w:pPr>
    </w:p>
    <w:p w14:paraId="0496EA16" w14:textId="36EF2FC1" w:rsidR="008869BC" w:rsidRPr="00191C75" w:rsidRDefault="000A241F" w:rsidP="00A57B62">
      <w:pPr>
        <w:spacing w:after="0" w:line="240" w:lineRule="auto"/>
        <w:jc w:val="both"/>
        <w:rPr>
          <w:rFonts w:ascii="Times New Roman" w:hAnsi="Times New Roman"/>
          <w:i/>
          <w:sz w:val="24"/>
          <w:szCs w:val="24"/>
          <w:lang w:val="en-US"/>
        </w:rPr>
      </w:pPr>
      <w:r w:rsidRPr="00191C75">
        <w:rPr>
          <w:rFonts w:ascii="Times New Roman" w:hAnsi="Times New Roman"/>
          <w:b/>
          <w:i/>
          <w:sz w:val="24"/>
          <w:szCs w:val="24"/>
          <w:lang w:val="en-US"/>
        </w:rPr>
        <w:t>Key words:</w:t>
      </w:r>
      <w:r w:rsidRPr="00191C75">
        <w:rPr>
          <w:rFonts w:ascii="Times New Roman" w:hAnsi="Times New Roman"/>
          <w:i/>
          <w:sz w:val="24"/>
          <w:szCs w:val="24"/>
          <w:lang w:val="en-US"/>
        </w:rPr>
        <w:t xml:space="preserve"> Venture capital; Private equity; Event Study; Initial public offering, Cumulative Abnormal Return</w:t>
      </w:r>
    </w:p>
    <w:p w14:paraId="64EFBB5D" w14:textId="77777777" w:rsidR="0007744E" w:rsidRPr="00191C75" w:rsidRDefault="0007744E">
      <w:pPr>
        <w:spacing w:after="0" w:line="240" w:lineRule="auto"/>
        <w:rPr>
          <w:rFonts w:ascii="Times New Roman" w:hAnsi="Times New Roman"/>
          <w:sz w:val="24"/>
          <w:szCs w:val="24"/>
          <w:lang w:val="en-US"/>
        </w:rPr>
      </w:pPr>
    </w:p>
    <w:p w14:paraId="623A88A6" w14:textId="6B40F1AB" w:rsidR="00D30790" w:rsidRPr="00191C75" w:rsidRDefault="00D30790">
      <w:pPr>
        <w:spacing w:after="0" w:line="240" w:lineRule="auto"/>
        <w:rPr>
          <w:rFonts w:ascii="Times New Roman" w:hAnsi="Times New Roman"/>
          <w:sz w:val="24"/>
          <w:szCs w:val="24"/>
          <w:lang w:val="en-US"/>
        </w:rPr>
      </w:pPr>
      <w:r w:rsidRPr="00191C75">
        <w:rPr>
          <w:rFonts w:ascii="Times New Roman" w:hAnsi="Times New Roman"/>
          <w:sz w:val="24"/>
          <w:szCs w:val="24"/>
          <w:lang w:val="en-US"/>
        </w:rPr>
        <w:br w:type="page"/>
      </w:r>
    </w:p>
    <w:p w14:paraId="16FE4262" w14:textId="360BCBD6" w:rsidR="003E49D5" w:rsidRPr="00191C75" w:rsidRDefault="00E43103" w:rsidP="00E43103">
      <w:pPr>
        <w:pStyle w:val="Heading1"/>
        <w:spacing w:line="240" w:lineRule="auto"/>
        <w:jc w:val="both"/>
        <w:rPr>
          <w:color w:val="auto"/>
          <w:lang w:val="pt-BR"/>
        </w:rPr>
      </w:pPr>
      <w:r w:rsidRPr="00191C75">
        <w:rPr>
          <w:color w:val="auto"/>
          <w:lang w:val="pt-BR"/>
        </w:rPr>
        <w:lastRenderedPageBreak/>
        <w:t xml:space="preserve">1.      </w:t>
      </w:r>
      <w:r w:rsidR="003E49D5" w:rsidRPr="00191C75">
        <w:rPr>
          <w:color w:val="auto"/>
          <w:lang w:val="pt-BR"/>
        </w:rPr>
        <w:t>I</w:t>
      </w:r>
      <w:bookmarkEnd w:id="1"/>
      <w:r w:rsidR="003E49D5" w:rsidRPr="00191C75">
        <w:rPr>
          <w:color w:val="auto"/>
          <w:lang w:val="pt-BR"/>
        </w:rPr>
        <w:t>ntrodu</w:t>
      </w:r>
      <w:r w:rsidR="003E49D5" w:rsidRPr="00191C75">
        <w:rPr>
          <w:rFonts w:eastAsia="MS Mincho"/>
          <w:color w:val="auto"/>
          <w:lang w:val="pt-BR"/>
        </w:rPr>
        <w:t>ção</w:t>
      </w:r>
    </w:p>
    <w:p w14:paraId="334578E0" w14:textId="77777777" w:rsidR="003E49D5" w:rsidRPr="00191C75" w:rsidRDefault="003E49D5" w:rsidP="003E49D5">
      <w:pPr>
        <w:spacing w:after="0" w:line="240" w:lineRule="auto"/>
        <w:jc w:val="both"/>
        <w:rPr>
          <w:rFonts w:ascii="Times New Roman" w:hAnsi="Times New Roman"/>
          <w:b/>
          <w:sz w:val="24"/>
          <w:szCs w:val="24"/>
          <w:shd w:val="clear" w:color="auto" w:fill="FFFFFF"/>
        </w:rPr>
      </w:pPr>
    </w:p>
    <w:p w14:paraId="0B3B09F6" w14:textId="2CD7A99E" w:rsidR="003E49D5" w:rsidRPr="00191C75" w:rsidRDefault="003E49D5" w:rsidP="00115351">
      <w:pPr>
        <w:spacing w:after="0" w:line="240" w:lineRule="auto"/>
        <w:ind w:firstLine="709"/>
        <w:jc w:val="both"/>
        <w:rPr>
          <w:rFonts w:ascii="Times New Roman" w:hAnsi="Times New Roman"/>
          <w:sz w:val="24"/>
          <w:szCs w:val="24"/>
        </w:rPr>
      </w:pPr>
      <w:bookmarkStart w:id="2" w:name="_Hlk483319536"/>
      <w:r w:rsidRPr="00191C75">
        <w:rPr>
          <w:rFonts w:ascii="Times New Roman" w:hAnsi="Times New Roman"/>
          <w:sz w:val="24"/>
          <w:szCs w:val="24"/>
          <w:shd w:val="clear" w:color="auto" w:fill="FFFFFF"/>
        </w:rPr>
        <w:t xml:space="preserve">Setores do mercado brasileiro apresentam declínio após a crise de 2008, sendo atribuído, sobretudo, ao cenário econômico com sinais de recessão. Contudo, um deles vem apresentando crescimento em número de empresas e volume – a chamada indústria do empreendedorismo. </w:t>
      </w:r>
      <w:bookmarkEnd w:id="2"/>
      <w:r w:rsidRPr="00191C75">
        <w:rPr>
          <w:rFonts w:ascii="Times New Roman" w:hAnsi="Times New Roman"/>
          <w:sz w:val="24"/>
          <w:szCs w:val="24"/>
          <w:shd w:val="clear" w:color="auto" w:fill="FFFFFF"/>
        </w:rPr>
        <w:t xml:space="preserve">Durante o período de 2010 a 2015, a criação de novos empreendimentos aumenta em cerca de 28,51% </w:t>
      </w:r>
      <w:r w:rsidRPr="00191C75">
        <w:rPr>
          <w:rFonts w:ascii="Times New Roman" w:hAnsi="Times New Roman"/>
          <w:noProof/>
          <w:sz w:val="24"/>
          <w:szCs w:val="24"/>
          <w:shd w:val="clear" w:color="auto" w:fill="FFFFFF"/>
        </w:rPr>
        <w:t>(</w:t>
      </w:r>
      <w:r w:rsidR="00831197" w:rsidRPr="00191C75">
        <w:rPr>
          <w:rFonts w:ascii="Times New Roman" w:hAnsi="Times New Roman"/>
          <w:noProof/>
          <w:sz w:val="24"/>
          <w:szCs w:val="24"/>
          <w:shd w:val="clear" w:color="auto" w:fill="FFFFFF"/>
        </w:rPr>
        <w:t>SERASA EXPERIAN</w:t>
      </w:r>
      <w:r w:rsidRPr="00191C75">
        <w:rPr>
          <w:rFonts w:ascii="Times New Roman" w:hAnsi="Times New Roman"/>
          <w:noProof/>
          <w:sz w:val="24"/>
          <w:szCs w:val="24"/>
          <w:shd w:val="clear" w:color="auto" w:fill="FFFFFF"/>
        </w:rPr>
        <w:t>, 2016)</w:t>
      </w:r>
      <w:r w:rsidRPr="00191C75">
        <w:rPr>
          <w:rFonts w:ascii="Times New Roman" w:hAnsi="Times New Roman"/>
          <w:sz w:val="24"/>
          <w:szCs w:val="24"/>
          <w:shd w:val="clear" w:color="auto" w:fill="FFFFFF"/>
        </w:rPr>
        <w:t xml:space="preserve">. </w:t>
      </w:r>
      <w:r w:rsidRPr="00191C75">
        <w:rPr>
          <w:rFonts w:ascii="Times New Roman" w:hAnsi="Times New Roman"/>
          <w:sz w:val="24"/>
          <w:szCs w:val="24"/>
        </w:rPr>
        <w:t xml:space="preserve">Esse crescimento, aliado à dificuldade de financiamento encontrada por empresas estreantes no mercado caracterizam o ambiente de empreendedorismo nacional como solo fértil à indústria de </w:t>
      </w:r>
      <w:r w:rsidRPr="00191C75">
        <w:rPr>
          <w:rFonts w:ascii="Times New Roman" w:hAnsi="Times New Roman"/>
          <w:i/>
          <w:sz w:val="24"/>
          <w:szCs w:val="24"/>
        </w:rPr>
        <w:t>Venture Capital</w:t>
      </w:r>
      <w:r w:rsidRPr="00191C75">
        <w:rPr>
          <w:rFonts w:ascii="Times New Roman" w:hAnsi="Times New Roman"/>
          <w:sz w:val="24"/>
          <w:szCs w:val="24"/>
        </w:rPr>
        <w:t xml:space="preserve"> (</w:t>
      </w:r>
      <w:proofErr w:type="spellStart"/>
      <w:r w:rsidRPr="00191C75">
        <w:rPr>
          <w:rFonts w:ascii="Times New Roman" w:hAnsi="Times New Roman"/>
          <w:sz w:val="24"/>
          <w:szCs w:val="24"/>
        </w:rPr>
        <w:t>VC</w:t>
      </w:r>
      <w:proofErr w:type="spellEnd"/>
      <w:r w:rsidRPr="00191C75">
        <w:rPr>
          <w:rFonts w:ascii="Times New Roman" w:hAnsi="Times New Roman"/>
          <w:sz w:val="24"/>
          <w:szCs w:val="24"/>
        </w:rPr>
        <w:t xml:space="preserve">) e </w:t>
      </w:r>
      <w:r w:rsidRPr="00191C75">
        <w:rPr>
          <w:rFonts w:ascii="Times New Roman" w:hAnsi="Times New Roman"/>
          <w:i/>
          <w:sz w:val="24"/>
          <w:szCs w:val="24"/>
        </w:rPr>
        <w:t>Private Equity</w:t>
      </w:r>
      <w:r w:rsidRPr="00191C75">
        <w:rPr>
          <w:rFonts w:ascii="Times New Roman" w:hAnsi="Times New Roman"/>
          <w:sz w:val="24"/>
          <w:szCs w:val="24"/>
        </w:rPr>
        <w:t xml:space="preserve"> (PE)</w:t>
      </w:r>
      <w:r w:rsidRPr="00191C75">
        <w:rPr>
          <w:rFonts w:ascii="Times New Roman" w:hAnsi="Times New Roman"/>
          <w:noProof/>
          <w:sz w:val="24"/>
          <w:szCs w:val="24"/>
        </w:rPr>
        <w:t xml:space="preserve"> (</w:t>
      </w:r>
      <w:r w:rsidR="00831197" w:rsidRPr="00191C75">
        <w:rPr>
          <w:rFonts w:ascii="Times New Roman" w:hAnsi="Times New Roman"/>
          <w:noProof/>
          <w:sz w:val="24"/>
          <w:szCs w:val="24"/>
        </w:rPr>
        <w:t>MEIRELLES; PIMENTA JÚNIOR; REBELATTO</w:t>
      </w:r>
      <w:r w:rsidRPr="00191C75">
        <w:rPr>
          <w:rFonts w:ascii="Times New Roman" w:hAnsi="Times New Roman"/>
          <w:noProof/>
          <w:sz w:val="24"/>
          <w:szCs w:val="24"/>
        </w:rPr>
        <w:t>, 2008</w:t>
      </w:r>
      <w:r w:rsidR="00376CF5" w:rsidRPr="00191C75">
        <w:rPr>
          <w:rFonts w:ascii="Times New Roman" w:hAnsi="Times New Roman"/>
          <w:noProof/>
          <w:sz w:val="24"/>
          <w:szCs w:val="24"/>
        </w:rPr>
        <w:t xml:space="preserve">; </w:t>
      </w:r>
      <w:r w:rsidR="00831197" w:rsidRPr="00191C75">
        <w:rPr>
          <w:rFonts w:ascii="Times New Roman" w:hAnsi="Times New Roman"/>
          <w:noProof/>
          <w:sz w:val="24"/>
          <w:szCs w:val="24"/>
        </w:rPr>
        <w:t>FEIL; CONTO,</w:t>
      </w:r>
      <w:r w:rsidR="00376CF5" w:rsidRPr="00191C75">
        <w:rPr>
          <w:rFonts w:ascii="Times New Roman" w:hAnsi="Times New Roman"/>
          <w:noProof/>
          <w:sz w:val="24"/>
          <w:szCs w:val="24"/>
        </w:rPr>
        <w:t xml:space="preserve"> 2018</w:t>
      </w:r>
      <w:r w:rsidRPr="00191C75">
        <w:rPr>
          <w:rFonts w:ascii="Times New Roman" w:hAnsi="Times New Roman"/>
          <w:noProof/>
          <w:sz w:val="24"/>
          <w:szCs w:val="24"/>
        </w:rPr>
        <w:t>)</w:t>
      </w:r>
      <w:r w:rsidRPr="00191C75">
        <w:rPr>
          <w:rFonts w:ascii="Times New Roman" w:hAnsi="Times New Roman"/>
          <w:sz w:val="24"/>
          <w:szCs w:val="24"/>
        </w:rPr>
        <w:t>.</w:t>
      </w:r>
    </w:p>
    <w:p w14:paraId="72F9DB03" w14:textId="77777777" w:rsidR="003E49D5" w:rsidRPr="00191C75" w:rsidRDefault="003E49D5" w:rsidP="00115351">
      <w:pPr>
        <w:spacing w:after="0" w:line="240" w:lineRule="auto"/>
        <w:ind w:firstLine="709"/>
        <w:jc w:val="both"/>
        <w:rPr>
          <w:rFonts w:ascii="Times New Roman" w:hAnsi="Times New Roman"/>
          <w:sz w:val="24"/>
          <w:szCs w:val="24"/>
        </w:rPr>
      </w:pPr>
    </w:p>
    <w:p w14:paraId="7653E837" w14:textId="0D0FDC2D" w:rsidR="003E49D5" w:rsidRPr="00191C75" w:rsidRDefault="003E49D5" w:rsidP="00115351">
      <w:pPr>
        <w:spacing w:after="0" w:line="240" w:lineRule="auto"/>
        <w:ind w:firstLine="709"/>
        <w:jc w:val="both"/>
        <w:rPr>
          <w:rFonts w:ascii="Times New Roman" w:hAnsi="Times New Roman"/>
          <w:sz w:val="24"/>
          <w:szCs w:val="24"/>
        </w:rPr>
      </w:pPr>
      <w:r w:rsidRPr="00191C75">
        <w:rPr>
          <w:rFonts w:ascii="Times New Roman" w:hAnsi="Times New Roman"/>
          <w:sz w:val="24"/>
          <w:szCs w:val="24"/>
        </w:rPr>
        <w:t xml:space="preserve">Essa indústria é composta por fundos que atuam como intermediários financeiros junto às fontes de financiamento, operando entre investidores institucionais e empreendimentos que possuem elevado crescimento e risco. Apesar de terem qualidades similares, existem diferenças na definição de fundos de VC e de PE. A principal delas é que fundos de VC concentram seu campo de atuação em empreendimentos em estágios iniciais como </w:t>
      </w:r>
      <w:proofErr w:type="spellStart"/>
      <w:r w:rsidRPr="00191C75">
        <w:rPr>
          <w:rFonts w:ascii="Times New Roman" w:hAnsi="Times New Roman"/>
          <w:i/>
          <w:sz w:val="24"/>
          <w:szCs w:val="24"/>
        </w:rPr>
        <w:t>seed</w:t>
      </w:r>
      <w:proofErr w:type="spellEnd"/>
      <w:r w:rsidRPr="00191C75">
        <w:rPr>
          <w:rFonts w:ascii="Times New Roman" w:hAnsi="Times New Roman"/>
          <w:i/>
          <w:sz w:val="24"/>
          <w:szCs w:val="24"/>
        </w:rPr>
        <w:t xml:space="preserve"> capital</w:t>
      </w:r>
      <w:r w:rsidRPr="00191C75">
        <w:rPr>
          <w:rFonts w:ascii="Times New Roman" w:hAnsi="Times New Roman"/>
          <w:sz w:val="24"/>
          <w:szCs w:val="24"/>
        </w:rPr>
        <w:t xml:space="preserve"> e </w:t>
      </w:r>
      <w:proofErr w:type="spellStart"/>
      <w:r w:rsidRPr="00191C75">
        <w:rPr>
          <w:rFonts w:ascii="Times New Roman" w:hAnsi="Times New Roman"/>
          <w:i/>
          <w:sz w:val="24"/>
          <w:szCs w:val="24"/>
        </w:rPr>
        <w:t>start-ups</w:t>
      </w:r>
      <w:proofErr w:type="spellEnd"/>
      <w:r w:rsidRPr="00191C75">
        <w:rPr>
          <w:rFonts w:ascii="Times New Roman" w:hAnsi="Times New Roman"/>
          <w:sz w:val="24"/>
          <w:szCs w:val="24"/>
        </w:rPr>
        <w:t xml:space="preserve">; enquanto que fundos de PE atuam em todos os estágios de uma empresa, não se limitando a níveis de desenvolvimento. </w:t>
      </w:r>
      <w:r w:rsidRPr="00191C75">
        <w:rPr>
          <w:rFonts w:ascii="Times New Roman" w:eastAsia="Times New Roman" w:hAnsi="Times New Roman"/>
          <w:sz w:val="24"/>
          <w:szCs w:val="24"/>
          <w:lang w:eastAsia="pt-BR"/>
        </w:rPr>
        <w:t xml:space="preserve">Entre as formas mais comuns de desinvestimento dos fundos de VC/PE está a abertura de capital, também conhecida como </w:t>
      </w:r>
      <w:proofErr w:type="spellStart"/>
      <w:r w:rsidRPr="00191C75">
        <w:rPr>
          <w:rFonts w:ascii="Times New Roman" w:eastAsia="Times New Roman" w:hAnsi="Times New Roman"/>
          <w:i/>
          <w:sz w:val="24"/>
          <w:szCs w:val="24"/>
          <w:lang w:eastAsia="pt-BR"/>
        </w:rPr>
        <w:t>Initial</w:t>
      </w:r>
      <w:proofErr w:type="spellEnd"/>
      <w:r w:rsidRPr="00191C75">
        <w:rPr>
          <w:rFonts w:ascii="Times New Roman" w:eastAsia="Times New Roman" w:hAnsi="Times New Roman"/>
          <w:i/>
          <w:sz w:val="24"/>
          <w:szCs w:val="24"/>
          <w:lang w:eastAsia="pt-BR"/>
        </w:rPr>
        <w:t xml:space="preserve"> </w:t>
      </w:r>
      <w:proofErr w:type="spellStart"/>
      <w:r w:rsidRPr="00191C75">
        <w:rPr>
          <w:rFonts w:ascii="Times New Roman" w:eastAsia="Times New Roman" w:hAnsi="Times New Roman"/>
          <w:i/>
          <w:sz w:val="24"/>
          <w:szCs w:val="24"/>
          <w:lang w:eastAsia="pt-BR"/>
        </w:rPr>
        <w:t>Public</w:t>
      </w:r>
      <w:proofErr w:type="spellEnd"/>
      <w:r w:rsidRPr="00191C75">
        <w:rPr>
          <w:rFonts w:ascii="Times New Roman" w:eastAsia="Times New Roman" w:hAnsi="Times New Roman"/>
          <w:i/>
          <w:sz w:val="24"/>
          <w:szCs w:val="24"/>
          <w:lang w:eastAsia="pt-BR"/>
        </w:rPr>
        <w:t xml:space="preserve"> </w:t>
      </w:r>
      <w:proofErr w:type="spellStart"/>
      <w:r w:rsidRPr="00191C75">
        <w:rPr>
          <w:rFonts w:ascii="Times New Roman" w:eastAsia="Times New Roman" w:hAnsi="Times New Roman"/>
          <w:i/>
          <w:sz w:val="24"/>
          <w:szCs w:val="24"/>
          <w:lang w:eastAsia="pt-BR"/>
        </w:rPr>
        <w:t>Offer</w:t>
      </w:r>
      <w:proofErr w:type="spellEnd"/>
      <w:r w:rsidRPr="00191C75">
        <w:rPr>
          <w:rFonts w:ascii="Times New Roman" w:eastAsia="Times New Roman" w:hAnsi="Times New Roman"/>
          <w:i/>
          <w:sz w:val="24"/>
          <w:szCs w:val="24"/>
          <w:lang w:eastAsia="pt-BR"/>
        </w:rPr>
        <w:t xml:space="preserve"> </w:t>
      </w:r>
      <w:r w:rsidRPr="00191C75">
        <w:rPr>
          <w:rFonts w:ascii="Times New Roman" w:eastAsia="Times New Roman" w:hAnsi="Times New Roman"/>
          <w:sz w:val="24"/>
          <w:szCs w:val="24"/>
          <w:lang w:eastAsia="pt-BR"/>
        </w:rPr>
        <w:t>(</w:t>
      </w:r>
      <w:proofErr w:type="spellStart"/>
      <w:r w:rsidRPr="00191C75">
        <w:rPr>
          <w:rFonts w:ascii="Times New Roman" w:eastAsia="Times New Roman" w:hAnsi="Times New Roman"/>
          <w:sz w:val="24"/>
          <w:szCs w:val="24"/>
          <w:lang w:eastAsia="pt-BR"/>
        </w:rPr>
        <w:t>IPO</w:t>
      </w:r>
      <w:proofErr w:type="spellEnd"/>
      <w:r w:rsidRPr="00191C75">
        <w:rPr>
          <w:rFonts w:ascii="Times New Roman" w:eastAsia="Times New Roman" w:hAnsi="Times New Roman"/>
          <w:sz w:val="24"/>
          <w:szCs w:val="24"/>
          <w:lang w:eastAsia="pt-BR"/>
        </w:rPr>
        <w:t>).</w:t>
      </w:r>
      <w:r w:rsidRPr="00191C75">
        <w:rPr>
          <w:rFonts w:ascii="Times New Roman" w:hAnsi="Times New Roman"/>
          <w:sz w:val="24"/>
          <w:szCs w:val="24"/>
        </w:rPr>
        <w:t xml:space="preserve"> Em média, o ciclo de vida de um investimento de VC/PE conclui-se entre 2 e 7 anos </w:t>
      </w:r>
      <w:r w:rsidRPr="00191C75">
        <w:rPr>
          <w:rFonts w:ascii="Times New Roman" w:hAnsi="Times New Roman"/>
          <w:noProof/>
          <w:sz w:val="24"/>
          <w:szCs w:val="24"/>
        </w:rPr>
        <w:t>(</w:t>
      </w:r>
      <w:r w:rsidR="005224A7" w:rsidRPr="00191C75">
        <w:rPr>
          <w:rFonts w:ascii="Times New Roman" w:hAnsi="Times New Roman"/>
          <w:noProof/>
          <w:sz w:val="24"/>
          <w:szCs w:val="24"/>
        </w:rPr>
        <w:t>CUMMING; MACINTOSH, 2003; CUMMING</w:t>
      </w:r>
      <w:r w:rsidR="00392D76" w:rsidRPr="00191C75">
        <w:rPr>
          <w:rFonts w:ascii="Times New Roman" w:hAnsi="Times New Roman"/>
          <w:noProof/>
          <w:sz w:val="24"/>
          <w:szCs w:val="24"/>
        </w:rPr>
        <w:t>;</w:t>
      </w:r>
      <w:r w:rsidR="005224A7" w:rsidRPr="00191C75">
        <w:rPr>
          <w:rFonts w:ascii="Times New Roman" w:hAnsi="Times New Roman"/>
          <w:noProof/>
          <w:sz w:val="24"/>
          <w:szCs w:val="24"/>
        </w:rPr>
        <w:t xml:space="preserve"> JOHAN, 2014)</w:t>
      </w:r>
      <w:r w:rsidR="005224A7" w:rsidRPr="00191C75">
        <w:rPr>
          <w:rFonts w:ascii="Times New Roman" w:hAnsi="Times New Roman"/>
          <w:sz w:val="24"/>
          <w:szCs w:val="24"/>
        </w:rPr>
        <w:t>.</w:t>
      </w:r>
    </w:p>
    <w:p w14:paraId="0C007600" w14:textId="77777777" w:rsidR="003E49D5" w:rsidRPr="00191C75" w:rsidRDefault="003E49D5" w:rsidP="00115351">
      <w:pPr>
        <w:spacing w:after="0" w:line="240" w:lineRule="auto"/>
        <w:ind w:firstLine="709"/>
        <w:jc w:val="both"/>
        <w:rPr>
          <w:rFonts w:ascii="Times New Roman" w:hAnsi="Times New Roman"/>
          <w:sz w:val="24"/>
          <w:szCs w:val="24"/>
        </w:rPr>
      </w:pPr>
    </w:p>
    <w:p w14:paraId="08BBA6C2" w14:textId="77777777" w:rsidR="003E49D5" w:rsidRPr="00191C75" w:rsidRDefault="003E49D5" w:rsidP="00115351">
      <w:pPr>
        <w:spacing w:after="0" w:line="240" w:lineRule="auto"/>
        <w:ind w:firstLine="709"/>
        <w:jc w:val="both"/>
        <w:rPr>
          <w:rFonts w:ascii="Times New Roman" w:hAnsi="Times New Roman"/>
          <w:sz w:val="24"/>
          <w:szCs w:val="24"/>
          <w:shd w:val="clear" w:color="auto" w:fill="FFFFFF"/>
        </w:rPr>
      </w:pPr>
      <w:r w:rsidRPr="00191C75">
        <w:rPr>
          <w:rFonts w:ascii="Times New Roman" w:hAnsi="Times New Roman"/>
          <w:sz w:val="24"/>
          <w:szCs w:val="24"/>
          <w:shd w:val="clear" w:color="auto" w:fill="FFFFFF"/>
        </w:rPr>
        <w:t xml:space="preserve">Segundo Cumming e Johan (2008), a presença de fundos de investimentos de VC/PE em empresas contribui para a redução da assimetria informacional no mercado por intermédio da atuação dos gestores dos fundos. Eles submetem as empresas prospectadas a processos de </w:t>
      </w:r>
      <w:proofErr w:type="spellStart"/>
      <w:r w:rsidRPr="00191C75">
        <w:rPr>
          <w:rFonts w:ascii="Times New Roman" w:hAnsi="Times New Roman"/>
          <w:i/>
          <w:sz w:val="24"/>
          <w:szCs w:val="24"/>
          <w:shd w:val="clear" w:color="auto" w:fill="FFFFFF"/>
        </w:rPr>
        <w:t>due</w:t>
      </w:r>
      <w:proofErr w:type="spellEnd"/>
      <w:r w:rsidRPr="00191C75">
        <w:rPr>
          <w:rFonts w:ascii="Times New Roman" w:hAnsi="Times New Roman"/>
          <w:i/>
          <w:sz w:val="24"/>
          <w:szCs w:val="24"/>
          <w:shd w:val="clear" w:color="auto" w:fill="FFFFFF"/>
        </w:rPr>
        <w:t xml:space="preserve"> </w:t>
      </w:r>
      <w:proofErr w:type="spellStart"/>
      <w:r w:rsidRPr="00191C75">
        <w:rPr>
          <w:rFonts w:ascii="Times New Roman" w:hAnsi="Times New Roman"/>
          <w:i/>
          <w:sz w:val="24"/>
          <w:szCs w:val="24"/>
          <w:shd w:val="clear" w:color="auto" w:fill="FFFFFF"/>
        </w:rPr>
        <w:t>diligence</w:t>
      </w:r>
      <w:proofErr w:type="spellEnd"/>
      <w:r w:rsidRPr="00191C75">
        <w:rPr>
          <w:rFonts w:ascii="Times New Roman" w:hAnsi="Times New Roman"/>
          <w:sz w:val="24"/>
          <w:szCs w:val="24"/>
          <w:shd w:val="clear" w:color="auto" w:fill="FFFFFF"/>
        </w:rPr>
        <w:t xml:space="preserve"> e outras análises, a fim de avaliar seus riscos e oportunidades. Assim, organizações que recebem tais investimentos são vistas como mais confiáveis por investidores não ligados aos fundos, criando um “selo de qualidade” ao seu IPO.</w:t>
      </w:r>
    </w:p>
    <w:p w14:paraId="21F92244" w14:textId="77777777" w:rsidR="003E49D5" w:rsidRPr="00191C75" w:rsidRDefault="003E49D5" w:rsidP="00115351">
      <w:pPr>
        <w:spacing w:after="0" w:line="240" w:lineRule="auto"/>
        <w:ind w:firstLine="709"/>
        <w:jc w:val="both"/>
        <w:rPr>
          <w:rFonts w:ascii="Times New Roman" w:hAnsi="Times New Roman"/>
          <w:sz w:val="24"/>
          <w:szCs w:val="24"/>
          <w:shd w:val="clear" w:color="auto" w:fill="FFFFFF"/>
        </w:rPr>
      </w:pPr>
    </w:p>
    <w:p w14:paraId="6DA4509C" w14:textId="66C61DA0" w:rsidR="003E49D5" w:rsidRPr="00191C75" w:rsidRDefault="003E49D5" w:rsidP="00115351">
      <w:pPr>
        <w:spacing w:after="0" w:line="240" w:lineRule="auto"/>
        <w:ind w:firstLine="709"/>
        <w:jc w:val="both"/>
        <w:rPr>
          <w:rFonts w:ascii="Times New Roman" w:hAnsi="Times New Roman"/>
          <w:sz w:val="24"/>
          <w:szCs w:val="24"/>
        </w:rPr>
      </w:pPr>
      <w:r w:rsidRPr="00191C75">
        <w:rPr>
          <w:rFonts w:ascii="Times New Roman" w:eastAsia="Times New Roman" w:hAnsi="Times New Roman"/>
          <w:sz w:val="24"/>
          <w:szCs w:val="24"/>
          <w:lang w:eastAsia="pt-BR"/>
        </w:rPr>
        <w:t xml:space="preserve">Estudos destacam os benefícios dos aportes de fundos de VC/PE nos desinvestimentos conduzidos por meio de IPOs, sendo: menor </w:t>
      </w:r>
      <w:r w:rsidRPr="00191C75">
        <w:rPr>
          <w:rFonts w:ascii="Times New Roman" w:eastAsia="Times New Roman" w:hAnsi="Times New Roman"/>
          <w:i/>
          <w:sz w:val="24"/>
          <w:szCs w:val="24"/>
          <w:lang w:eastAsia="pt-BR"/>
        </w:rPr>
        <w:t xml:space="preserve">underpricing </w:t>
      </w:r>
      <w:r w:rsidRPr="00191C75">
        <w:rPr>
          <w:rFonts w:ascii="Times New Roman" w:eastAsia="Times New Roman" w:hAnsi="Times New Roman"/>
          <w:sz w:val="24"/>
          <w:szCs w:val="24"/>
          <w:lang w:eastAsia="pt-BR"/>
        </w:rPr>
        <w:t xml:space="preserve">e custo de alocação, além de retorno anormal acumulado - </w:t>
      </w:r>
      <w:proofErr w:type="spellStart"/>
      <w:r w:rsidRPr="00191C75">
        <w:rPr>
          <w:rFonts w:ascii="Times New Roman" w:eastAsia="Times New Roman" w:hAnsi="Times New Roman"/>
          <w:i/>
          <w:sz w:val="24"/>
          <w:szCs w:val="24"/>
          <w:lang w:eastAsia="pt-BR"/>
        </w:rPr>
        <w:t>Cumulative</w:t>
      </w:r>
      <w:proofErr w:type="spellEnd"/>
      <w:r w:rsidRPr="00191C75">
        <w:rPr>
          <w:rFonts w:ascii="Times New Roman" w:eastAsia="Times New Roman" w:hAnsi="Times New Roman"/>
          <w:i/>
          <w:sz w:val="24"/>
          <w:szCs w:val="24"/>
          <w:lang w:eastAsia="pt-BR"/>
        </w:rPr>
        <w:t xml:space="preserve"> Abnormal </w:t>
      </w:r>
      <w:proofErr w:type="spellStart"/>
      <w:r w:rsidRPr="00191C75">
        <w:rPr>
          <w:rFonts w:ascii="Times New Roman" w:eastAsia="Times New Roman" w:hAnsi="Times New Roman"/>
          <w:i/>
          <w:sz w:val="24"/>
          <w:szCs w:val="24"/>
          <w:lang w:eastAsia="pt-BR"/>
        </w:rPr>
        <w:t>Return</w:t>
      </w:r>
      <w:proofErr w:type="spellEnd"/>
      <w:r w:rsidRPr="00191C75">
        <w:rPr>
          <w:rFonts w:ascii="Times New Roman" w:eastAsia="Times New Roman" w:hAnsi="Times New Roman"/>
          <w:sz w:val="24"/>
          <w:szCs w:val="24"/>
          <w:lang w:eastAsia="pt-BR"/>
        </w:rPr>
        <w:t xml:space="preserve"> (</w:t>
      </w:r>
      <w:proofErr w:type="spellStart"/>
      <w:r w:rsidRPr="00191C75">
        <w:rPr>
          <w:rFonts w:ascii="Times New Roman" w:eastAsia="Times New Roman" w:hAnsi="Times New Roman"/>
          <w:sz w:val="24"/>
          <w:szCs w:val="24"/>
          <w:lang w:eastAsia="pt-BR"/>
        </w:rPr>
        <w:t>CAR</w:t>
      </w:r>
      <w:proofErr w:type="spellEnd"/>
      <w:r w:rsidRPr="00191C75">
        <w:rPr>
          <w:rFonts w:ascii="Times New Roman" w:eastAsia="Times New Roman" w:hAnsi="Times New Roman"/>
          <w:sz w:val="24"/>
          <w:szCs w:val="24"/>
          <w:lang w:eastAsia="pt-BR"/>
        </w:rPr>
        <w:t xml:space="preserve">) - maior do que aqueles observados nas empresas que não são contempladas com tais investimentos </w:t>
      </w:r>
      <w:r w:rsidRPr="00191C75">
        <w:rPr>
          <w:rFonts w:ascii="Times New Roman" w:eastAsia="Times New Roman" w:hAnsi="Times New Roman"/>
          <w:noProof/>
          <w:sz w:val="24"/>
          <w:szCs w:val="24"/>
          <w:lang w:eastAsia="pt-BR"/>
        </w:rPr>
        <w:t>(</w:t>
      </w:r>
      <w:r w:rsidR="003F642F" w:rsidRPr="00191C75">
        <w:rPr>
          <w:rFonts w:ascii="Times New Roman" w:eastAsia="Times New Roman" w:hAnsi="Times New Roman"/>
          <w:noProof/>
          <w:sz w:val="24"/>
          <w:szCs w:val="24"/>
          <w:lang w:eastAsia="pt-BR"/>
        </w:rPr>
        <w:t>MEGGINSON; WEISS, 1991; TESTA; LIMA, 2014)</w:t>
      </w:r>
      <w:r w:rsidR="003F642F" w:rsidRPr="00191C75">
        <w:rPr>
          <w:rFonts w:ascii="Times New Roman" w:eastAsia="Times New Roman" w:hAnsi="Times New Roman"/>
          <w:sz w:val="24"/>
          <w:szCs w:val="24"/>
          <w:lang w:eastAsia="pt-BR"/>
        </w:rPr>
        <w:t>.</w:t>
      </w:r>
      <w:r w:rsidRPr="00191C75">
        <w:rPr>
          <w:rFonts w:ascii="Times New Roman" w:eastAsia="Times New Roman" w:hAnsi="Times New Roman"/>
          <w:sz w:val="24"/>
          <w:szCs w:val="24"/>
          <w:lang w:eastAsia="pt-BR"/>
        </w:rPr>
        <w:t xml:space="preserve"> Segundo a teoria da sinalização, isso se deve à capacidade dos gestores de fundos de VC/PE de reduzir a assimetria informacional, observada pelos participantes do IPO, colaborando com a distribuição da informação para o mercado </w:t>
      </w:r>
      <w:r w:rsidR="008E7C7F" w:rsidRPr="00191C75">
        <w:rPr>
          <w:rFonts w:ascii="Times New Roman" w:eastAsia="Times New Roman" w:hAnsi="Times New Roman"/>
          <w:noProof/>
          <w:sz w:val="24"/>
          <w:szCs w:val="24"/>
          <w:lang w:eastAsia="pt-BR"/>
        </w:rPr>
        <w:t>(ARAÚJO, 2014</w:t>
      </w:r>
      <w:r w:rsidRPr="00191C75">
        <w:rPr>
          <w:rFonts w:ascii="Times New Roman" w:eastAsia="Times New Roman" w:hAnsi="Times New Roman"/>
          <w:noProof/>
          <w:sz w:val="24"/>
          <w:szCs w:val="24"/>
          <w:lang w:eastAsia="pt-BR"/>
        </w:rPr>
        <w:t>)</w:t>
      </w:r>
      <w:r w:rsidRPr="00191C75">
        <w:rPr>
          <w:rFonts w:ascii="Times New Roman" w:eastAsia="Times New Roman" w:hAnsi="Times New Roman"/>
          <w:sz w:val="24"/>
          <w:szCs w:val="24"/>
          <w:lang w:eastAsia="pt-BR"/>
        </w:rPr>
        <w:t xml:space="preserve">. Logo, espera-se que essas companhias tenham desempenho superior àquelas que também abrem capital; </w:t>
      </w:r>
      <w:r w:rsidRPr="00191C75">
        <w:rPr>
          <w:rFonts w:ascii="Times New Roman" w:hAnsi="Times New Roman"/>
          <w:sz w:val="24"/>
          <w:szCs w:val="24"/>
        </w:rPr>
        <w:t>porém, sem o monitoramento de fundos de VC/PE.</w:t>
      </w:r>
    </w:p>
    <w:p w14:paraId="53B55C91" w14:textId="77777777" w:rsidR="003E49D5" w:rsidRPr="00191C75" w:rsidRDefault="003E49D5" w:rsidP="00115351">
      <w:pPr>
        <w:spacing w:after="0" w:line="240" w:lineRule="auto"/>
        <w:ind w:firstLine="709"/>
        <w:jc w:val="both"/>
        <w:rPr>
          <w:rFonts w:ascii="Times New Roman" w:hAnsi="Times New Roman"/>
          <w:sz w:val="24"/>
          <w:szCs w:val="24"/>
        </w:rPr>
      </w:pPr>
    </w:p>
    <w:p w14:paraId="6FAD1617" w14:textId="77777777" w:rsidR="003E49D5" w:rsidRPr="00191C75" w:rsidRDefault="003E49D5" w:rsidP="00115351">
      <w:pPr>
        <w:spacing w:after="0" w:line="240" w:lineRule="auto"/>
        <w:ind w:firstLine="709"/>
        <w:jc w:val="both"/>
        <w:rPr>
          <w:rFonts w:ascii="Times New Roman" w:hAnsi="Times New Roman"/>
          <w:sz w:val="24"/>
          <w:szCs w:val="24"/>
        </w:rPr>
      </w:pPr>
      <w:r w:rsidRPr="00191C75">
        <w:rPr>
          <w:rFonts w:ascii="Times New Roman" w:hAnsi="Times New Roman"/>
          <w:sz w:val="24"/>
          <w:szCs w:val="24"/>
        </w:rPr>
        <w:t xml:space="preserve">De acordo com Ribeiro e </w:t>
      </w:r>
      <w:proofErr w:type="spellStart"/>
      <w:r w:rsidRPr="00191C75">
        <w:rPr>
          <w:rFonts w:ascii="Times New Roman" w:hAnsi="Times New Roman"/>
          <w:sz w:val="24"/>
          <w:szCs w:val="24"/>
        </w:rPr>
        <w:t>Tironi</w:t>
      </w:r>
      <w:proofErr w:type="spellEnd"/>
      <w:r w:rsidRPr="00191C75">
        <w:rPr>
          <w:rFonts w:ascii="Times New Roman" w:hAnsi="Times New Roman"/>
          <w:sz w:val="24"/>
          <w:szCs w:val="24"/>
        </w:rPr>
        <w:t xml:space="preserve"> (2007), a atividade de VC/PE é uma alternativa viável ao financiamento tradicional, obtido por meio de empréstimos bancários. Isso se deve ao fato de que os gestores dessa indústria estão mais adaptados a minimizar o risco associado ao investimento em empresas com poucos ativos - que possam ser utilizados como garantia - e com baixa solidez financeira. Essa alternativa auxilia empresas de pequeno e médio portes a desenvolverem-se e tornarem-se mais competitivas no mercado. Mauad e Forte (2017) destacam ainda que, em média, empresas investidas por tais fundos apresentam menor índice de endividamento em seu primeiro ano pós-IPO.</w:t>
      </w:r>
    </w:p>
    <w:p w14:paraId="5E357461" w14:textId="77777777" w:rsidR="003E49D5" w:rsidRPr="00191C75" w:rsidRDefault="003E49D5" w:rsidP="00115351">
      <w:pPr>
        <w:spacing w:after="0" w:line="240" w:lineRule="auto"/>
        <w:ind w:firstLine="709"/>
        <w:jc w:val="both"/>
        <w:rPr>
          <w:rFonts w:ascii="Times New Roman" w:hAnsi="Times New Roman"/>
          <w:sz w:val="24"/>
          <w:szCs w:val="24"/>
          <w:lang w:eastAsia="pt-BR"/>
        </w:rPr>
      </w:pPr>
    </w:p>
    <w:p w14:paraId="43BE892D" w14:textId="77777777" w:rsidR="003E49D5" w:rsidRPr="00191C75" w:rsidRDefault="003E49D5" w:rsidP="00115351">
      <w:pPr>
        <w:spacing w:after="0" w:line="240" w:lineRule="auto"/>
        <w:ind w:firstLine="709"/>
        <w:jc w:val="both"/>
        <w:rPr>
          <w:rFonts w:ascii="Times New Roman" w:hAnsi="Times New Roman"/>
          <w:sz w:val="24"/>
          <w:szCs w:val="24"/>
          <w:lang w:eastAsia="pt-BR"/>
        </w:rPr>
      </w:pPr>
      <w:r w:rsidRPr="00191C75">
        <w:rPr>
          <w:rFonts w:ascii="Times New Roman" w:hAnsi="Times New Roman"/>
          <w:sz w:val="24"/>
          <w:szCs w:val="24"/>
          <w:lang w:eastAsia="pt-BR"/>
        </w:rPr>
        <w:t xml:space="preserve">Diante do exposto, o problema de pesquisa encontrado é: a participação de fundos de VC/PE adiciona valor às empresas brasileiras? Por sua vez, o objetivo é analisar se as empresas </w:t>
      </w:r>
      <w:r w:rsidRPr="00191C75">
        <w:rPr>
          <w:rFonts w:ascii="Times New Roman" w:hAnsi="Times New Roman"/>
          <w:sz w:val="24"/>
          <w:szCs w:val="24"/>
          <w:lang w:eastAsia="pt-BR"/>
        </w:rPr>
        <w:lastRenderedPageBreak/>
        <w:t>que recebem aportes de fundos de VC/PE apresentam melhores retornos, após seu IPO, do que aquelas que não contam com essa alternativa de financiamento. Tal fato deve-se à redução da assimetria informacional das companhias que contam com a participação desses fundos, corroborando a eficiência do mercado brasileiro no nível informacional</w:t>
      </w:r>
      <w:r w:rsidRPr="00191C75">
        <w:rPr>
          <w:rFonts w:ascii="Times New Roman" w:eastAsia="Times New Roman" w:hAnsi="Times New Roman"/>
          <w:sz w:val="24"/>
          <w:szCs w:val="24"/>
          <w:lang w:eastAsia="pt-BR"/>
        </w:rPr>
        <w:t xml:space="preserve"> semiforte.</w:t>
      </w:r>
      <w:r w:rsidRPr="00191C75">
        <w:rPr>
          <w:rFonts w:ascii="Times New Roman" w:hAnsi="Times New Roman"/>
          <w:sz w:val="24"/>
          <w:szCs w:val="24"/>
          <w:lang w:eastAsia="pt-BR"/>
        </w:rPr>
        <w:t xml:space="preserve"> As hipóteses decorrentes, portanto, são: H1 - companhias - com participação prévia de fundos de VC/PE - possuem retornos superiores àquelas sem tais participações e H2 – quanto maior a participação prévia dos fundos de VC/PE no capital dessas companhias, maior o retorno de suas ações.</w:t>
      </w:r>
    </w:p>
    <w:p w14:paraId="7FA15850" w14:textId="77777777" w:rsidR="003E49D5" w:rsidRPr="00191C75" w:rsidRDefault="003E49D5" w:rsidP="00115351">
      <w:pPr>
        <w:spacing w:after="0" w:line="240" w:lineRule="auto"/>
        <w:ind w:firstLine="709"/>
        <w:jc w:val="both"/>
        <w:rPr>
          <w:rFonts w:ascii="Times New Roman" w:hAnsi="Times New Roman"/>
          <w:b/>
          <w:sz w:val="24"/>
          <w:szCs w:val="24"/>
        </w:rPr>
      </w:pPr>
    </w:p>
    <w:p w14:paraId="6BC5F483" w14:textId="77777777" w:rsidR="003E49D5" w:rsidRPr="00191C75" w:rsidRDefault="003E49D5" w:rsidP="00115351">
      <w:pPr>
        <w:spacing w:after="0" w:line="240" w:lineRule="auto"/>
        <w:ind w:firstLine="709"/>
        <w:jc w:val="both"/>
        <w:rPr>
          <w:rFonts w:ascii="Times New Roman" w:hAnsi="Times New Roman"/>
          <w:sz w:val="24"/>
          <w:szCs w:val="24"/>
          <w:lang w:eastAsia="pt-BR"/>
        </w:rPr>
      </w:pPr>
      <w:r w:rsidRPr="00191C75">
        <w:rPr>
          <w:rFonts w:ascii="Times New Roman" w:hAnsi="Times New Roman"/>
          <w:sz w:val="24"/>
          <w:szCs w:val="24"/>
        </w:rPr>
        <w:t>A verificação das hipóteses mencionadas é realizada por meio de um estudo de evento. A amostra final é composta por 83 ações cuja listagem ocorre durante o período de janeiro de 2005 a dezembro de 2016 na Bolsa Balcão Brasil (B3).</w:t>
      </w:r>
      <w:r w:rsidRPr="00191C75">
        <w:rPr>
          <w:rFonts w:ascii="Times New Roman" w:hAnsi="Times New Roman"/>
          <w:sz w:val="24"/>
          <w:szCs w:val="24"/>
          <w:lang w:eastAsia="pt-BR"/>
        </w:rPr>
        <w:t xml:space="preserve"> Compara-se o desempenho dessas ações entre dois grupos de companhias, sendo um com (36) e outro sem (47) a existência de investimentos prévios aos seus IPOs relacionados aos fundos de investimento em VC/PE. Além disso, é feita uma estratificação dos percentuais de participação desses fundos no capital dessas companhias. Os dados são obtidos na base de dados Bloomberg, bem como via </w:t>
      </w:r>
      <w:r w:rsidRPr="00191C75">
        <w:rPr>
          <w:rFonts w:ascii="Times New Roman" w:hAnsi="Times New Roman"/>
          <w:i/>
          <w:sz w:val="24"/>
          <w:szCs w:val="24"/>
          <w:lang w:eastAsia="pt-BR"/>
        </w:rPr>
        <w:t>site</w:t>
      </w:r>
      <w:r w:rsidRPr="00191C75">
        <w:rPr>
          <w:rFonts w:ascii="Times New Roman" w:hAnsi="Times New Roman"/>
          <w:sz w:val="24"/>
          <w:szCs w:val="24"/>
          <w:lang w:eastAsia="pt-BR"/>
        </w:rPr>
        <w:t xml:space="preserve"> da Comissão de Valores Mobiliários (CVM).</w:t>
      </w:r>
    </w:p>
    <w:p w14:paraId="244244BF" w14:textId="77777777" w:rsidR="003E49D5" w:rsidRPr="00191C75" w:rsidRDefault="003E49D5" w:rsidP="00115351">
      <w:pPr>
        <w:spacing w:after="0" w:line="240" w:lineRule="auto"/>
        <w:ind w:firstLine="709"/>
        <w:jc w:val="both"/>
        <w:rPr>
          <w:rFonts w:ascii="Times New Roman" w:hAnsi="Times New Roman"/>
          <w:sz w:val="24"/>
          <w:szCs w:val="24"/>
          <w:lang w:eastAsia="pt-BR"/>
        </w:rPr>
      </w:pPr>
    </w:p>
    <w:p w14:paraId="1D54104E" w14:textId="77777777" w:rsidR="003E49D5" w:rsidRPr="00191C75" w:rsidRDefault="003E49D5" w:rsidP="00115351">
      <w:pPr>
        <w:spacing w:after="0" w:line="240" w:lineRule="auto"/>
        <w:ind w:firstLine="709"/>
        <w:jc w:val="both"/>
        <w:rPr>
          <w:rFonts w:ascii="Times New Roman" w:hAnsi="Times New Roman"/>
          <w:sz w:val="24"/>
          <w:szCs w:val="24"/>
          <w:shd w:val="clear" w:color="auto" w:fill="FFFFFF"/>
        </w:rPr>
      </w:pPr>
      <w:r w:rsidRPr="00191C75">
        <w:rPr>
          <w:rFonts w:ascii="Times New Roman" w:hAnsi="Times New Roman"/>
          <w:sz w:val="24"/>
          <w:szCs w:val="24"/>
          <w:shd w:val="clear" w:color="auto" w:fill="FFFFFF"/>
        </w:rPr>
        <w:t xml:space="preserve">Esse artigo se destaca por analisar não apenas o impacto de uma eventual redução de assimetria informacional – face à participação prévia ao IPO de fundos de VC/PE – mas também por verificar a extensão dessa participação no desempenho dessas companhias, via </w:t>
      </w:r>
      <w:r w:rsidRPr="00191C75">
        <w:rPr>
          <w:rFonts w:ascii="Times New Roman" w:hAnsi="Times New Roman"/>
          <w:sz w:val="24"/>
          <w:szCs w:val="24"/>
          <w:lang w:eastAsia="pt-BR"/>
        </w:rPr>
        <w:t>estratificação dos percentuais de participação desses fundos no seu capital</w:t>
      </w:r>
      <w:r w:rsidRPr="00191C75">
        <w:rPr>
          <w:rFonts w:ascii="Times New Roman" w:hAnsi="Times New Roman"/>
          <w:sz w:val="24"/>
          <w:szCs w:val="24"/>
          <w:shd w:val="clear" w:color="auto" w:fill="FFFFFF"/>
        </w:rPr>
        <w:t xml:space="preserve">. Essa relação entre nível de participação prévia dos fundos e aumento de valor das companhias ainda é pouco explorada no Brasil, </w:t>
      </w:r>
      <w:r w:rsidRPr="00191C75">
        <w:rPr>
          <w:rFonts w:ascii="Times New Roman" w:hAnsi="Times New Roman"/>
          <w:sz w:val="24"/>
          <w:szCs w:val="24"/>
        </w:rPr>
        <w:t>em decorrência de a indústria local de fundos de VC/PE ser ainda incipiente.</w:t>
      </w:r>
      <w:r w:rsidRPr="00191C75">
        <w:rPr>
          <w:rFonts w:ascii="Times New Roman" w:hAnsi="Times New Roman"/>
          <w:sz w:val="24"/>
          <w:szCs w:val="24"/>
          <w:shd w:val="clear" w:color="auto" w:fill="FFFFFF"/>
        </w:rPr>
        <w:t xml:space="preserve"> Os resultados desse estudo podem apontar para possibilidades de decisões no mercado de fundos de VC/PE, de forma a consolidar as teorias apresentadas a seguir. </w:t>
      </w:r>
    </w:p>
    <w:p w14:paraId="3D024DAA" w14:textId="77777777" w:rsidR="003E49D5" w:rsidRPr="00191C75" w:rsidRDefault="003E49D5" w:rsidP="00B37D61">
      <w:pPr>
        <w:spacing w:after="0" w:line="240" w:lineRule="auto"/>
        <w:ind w:firstLine="567"/>
        <w:jc w:val="both"/>
        <w:rPr>
          <w:rFonts w:ascii="Times New Roman" w:hAnsi="Times New Roman"/>
          <w:sz w:val="24"/>
          <w:szCs w:val="24"/>
          <w:shd w:val="clear" w:color="auto" w:fill="FFFFFF"/>
        </w:rPr>
      </w:pPr>
    </w:p>
    <w:p w14:paraId="1C6A379F" w14:textId="648C37C3" w:rsidR="003E49D5" w:rsidRPr="00191C75" w:rsidRDefault="00A21ABC" w:rsidP="00A21ABC">
      <w:pPr>
        <w:pStyle w:val="Heading1"/>
        <w:spacing w:line="240" w:lineRule="auto"/>
        <w:jc w:val="both"/>
        <w:rPr>
          <w:color w:val="auto"/>
          <w:lang w:val="pt-BR"/>
        </w:rPr>
      </w:pPr>
      <w:r w:rsidRPr="00191C75">
        <w:rPr>
          <w:color w:val="auto"/>
          <w:lang w:val="pt-BR"/>
        </w:rPr>
        <w:t xml:space="preserve">2.      </w:t>
      </w:r>
      <w:r w:rsidR="004E242D" w:rsidRPr="00191C75">
        <w:rPr>
          <w:color w:val="auto"/>
          <w:lang w:val="pt-BR"/>
        </w:rPr>
        <w:t>Revisão da Literatura</w:t>
      </w:r>
    </w:p>
    <w:p w14:paraId="31E47F77" w14:textId="77777777" w:rsidR="003E49D5" w:rsidRPr="00191C75" w:rsidRDefault="003E49D5" w:rsidP="00B37D61">
      <w:pPr>
        <w:spacing w:after="0" w:line="240" w:lineRule="auto"/>
        <w:ind w:firstLine="567"/>
        <w:jc w:val="both"/>
        <w:rPr>
          <w:rFonts w:ascii="Times New Roman" w:hAnsi="Times New Roman"/>
          <w:sz w:val="24"/>
          <w:szCs w:val="24"/>
        </w:rPr>
      </w:pPr>
    </w:p>
    <w:p w14:paraId="25FAD49E" w14:textId="4B739B35" w:rsidR="00175EE7" w:rsidRPr="00191C75" w:rsidRDefault="003E49D5" w:rsidP="00115351">
      <w:pPr>
        <w:shd w:val="clear" w:color="auto" w:fill="FFFFFF"/>
        <w:spacing w:after="0" w:line="240" w:lineRule="auto"/>
        <w:ind w:firstLine="709"/>
        <w:jc w:val="both"/>
        <w:rPr>
          <w:rFonts w:ascii="Times New Roman" w:eastAsia="Times New Roman" w:hAnsi="Times New Roman"/>
          <w:noProof/>
          <w:sz w:val="24"/>
          <w:szCs w:val="24"/>
          <w:lang w:eastAsia="pt-BR"/>
        </w:rPr>
      </w:pPr>
      <w:r w:rsidRPr="00191C75">
        <w:rPr>
          <w:rFonts w:ascii="Times New Roman" w:eastAsia="Times New Roman" w:hAnsi="Times New Roman"/>
          <w:sz w:val="24"/>
          <w:szCs w:val="24"/>
          <w:lang w:eastAsia="pt-BR"/>
        </w:rPr>
        <w:t xml:space="preserve">VC/PE são fundos de investimentos que aplicam recursos em empresas de capital fechado, em sua maioria, bem como de capital aberto. Normalmente, essas decisões de investimento referem-se a projetos de alto risco e potencial de crescimento. O que diferencia ambos é a fase de desenvolvimento em que as empresas investidas se inserem. Os fundos de VC são voltados às empresas em fase inicial, enquanto que os de PE geralmente têm como foco empresas em estágios mais avançados, mas que ainda não podem ser classificadas como maduras </w:t>
      </w:r>
      <w:r w:rsidRPr="00191C75">
        <w:rPr>
          <w:rFonts w:ascii="Times New Roman" w:eastAsia="Times New Roman" w:hAnsi="Times New Roman"/>
          <w:noProof/>
          <w:sz w:val="24"/>
          <w:szCs w:val="24"/>
          <w:lang w:eastAsia="pt-BR"/>
        </w:rPr>
        <w:t>(</w:t>
      </w:r>
      <w:r w:rsidR="00EA4344" w:rsidRPr="00191C75">
        <w:rPr>
          <w:rFonts w:ascii="Times New Roman" w:eastAsia="Times New Roman" w:hAnsi="Times New Roman"/>
          <w:noProof/>
          <w:sz w:val="24"/>
          <w:szCs w:val="24"/>
          <w:lang w:eastAsia="pt-BR"/>
        </w:rPr>
        <w:t>GOMPERS; LERNER, 2000; WEIR; JONES; WRIGHT, 2008; ROSSI, 2010; ABVCAP, 2017).</w:t>
      </w:r>
    </w:p>
    <w:p w14:paraId="22BB89D1" w14:textId="77777777" w:rsidR="003E49D5" w:rsidRPr="00191C75" w:rsidRDefault="003E49D5" w:rsidP="00115351">
      <w:pPr>
        <w:shd w:val="clear" w:color="auto" w:fill="FFFFFF"/>
        <w:spacing w:after="0" w:line="240" w:lineRule="auto"/>
        <w:ind w:firstLine="709"/>
        <w:jc w:val="both"/>
        <w:rPr>
          <w:rFonts w:ascii="Times New Roman" w:eastAsia="Times New Roman" w:hAnsi="Times New Roman"/>
          <w:sz w:val="24"/>
          <w:szCs w:val="24"/>
          <w:lang w:eastAsia="pt-BR"/>
        </w:rPr>
      </w:pPr>
      <w:r w:rsidRPr="00191C75">
        <w:rPr>
          <w:rFonts w:ascii="Times New Roman" w:eastAsia="Times New Roman" w:hAnsi="Times New Roman"/>
          <w:noProof/>
          <w:sz w:val="24"/>
          <w:szCs w:val="24"/>
          <w:lang w:eastAsia="pt-BR"/>
        </w:rPr>
        <w:t xml:space="preserve"> </w:t>
      </w:r>
    </w:p>
    <w:p w14:paraId="0FA2D74B" w14:textId="77777777" w:rsidR="003E49D5" w:rsidRPr="00191C75" w:rsidRDefault="003E49D5" w:rsidP="00115351">
      <w:pPr>
        <w:shd w:val="clear" w:color="auto" w:fill="FFFFFF"/>
        <w:spacing w:after="0" w:line="240" w:lineRule="auto"/>
        <w:ind w:firstLine="709"/>
        <w:jc w:val="both"/>
        <w:rPr>
          <w:rFonts w:ascii="Times New Roman" w:eastAsia="Times New Roman" w:hAnsi="Times New Roman"/>
          <w:sz w:val="24"/>
          <w:szCs w:val="24"/>
          <w:lang w:eastAsia="pt-BR"/>
        </w:rPr>
      </w:pPr>
      <w:proofErr w:type="spellStart"/>
      <w:r w:rsidRPr="00191C75">
        <w:rPr>
          <w:rFonts w:ascii="Times New Roman" w:eastAsia="Times New Roman" w:hAnsi="Times New Roman"/>
          <w:sz w:val="24"/>
          <w:szCs w:val="24"/>
          <w:lang w:eastAsia="pt-BR"/>
        </w:rPr>
        <w:t>Metrik</w:t>
      </w:r>
      <w:proofErr w:type="spellEnd"/>
      <w:r w:rsidRPr="00191C75">
        <w:rPr>
          <w:rFonts w:ascii="Times New Roman" w:eastAsia="Times New Roman" w:hAnsi="Times New Roman"/>
          <w:sz w:val="24"/>
          <w:szCs w:val="24"/>
          <w:lang w:eastAsia="pt-BR"/>
        </w:rPr>
        <w:t xml:space="preserve"> (2010) afirma que existem quatro características principais dos fundos de VC/PE: a) são intermediários financeiros - captam recursos dos investidores e direcionam a empresas de seu portfólio, o que as torna responsáveis pela escolha dos investimentos b) investem a fim de gerar crescimento interno para as empresas - os gestores dos fundos utilizam mecanismos para aumentar as chances de alto retorno, buscam meios para acelerar o crescimento das empresas investidas por meio de seus redes de contato ou por estratégias bem sucedidas anteriormente; c) monitoram e ajudam as empresas do seu portfólio - os gestores dos fundos de VC/PE podem auxiliar a gestão das empresas que recebem os investimentos, seja ocupando a gestão da investida e intervindo em decisões estratégicas ou auxiliando na contratação de profissionais qualificados para exercer essa função; d) têm como objetivo principal a maximização do retorno financeiro pelo desinvestimento. </w:t>
      </w:r>
    </w:p>
    <w:p w14:paraId="752A0CD8" w14:textId="77777777" w:rsidR="003E49D5" w:rsidRPr="00191C75" w:rsidRDefault="003E49D5" w:rsidP="00115351">
      <w:pPr>
        <w:shd w:val="clear" w:color="auto" w:fill="FFFFFF"/>
        <w:spacing w:after="0" w:line="240" w:lineRule="auto"/>
        <w:ind w:firstLine="709"/>
        <w:jc w:val="both"/>
        <w:rPr>
          <w:rFonts w:ascii="Times New Roman" w:eastAsia="Times New Roman" w:hAnsi="Times New Roman"/>
          <w:sz w:val="24"/>
          <w:szCs w:val="24"/>
          <w:lang w:eastAsia="pt-BR"/>
        </w:rPr>
      </w:pPr>
    </w:p>
    <w:p w14:paraId="693BA7F0" w14:textId="0F781880" w:rsidR="003E49D5" w:rsidRPr="00191C75" w:rsidRDefault="003E49D5" w:rsidP="00115351">
      <w:pPr>
        <w:spacing w:after="0" w:line="240" w:lineRule="auto"/>
        <w:ind w:firstLine="709"/>
        <w:jc w:val="both"/>
        <w:rPr>
          <w:rFonts w:ascii="Times New Roman" w:eastAsia="Times New Roman" w:hAnsi="Times New Roman"/>
          <w:sz w:val="24"/>
          <w:szCs w:val="24"/>
          <w:lang w:eastAsia="pt-BR"/>
        </w:rPr>
      </w:pPr>
      <w:r w:rsidRPr="00191C75">
        <w:rPr>
          <w:rFonts w:ascii="Times New Roman" w:eastAsia="Times New Roman" w:hAnsi="Times New Roman"/>
          <w:sz w:val="24"/>
          <w:szCs w:val="24"/>
          <w:lang w:eastAsia="pt-BR"/>
        </w:rPr>
        <w:lastRenderedPageBreak/>
        <w:t xml:space="preserve">Além disso, os investimentos de fundos de VC/PE dividem-se em sete níveis de maturidade das investidas, sendo: a) </w:t>
      </w:r>
      <w:proofErr w:type="spellStart"/>
      <w:r w:rsidRPr="00191C75">
        <w:rPr>
          <w:rFonts w:ascii="Times New Roman" w:eastAsia="Times New Roman" w:hAnsi="Times New Roman"/>
          <w:i/>
          <w:sz w:val="24"/>
          <w:szCs w:val="24"/>
          <w:lang w:eastAsia="pt-BR"/>
        </w:rPr>
        <w:t>Seed</w:t>
      </w:r>
      <w:proofErr w:type="spellEnd"/>
      <w:r w:rsidRPr="00191C75">
        <w:rPr>
          <w:rFonts w:ascii="Times New Roman" w:eastAsia="Times New Roman" w:hAnsi="Times New Roman"/>
          <w:i/>
          <w:sz w:val="24"/>
          <w:szCs w:val="24"/>
          <w:lang w:eastAsia="pt-BR"/>
        </w:rPr>
        <w:t xml:space="preserve"> capital</w:t>
      </w:r>
      <w:r w:rsidRPr="00191C75">
        <w:rPr>
          <w:rFonts w:ascii="Times New Roman" w:eastAsia="Times New Roman" w:hAnsi="Times New Roman"/>
          <w:sz w:val="24"/>
          <w:szCs w:val="24"/>
          <w:lang w:eastAsia="pt-BR"/>
        </w:rPr>
        <w:t xml:space="preserve"> – investimentos em empresas estreantes ou em fase de concepção; b) </w:t>
      </w:r>
      <w:proofErr w:type="spellStart"/>
      <w:r w:rsidRPr="00191C75">
        <w:rPr>
          <w:rFonts w:ascii="Times New Roman" w:eastAsia="Times New Roman" w:hAnsi="Times New Roman"/>
          <w:i/>
          <w:sz w:val="24"/>
          <w:szCs w:val="24"/>
          <w:lang w:eastAsia="pt-BR"/>
        </w:rPr>
        <w:t>Start-up</w:t>
      </w:r>
      <w:proofErr w:type="spellEnd"/>
      <w:r w:rsidRPr="00191C75">
        <w:rPr>
          <w:rFonts w:ascii="Times New Roman" w:eastAsia="Times New Roman" w:hAnsi="Times New Roman"/>
          <w:sz w:val="24"/>
          <w:szCs w:val="24"/>
          <w:lang w:eastAsia="pt-BR"/>
        </w:rPr>
        <w:t xml:space="preserve"> – empresas em fase de estruturação que podem ou não apresentar receita; c) </w:t>
      </w:r>
      <w:proofErr w:type="spellStart"/>
      <w:r w:rsidRPr="00191C75">
        <w:rPr>
          <w:rFonts w:ascii="Times New Roman" w:eastAsia="Times New Roman" w:hAnsi="Times New Roman"/>
          <w:sz w:val="24"/>
          <w:szCs w:val="24"/>
          <w:lang w:eastAsia="pt-BR"/>
        </w:rPr>
        <w:t>VC</w:t>
      </w:r>
      <w:proofErr w:type="spellEnd"/>
      <w:r w:rsidRPr="00191C75">
        <w:rPr>
          <w:rFonts w:ascii="Times New Roman" w:eastAsia="Times New Roman" w:hAnsi="Times New Roman"/>
          <w:sz w:val="24"/>
          <w:szCs w:val="24"/>
          <w:lang w:eastAsia="pt-BR"/>
        </w:rPr>
        <w:t xml:space="preserve"> </w:t>
      </w:r>
      <w:proofErr w:type="spellStart"/>
      <w:r w:rsidRPr="00191C75">
        <w:rPr>
          <w:rFonts w:ascii="Times New Roman" w:eastAsia="Times New Roman" w:hAnsi="Times New Roman"/>
          <w:i/>
          <w:sz w:val="24"/>
          <w:szCs w:val="24"/>
          <w:lang w:eastAsia="pt-BR"/>
        </w:rPr>
        <w:t>early</w:t>
      </w:r>
      <w:proofErr w:type="spellEnd"/>
      <w:r w:rsidRPr="00191C75">
        <w:rPr>
          <w:rFonts w:ascii="Times New Roman" w:eastAsia="Times New Roman" w:hAnsi="Times New Roman"/>
          <w:i/>
          <w:sz w:val="24"/>
          <w:szCs w:val="24"/>
          <w:lang w:eastAsia="pt-BR"/>
        </w:rPr>
        <w:t xml:space="preserve"> </w:t>
      </w:r>
      <w:proofErr w:type="spellStart"/>
      <w:r w:rsidRPr="00191C75">
        <w:rPr>
          <w:rFonts w:ascii="Times New Roman" w:eastAsia="Times New Roman" w:hAnsi="Times New Roman"/>
          <w:i/>
          <w:sz w:val="24"/>
          <w:szCs w:val="24"/>
          <w:lang w:eastAsia="pt-BR"/>
        </w:rPr>
        <w:t>stage</w:t>
      </w:r>
      <w:proofErr w:type="spellEnd"/>
      <w:r w:rsidRPr="00191C75">
        <w:rPr>
          <w:rFonts w:ascii="Times New Roman" w:eastAsia="Times New Roman" w:hAnsi="Times New Roman"/>
          <w:sz w:val="24"/>
          <w:szCs w:val="24"/>
          <w:lang w:eastAsia="pt-BR"/>
        </w:rPr>
        <w:t xml:space="preserve"> – empresas cujo produto ou serviço já está desenvolvido; d) </w:t>
      </w:r>
      <w:proofErr w:type="spellStart"/>
      <w:r w:rsidRPr="00191C75">
        <w:rPr>
          <w:rFonts w:ascii="Times New Roman" w:eastAsia="Times New Roman" w:hAnsi="Times New Roman"/>
          <w:sz w:val="24"/>
          <w:szCs w:val="24"/>
          <w:lang w:eastAsia="pt-BR"/>
        </w:rPr>
        <w:t>VC</w:t>
      </w:r>
      <w:proofErr w:type="spellEnd"/>
      <w:r w:rsidRPr="00191C75">
        <w:rPr>
          <w:rFonts w:ascii="Times New Roman" w:eastAsia="Times New Roman" w:hAnsi="Times New Roman"/>
          <w:sz w:val="24"/>
          <w:szCs w:val="24"/>
          <w:lang w:eastAsia="pt-BR"/>
        </w:rPr>
        <w:t xml:space="preserve"> </w:t>
      </w:r>
      <w:r w:rsidRPr="00191C75">
        <w:rPr>
          <w:rFonts w:ascii="Times New Roman" w:eastAsia="Times New Roman" w:hAnsi="Times New Roman"/>
          <w:i/>
          <w:sz w:val="24"/>
          <w:szCs w:val="24"/>
          <w:lang w:eastAsia="pt-BR"/>
        </w:rPr>
        <w:t xml:space="preserve">late </w:t>
      </w:r>
      <w:proofErr w:type="spellStart"/>
      <w:r w:rsidRPr="00191C75">
        <w:rPr>
          <w:rFonts w:ascii="Times New Roman" w:eastAsia="Times New Roman" w:hAnsi="Times New Roman"/>
          <w:i/>
          <w:sz w:val="24"/>
          <w:szCs w:val="24"/>
          <w:lang w:eastAsia="pt-BR"/>
        </w:rPr>
        <w:t>stage</w:t>
      </w:r>
      <w:proofErr w:type="spellEnd"/>
      <w:r w:rsidRPr="00191C75">
        <w:rPr>
          <w:rFonts w:ascii="Times New Roman" w:eastAsia="Times New Roman" w:hAnsi="Times New Roman"/>
          <w:sz w:val="24"/>
          <w:szCs w:val="24"/>
          <w:lang w:eastAsia="pt-BR"/>
        </w:rPr>
        <w:t xml:space="preserve"> – neste estágio a empresa já apresenta receita, porém visa expandir suas operações em medida superior àquela que sua geração de caixa suporta; e) PE </w:t>
      </w:r>
      <w:proofErr w:type="spellStart"/>
      <w:r w:rsidRPr="00191C75">
        <w:rPr>
          <w:rFonts w:ascii="Times New Roman" w:eastAsia="Times New Roman" w:hAnsi="Times New Roman"/>
          <w:i/>
          <w:sz w:val="24"/>
          <w:szCs w:val="24"/>
          <w:lang w:eastAsia="pt-BR"/>
        </w:rPr>
        <w:t>growth</w:t>
      </w:r>
      <w:proofErr w:type="spellEnd"/>
      <w:r w:rsidRPr="00191C75">
        <w:rPr>
          <w:rFonts w:ascii="Times New Roman" w:eastAsia="Times New Roman" w:hAnsi="Times New Roman"/>
          <w:sz w:val="24"/>
          <w:szCs w:val="24"/>
          <w:lang w:eastAsia="pt-BR"/>
        </w:rPr>
        <w:t xml:space="preserve"> – empresas maduras cujos investimentos são destinados à expansão ou reestruturação de suas operações; f) PE </w:t>
      </w:r>
      <w:r w:rsidRPr="00191C75">
        <w:rPr>
          <w:rFonts w:ascii="Times New Roman" w:eastAsia="Times New Roman" w:hAnsi="Times New Roman"/>
          <w:i/>
          <w:sz w:val="24"/>
          <w:szCs w:val="24"/>
          <w:lang w:eastAsia="pt-BR"/>
        </w:rPr>
        <w:t xml:space="preserve">late </w:t>
      </w:r>
      <w:proofErr w:type="spellStart"/>
      <w:r w:rsidRPr="00191C75">
        <w:rPr>
          <w:rFonts w:ascii="Times New Roman" w:eastAsia="Times New Roman" w:hAnsi="Times New Roman"/>
          <w:i/>
          <w:sz w:val="24"/>
          <w:szCs w:val="24"/>
          <w:lang w:eastAsia="pt-BR"/>
        </w:rPr>
        <w:t>stage</w:t>
      </w:r>
      <w:proofErr w:type="spellEnd"/>
      <w:r w:rsidRPr="00191C75">
        <w:rPr>
          <w:rFonts w:ascii="Times New Roman" w:eastAsia="Times New Roman" w:hAnsi="Times New Roman"/>
          <w:sz w:val="24"/>
          <w:szCs w:val="24"/>
          <w:lang w:eastAsia="pt-BR"/>
        </w:rPr>
        <w:t xml:space="preserve"> – companhias em estágio avançado de maturidade que apresentam fluxo de caixa positivo; g) PE </w:t>
      </w:r>
      <w:proofErr w:type="spellStart"/>
      <w:r w:rsidRPr="00191C75">
        <w:rPr>
          <w:rFonts w:ascii="Times New Roman" w:eastAsia="Times New Roman" w:hAnsi="Times New Roman"/>
          <w:i/>
          <w:sz w:val="24"/>
          <w:szCs w:val="24"/>
          <w:lang w:eastAsia="pt-BR"/>
        </w:rPr>
        <w:t>buyout</w:t>
      </w:r>
      <w:proofErr w:type="spellEnd"/>
      <w:r w:rsidRPr="00191C75">
        <w:rPr>
          <w:rFonts w:ascii="Times New Roman" w:eastAsia="Times New Roman" w:hAnsi="Times New Roman"/>
          <w:sz w:val="24"/>
          <w:szCs w:val="24"/>
          <w:lang w:eastAsia="pt-BR"/>
        </w:rPr>
        <w:t xml:space="preserve"> – refere-se ao capital utilizado para financiar a equipe que objetiva adquirir controle de uma empresa em estágio avançado </w:t>
      </w:r>
      <w:r w:rsidR="007655D3" w:rsidRPr="00191C75">
        <w:rPr>
          <w:rFonts w:ascii="Times New Roman" w:eastAsia="Times New Roman" w:hAnsi="Times New Roman"/>
          <w:noProof/>
          <w:sz w:val="24"/>
          <w:szCs w:val="24"/>
          <w:lang w:eastAsia="pt-BR"/>
        </w:rPr>
        <w:t>(CARVALHO; RIBEIRO; FURTADO, 2006; GVCEPE, 2008; SOUSA, 2008; ABDI, 2010; ROSSI, 2010).</w:t>
      </w:r>
    </w:p>
    <w:p w14:paraId="30A68A90" w14:textId="77777777" w:rsidR="003E49D5" w:rsidRPr="00191C75" w:rsidRDefault="003E49D5" w:rsidP="00115351">
      <w:pPr>
        <w:shd w:val="clear" w:color="auto" w:fill="FFFFFF"/>
        <w:spacing w:after="0" w:line="240" w:lineRule="auto"/>
        <w:ind w:firstLine="709"/>
        <w:jc w:val="both"/>
        <w:rPr>
          <w:rFonts w:ascii="Times New Roman" w:hAnsi="Times New Roman"/>
          <w:sz w:val="24"/>
          <w:szCs w:val="24"/>
          <w:shd w:val="clear" w:color="auto" w:fill="FFFFFF"/>
        </w:rPr>
      </w:pPr>
    </w:p>
    <w:p w14:paraId="001E9121" w14:textId="26DB1962" w:rsidR="003E49D5" w:rsidRPr="00191C75" w:rsidRDefault="003E49D5" w:rsidP="00115351">
      <w:pPr>
        <w:spacing w:after="0" w:line="240" w:lineRule="auto"/>
        <w:ind w:firstLine="709"/>
        <w:jc w:val="both"/>
        <w:rPr>
          <w:rFonts w:ascii="Times New Roman" w:hAnsi="Times New Roman"/>
          <w:sz w:val="24"/>
          <w:szCs w:val="24"/>
        </w:rPr>
      </w:pPr>
      <w:r w:rsidRPr="00191C75">
        <w:rPr>
          <w:rFonts w:ascii="Times New Roman" w:hAnsi="Times New Roman"/>
          <w:sz w:val="24"/>
          <w:szCs w:val="24"/>
        </w:rPr>
        <w:t>De acordo com Cumming e Macintosh (2003), as formas mais comuns de desinvestimento são: a) IPO; b) fusão ou aquisição da empresa investida por outra empresa - venda estratégica ou </w:t>
      </w:r>
      <w:r w:rsidRPr="00191C75">
        <w:rPr>
          <w:rFonts w:ascii="Times New Roman" w:hAnsi="Times New Roman"/>
          <w:i/>
          <w:sz w:val="24"/>
          <w:szCs w:val="24"/>
        </w:rPr>
        <w:t xml:space="preserve">trade </w:t>
      </w:r>
      <w:proofErr w:type="spellStart"/>
      <w:r w:rsidRPr="00191C75">
        <w:rPr>
          <w:rFonts w:ascii="Times New Roman" w:hAnsi="Times New Roman"/>
          <w:i/>
          <w:sz w:val="24"/>
          <w:szCs w:val="24"/>
        </w:rPr>
        <w:t>sale</w:t>
      </w:r>
      <w:proofErr w:type="spellEnd"/>
      <w:r w:rsidRPr="00191C75">
        <w:rPr>
          <w:rFonts w:ascii="Times New Roman" w:hAnsi="Times New Roman"/>
          <w:sz w:val="24"/>
          <w:szCs w:val="24"/>
        </w:rPr>
        <w:t>; c) venda da participação detida pela organização de VC/PE a outro investidor - </w:t>
      </w:r>
      <w:proofErr w:type="spellStart"/>
      <w:r w:rsidRPr="00191C75">
        <w:rPr>
          <w:rFonts w:ascii="Times New Roman" w:hAnsi="Times New Roman"/>
          <w:i/>
          <w:sz w:val="24"/>
          <w:szCs w:val="24"/>
        </w:rPr>
        <w:t>secondary</w:t>
      </w:r>
      <w:proofErr w:type="spellEnd"/>
      <w:r w:rsidRPr="00191C75">
        <w:rPr>
          <w:rFonts w:ascii="Times New Roman" w:hAnsi="Times New Roman"/>
          <w:i/>
          <w:sz w:val="24"/>
          <w:szCs w:val="24"/>
        </w:rPr>
        <w:t xml:space="preserve"> </w:t>
      </w:r>
      <w:proofErr w:type="spellStart"/>
      <w:r w:rsidRPr="00191C75">
        <w:rPr>
          <w:rFonts w:ascii="Times New Roman" w:hAnsi="Times New Roman"/>
          <w:i/>
          <w:sz w:val="24"/>
          <w:szCs w:val="24"/>
        </w:rPr>
        <w:t>sale</w:t>
      </w:r>
      <w:proofErr w:type="spellEnd"/>
      <w:r w:rsidRPr="00191C75">
        <w:rPr>
          <w:rFonts w:ascii="Times New Roman" w:hAnsi="Times New Roman"/>
          <w:sz w:val="24"/>
          <w:szCs w:val="24"/>
        </w:rPr>
        <w:t>; d) recompra da participação do fundo pelo empresário que recebeu o investimento – </w:t>
      </w:r>
      <w:proofErr w:type="spellStart"/>
      <w:r w:rsidRPr="00191C75">
        <w:rPr>
          <w:rFonts w:ascii="Times New Roman" w:hAnsi="Times New Roman"/>
          <w:i/>
          <w:sz w:val="24"/>
          <w:szCs w:val="24"/>
        </w:rPr>
        <w:t>buyback</w:t>
      </w:r>
      <w:proofErr w:type="spellEnd"/>
      <w:r w:rsidRPr="00191C75">
        <w:rPr>
          <w:rFonts w:ascii="Times New Roman" w:hAnsi="Times New Roman"/>
          <w:sz w:val="24"/>
          <w:szCs w:val="24"/>
        </w:rPr>
        <w:t>; e) liquidação total dos ativos da empresa investida - </w:t>
      </w:r>
      <w:proofErr w:type="spellStart"/>
      <w:r w:rsidRPr="00191C75">
        <w:rPr>
          <w:rFonts w:ascii="Times New Roman" w:hAnsi="Times New Roman"/>
          <w:i/>
          <w:sz w:val="24"/>
          <w:szCs w:val="24"/>
        </w:rPr>
        <w:t>write</w:t>
      </w:r>
      <w:proofErr w:type="spellEnd"/>
      <w:r w:rsidRPr="00191C75">
        <w:rPr>
          <w:rFonts w:ascii="Times New Roman" w:hAnsi="Times New Roman"/>
          <w:i/>
          <w:sz w:val="24"/>
          <w:szCs w:val="24"/>
        </w:rPr>
        <w:t>-off/</w:t>
      </w:r>
      <w:proofErr w:type="spellStart"/>
      <w:r w:rsidRPr="00191C75">
        <w:rPr>
          <w:rFonts w:ascii="Times New Roman" w:hAnsi="Times New Roman"/>
          <w:i/>
          <w:sz w:val="24"/>
          <w:szCs w:val="24"/>
        </w:rPr>
        <w:t>down</w:t>
      </w:r>
      <w:proofErr w:type="spellEnd"/>
      <w:r w:rsidRPr="00191C75">
        <w:rPr>
          <w:rFonts w:ascii="Times New Roman" w:hAnsi="Times New Roman"/>
          <w:sz w:val="24"/>
          <w:szCs w:val="24"/>
        </w:rPr>
        <w:t xml:space="preserve">. </w:t>
      </w:r>
      <w:r w:rsidRPr="00191C75">
        <w:rPr>
          <w:rFonts w:ascii="Times New Roman" w:hAnsi="Times New Roman"/>
          <w:sz w:val="24"/>
          <w:szCs w:val="24"/>
          <w:shd w:val="clear" w:color="auto" w:fill="FFFFFF"/>
        </w:rPr>
        <w:t xml:space="preserve">Entre as alternativas de desinvestimento, o IPO é, geralmente, a que gera melhores retornos </w:t>
      </w:r>
      <w:r w:rsidRPr="00191C75">
        <w:rPr>
          <w:rFonts w:ascii="Times New Roman" w:hAnsi="Times New Roman"/>
          <w:noProof/>
          <w:sz w:val="24"/>
          <w:szCs w:val="24"/>
          <w:shd w:val="clear" w:color="auto" w:fill="FFFFFF"/>
        </w:rPr>
        <w:t>(</w:t>
      </w:r>
      <w:r w:rsidR="006174FA" w:rsidRPr="00191C75">
        <w:rPr>
          <w:rFonts w:ascii="Times New Roman" w:hAnsi="Times New Roman"/>
          <w:noProof/>
          <w:sz w:val="24"/>
          <w:szCs w:val="24"/>
          <w:shd w:val="clear" w:color="auto" w:fill="FFFFFF"/>
        </w:rPr>
        <w:t>SIQUEIRA; CARVALHO; NETTO, 2011</w:t>
      </w:r>
      <w:r w:rsidRPr="00191C75">
        <w:rPr>
          <w:rFonts w:ascii="Times New Roman" w:hAnsi="Times New Roman"/>
          <w:noProof/>
          <w:sz w:val="24"/>
          <w:szCs w:val="24"/>
          <w:shd w:val="clear" w:color="auto" w:fill="FFFFFF"/>
        </w:rPr>
        <w:t>)</w:t>
      </w:r>
      <w:r w:rsidRPr="00191C75">
        <w:rPr>
          <w:rFonts w:ascii="Times New Roman" w:hAnsi="Times New Roman"/>
          <w:sz w:val="24"/>
          <w:szCs w:val="24"/>
          <w:shd w:val="clear" w:color="auto" w:fill="FFFFFF"/>
        </w:rPr>
        <w:t>. A presença de fundos de VC/PE reduz a assimetria informacional e sinaliza a existência de eficiência de mercado.</w:t>
      </w:r>
    </w:p>
    <w:p w14:paraId="2FB25829" w14:textId="77777777" w:rsidR="003E49D5" w:rsidRPr="00191C75" w:rsidRDefault="003E49D5" w:rsidP="00115351">
      <w:pPr>
        <w:shd w:val="clear" w:color="auto" w:fill="FFFFFF"/>
        <w:spacing w:after="0" w:line="240" w:lineRule="auto"/>
        <w:ind w:firstLine="709"/>
        <w:jc w:val="both"/>
        <w:rPr>
          <w:rFonts w:ascii="Times New Roman" w:eastAsia="Times New Roman" w:hAnsi="Times New Roman"/>
          <w:sz w:val="24"/>
          <w:szCs w:val="24"/>
          <w:lang w:eastAsia="pt-BR"/>
        </w:rPr>
      </w:pPr>
    </w:p>
    <w:p w14:paraId="67ECE713" w14:textId="03114F67" w:rsidR="003E49D5" w:rsidRPr="00191C75" w:rsidRDefault="003E49D5" w:rsidP="00115351">
      <w:pPr>
        <w:spacing w:after="0" w:line="240" w:lineRule="auto"/>
        <w:ind w:firstLine="709"/>
        <w:jc w:val="both"/>
        <w:rPr>
          <w:rFonts w:ascii="Times New Roman" w:hAnsi="Times New Roman"/>
          <w:sz w:val="24"/>
          <w:szCs w:val="24"/>
        </w:rPr>
      </w:pPr>
      <w:r w:rsidRPr="00191C75">
        <w:rPr>
          <w:rFonts w:ascii="Times New Roman" w:hAnsi="Times New Roman"/>
          <w:sz w:val="24"/>
          <w:szCs w:val="24"/>
        </w:rPr>
        <w:t xml:space="preserve">Para Belo e Brasil (2006), a assimetria informacional de mercado é entendida como um fenômeno no qual alguns agentes econômicos (empresas, companhias, gerentes de fundos de ações, </w:t>
      </w:r>
      <w:proofErr w:type="spellStart"/>
      <w:r w:rsidRPr="00191C75">
        <w:rPr>
          <w:rFonts w:ascii="Times New Roman" w:hAnsi="Times New Roman"/>
          <w:i/>
          <w:sz w:val="24"/>
          <w:szCs w:val="24"/>
        </w:rPr>
        <w:t>insiders</w:t>
      </w:r>
      <w:proofErr w:type="spellEnd"/>
      <w:r w:rsidRPr="00191C75">
        <w:rPr>
          <w:rFonts w:ascii="Times New Roman" w:hAnsi="Times New Roman"/>
          <w:sz w:val="24"/>
          <w:szCs w:val="24"/>
        </w:rPr>
        <w:t xml:space="preserve">, ou seja, agentes internos, </w:t>
      </w:r>
      <w:r w:rsidRPr="00191C75">
        <w:rPr>
          <w:rFonts w:ascii="Times New Roman" w:hAnsi="Times New Roman"/>
          <w:i/>
          <w:sz w:val="24"/>
          <w:szCs w:val="24"/>
        </w:rPr>
        <w:t>outsiders</w:t>
      </w:r>
      <w:r w:rsidRPr="00191C75">
        <w:rPr>
          <w:rFonts w:ascii="Times New Roman" w:hAnsi="Times New Roman"/>
          <w:sz w:val="24"/>
          <w:szCs w:val="24"/>
        </w:rPr>
        <w:t xml:space="preserve">, ou seja, agentes externos. etc.) têm mais informações do que outros </w:t>
      </w:r>
      <w:r w:rsidR="003E2085" w:rsidRPr="00191C75">
        <w:rPr>
          <w:rFonts w:ascii="Times New Roman" w:hAnsi="Times New Roman"/>
          <w:noProof/>
          <w:sz w:val="24"/>
          <w:szCs w:val="24"/>
        </w:rPr>
        <w:t>(FAMA, 1970; BAINBRIDGE, 2000;</w:t>
      </w:r>
      <w:r w:rsidR="003E2085" w:rsidRPr="00191C75">
        <w:rPr>
          <w:rFonts w:ascii="Times New Roman" w:hAnsi="Times New Roman"/>
          <w:sz w:val="24"/>
          <w:szCs w:val="24"/>
        </w:rPr>
        <w:t xml:space="preserve"> </w:t>
      </w:r>
      <w:r w:rsidR="003E2085" w:rsidRPr="00191C75">
        <w:rPr>
          <w:rFonts w:ascii="Times New Roman" w:hAnsi="Times New Roman"/>
          <w:noProof/>
          <w:sz w:val="24"/>
          <w:szCs w:val="24"/>
        </w:rPr>
        <w:t>BENY, 2004</w:t>
      </w:r>
      <w:r w:rsidRPr="00191C75">
        <w:rPr>
          <w:rFonts w:ascii="Times New Roman" w:hAnsi="Times New Roman"/>
          <w:noProof/>
          <w:sz w:val="24"/>
          <w:szCs w:val="24"/>
        </w:rPr>
        <w:t>)</w:t>
      </w:r>
      <w:r w:rsidRPr="00191C75">
        <w:rPr>
          <w:rFonts w:ascii="Times New Roman" w:hAnsi="Times New Roman"/>
          <w:sz w:val="24"/>
          <w:szCs w:val="24"/>
        </w:rPr>
        <w:t xml:space="preserve">. A quantidade e qualidade da informação detida por esses </w:t>
      </w:r>
      <w:proofErr w:type="spellStart"/>
      <w:r w:rsidRPr="00191C75">
        <w:rPr>
          <w:rFonts w:ascii="Times New Roman" w:hAnsi="Times New Roman"/>
          <w:i/>
          <w:sz w:val="24"/>
          <w:szCs w:val="24"/>
        </w:rPr>
        <w:t>insiders</w:t>
      </w:r>
      <w:proofErr w:type="spellEnd"/>
      <w:r w:rsidRPr="00191C75">
        <w:rPr>
          <w:rFonts w:ascii="Times New Roman" w:hAnsi="Times New Roman"/>
          <w:i/>
          <w:sz w:val="24"/>
          <w:szCs w:val="24"/>
        </w:rPr>
        <w:t xml:space="preserve">, </w:t>
      </w:r>
      <w:r w:rsidRPr="00191C75">
        <w:rPr>
          <w:rFonts w:ascii="Times New Roman" w:hAnsi="Times New Roman"/>
          <w:sz w:val="24"/>
          <w:szCs w:val="24"/>
        </w:rPr>
        <w:t xml:space="preserve">antes do fato acontecer, é diferente das demais partes. Isso faz com que o empreendedor conheça mais profundamente o negócio a ser investido do que o comprador. Assim, ele usa essas informações em seu favor para obter mais recursos ou retornos sobre o investimento </w:t>
      </w:r>
      <w:r w:rsidRPr="00191C75">
        <w:rPr>
          <w:rFonts w:ascii="Times New Roman" w:hAnsi="Times New Roman"/>
          <w:noProof/>
          <w:sz w:val="24"/>
          <w:szCs w:val="24"/>
        </w:rPr>
        <w:t>(</w:t>
      </w:r>
      <w:r w:rsidR="002F4630" w:rsidRPr="00191C75">
        <w:rPr>
          <w:rFonts w:ascii="Times New Roman" w:hAnsi="Times New Roman"/>
          <w:noProof/>
          <w:sz w:val="24"/>
          <w:szCs w:val="24"/>
        </w:rPr>
        <w:t>AKERLOF, 1970)</w:t>
      </w:r>
      <w:r w:rsidR="002F4630" w:rsidRPr="00191C75">
        <w:rPr>
          <w:rFonts w:ascii="Times New Roman" w:hAnsi="Times New Roman"/>
          <w:sz w:val="24"/>
          <w:szCs w:val="24"/>
        </w:rPr>
        <w:t>.</w:t>
      </w:r>
    </w:p>
    <w:p w14:paraId="0669A563" w14:textId="77777777" w:rsidR="003E49D5" w:rsidRPr="00191C75" w:rsidRDefault="003E49D5" w:rsidP="00115351">
      <w:pPr>
        <w:spacing w:after="0" w:line="240" w:lineRule="auto"/>
        <w:ind w:firstLine="709"/>
        <w:jc w:val="both"/>
        <w:rPr>
          <w:rFonts w:ascii="Times New Roman" w:hAnsi="Times New Roman"/>
          <w:sz w:val="24"/>
          <w:szCs w:val="24"/>
        </w:rPr>
      </w:pPr>
    </w:p>
    <w:p w14:paraId="1DFA8682" w14:textId="2B84E678" w:rsidR="003E49D5" w:rsidRPr="00191C75" w:rsidRDefault="003E49D5" w:rsidP="00115351">
      <w:pPr>
        <w:spacing w:after="0" w:line="240" w:lineRule="auto"/>
        <w:ind w:firstLine="709"/>
        <w:jc w:val="both"/>
        <w:rPr>
          <w:rFonts w:ascii="Times New Roman" w:hAnsi="Times New Roman"/>
          <w:sz w:val="24"/>
          <w:szCs w:val="24"/>
        </w:rPr>
      </w:pPr>
      <w:r w:rsidRPr="00191C75">
        <w:rPr>
          <w:rFonts w:ascii="Times New Roman" w:hAnsi="Times New Roman"/>
          <w:sz w:val="24"/>
          <w:szCs w:val="24"/>
        </w:rPr>
        <w:t xml:space="preserve">Já os </w:t>
      </w:r>
      <w:r w:rsidRPr="00191C75">
        <w:rPr>
          <w:rFonts w:ascii="Times New Roman" w:hAnsi="Times New Roman"/>
          <w:i/>
          <w:sz w:val="24"/>
          <w:szCs w:val="24"/>
        </w:rPr>
        <w:t>outsiders</w:t>
      </w:r>
      <w:r w:rsidRPr="00191C75">
        <w:rPr>
          <w:rFonts w:ascii="Times New Roman" w:hAnsi="Times New Roman"/>
          <w:sz w:val="24"/>
          <w:szCs w:val="24"/>
        </w:rPr>
        <w:t xml:space="preserve"> procuram encontrar sinais de informação emitidos por gestores para embasar suas decisões de investimento. Porém, uma vez que eles não têm informações privilegiadas, acabam dependendo do mercado ou de influências de </w:t>
      </w:r>
      <w:proofErr w:type="spellStart"/>
      <w:r w:rsidRPr="00191C75">
        <w:rPr>
          <w:rFonts w:ascii="Times New Roman" w:hAnsi="Times New Roman"/>
          <w:i/>
          <w:sz w:val="24"/>
          <w:szCs w:val="24"/>
        </w:rPr>
        <w:t>insiders</w:t>
      </w:r>
      <w:proofErr w:type="spellEnd"/>
      <w:r w:rsidRPr="00191C75">
        <w:rPr>
          <w:rFonts w:ascii="Times New Roman" w:hAnsi="Times New Roman"/>
          <w:sz w:val="24"/>
          <w:szCs w:val="24"/>
        </w:rPr>
        <w:t xml:space="preserve"> </w:t>
      </w:r>
      <w:r w:rsidRPr="00191C75">
        <w:rPr>
          <w:rFonts w:ascii="Times New Roman" w:hAnsi="Times New Roman"/>
          <w:noProof/>
          <w:sz w:val="24"/>
          <w:szCs w:val="24"/>
        </w:rPr>
        <w:t>(</w:t>
      </w:r>
      <w:r w:rsidR="00B26050" w:rsidRPr="00191C75">
        <w:rPr>
          <w:rFonts w:ascii="Times New Roman" w:hAnsi="Times New Roman"/>
          <w:noProof/>
          <w:sz w:val="24"/>
          <w:szCs w:val="24"/>
        </w:rPr>
        <w:t xml:space="preserve">HEALY; PALEPU, 2001; </w:t>
      </w:r>
      <w:r w:rsidR="00B26050" w:rsidRPr="00191C75">
        <w:rPr>
          <w:rFonts w:ascii="Times New Roman" w:hAnsi="Times New Roman"/>
          <w:sz w:val="24"/>
          <w:szCs w:val="24"/>
        </w:rPr>
        <w:t>BENY, 2004).</w:t>
      </w:r>
      <w:r w:rsidRPr="00191C75">
        <w:rPr>
          <w:rFonts w:ascii="Times New Roman" w:hAnsi="Times New Roman"/>
          <w:sz w:val="24"/>
          <w:szCs w:val="24"/>
        </w:rPr>
        <w:t xml:space="preserve"> Com isso, podem ocorrer dois tipos de problema em um cenário de assimetria informacional: a) Seleção adversa - ocorre quando os compradores "selecionam" de maneira incorreta determinados bens e serviços no mercado, b) Risco moral - refere-se à possibilidade de que um agente econômico mude seu comportamento de acordo com os diferentes contextos nos quais ocorre uma transação econômica </w:t>
      </w:r>
      <w:r w:rsidRPr="00191C75">
        <w:rPr>
          <w:rFonts w:ascii="Times New Roman" w:hAnsi="Times New Roman"/>
          <w:noProof/>
          <w:sz w:val="24"/>
          <w:szCs w:val="24"/>
        </w:rPr>
        <w:t>(</w:t>
      </w:r>
      <w:r w:rsidR="00120AB4" w:rsidRPr="00191C75">
        <w:rPr>
          <w:rFonts w:ascii="Times New Roman" w:hAnsi="Times New Roman"/>
          <w:noProof/>
          <w:sz w:val="24"/>
          <w:szCs w:val="24"/>
        </w:rPr>
        <w:t>AKERLOF, 1970; SPENCE, 1973; STIGLITZ, 1982; NASCIMENTO, 2017)</w:t>
      </w:r>
      <w:r w:rsidR="00120AB4" w:rsidRPr="00191C75">
        <w:rPr>
          <w:rFonts w:ascii="Times New Roman" w:hAnsi="Times New Roman"/>
          <w:sz w:val="24"/>
          <w:szCs w:val="24"/>
        </w:rPr>
        <w:t>.</w:t>
      </w:r>
    </w:p>
    <w:p w14:paraId="2F06DDE7" w14:textId="77777777" w:rsidR="003E49D5" w:rsidRPr="00191C75" w:rsidRDefault="003E49D5" w:rsidP="00115351">
      <w:pPr>
        <w:spacing w:after="0" w:line="240" w:lineRule="auto"/>
        <w:ind w:firstLine="709"/>
        <w:jc w:val="both"/>
        <w:rPr>
          <w:rFonts w:ascii="Times New Roman" w:hAnsi="Times New Roman"/>
          <w:sz w:val="24"/>
          <w:szCs w:val="24"/>
        </w:rPr>
      </w:pPr>
    </w:p>
    <w:p w14:paraId="357BB4FF" w14:textId="1B539721" w:rsidR="003E49D5" w:rsidRPr="00191C75" w:rsidRDefault="003E49D5" w:rsidP="00115351">
      <w:pPr>
        <w:spacing w:after="0" w:line="240" w:lineRule="auto"/>
        <w:ind w:firstLine="709"/>
        <w:jc w:val="both"/>
        <w:rPr>
          <w:rFonts w:ascii="Times New Roman" w:hAnsi="Times New Roman"/>
          <w:sz w:val="24"/>
          <w:szCs w:val="24"/>
        </w:rPr>
      </w:pPr>
      <w:r w:rsidRPr="00191C75">
        <w:rPr>
          <w:rFonts w:ascii="Times New Roman" w:hAnsi="Times New Roman"/>
          <w:sz w:val="24"/>
          <w:szCs w:val="24"/>
        </w:rPr>
        <w:t xml:space="preserve">Algumas formas de solucionar a seleção adversa e risco moral são a criação de contratos ótimos, estabelecendo metas de disponibilização de informação para ambas as partes, uso de analistas financeiros, agências avaliadoras de risco e auditores para estimular o </w:t>
      </w:r>
      <w:proofErr w:type="spellStart"/>
      <w:r w:rsidRPr="00191C75">
        <w:rPr>
          <w:rFonts w:ascii="Times New Roman" w:hAnsi="Times New Roman"/>
          <w:i/>
          <w:sz w:val="24"/>
          <w:szCs w:val="24"/>
        </w:rPr>
        <w:t>disclosure</w:t>
      </w:r>
      <w:proofErr w:type="spellEnd"/>
      <w:r w:rsidRPr="00191C75">
        <w:rPr>
          <w:rFonts w:ascii="Times New Roman" w:hAnsi="Times New Roman"/>
          <w:sz w:val="24"/>
          <w:szCs w:val="24"/>
        </w:rPr>
        <w:t xml:space="preserve"> (transparência de dados), estímulo aos intermediários financeiros para exercerem o papel de agente redutor de riscos </w:t>
      </w:r>
      <w:r w:rsidRPr="00191C75">
        <w:rPr>
          <w:rFonts w:ascii="Times New Roman" w:hAnsi="Times New Roman"/>
          <w:noProof/>
          <w:sz w:val="24"/>
          <w:szCs w:val="24"/>
        </w:rPr>
        <w:t>(</w:t>
      </w:r>
      <w:r w:rsidR="00257A96" w:rsidRPr="00191C75">
        <w:rPr>
          <w:rFonts w:ascii="Times New Roman" w:hAnsi="Times New Roman"/>
          <w:noProof/>
          <w:sz w:val="24"/>
          <w:szCs w:val="24"/>
        </w:rPr>
        <w:t>JENSEN; MECKLING, 1976; STIGLITZ, 2000; HEALY; PALEPU, 2001; DANTAS; ZENDERSKY; NIYAMA, 2005)</w:t>
      </w:r>
      <w:r w:rsidR="00257A96" w:rsidRPr="00191C75">
        <w:rPr>
          <w:rFonts w:ascii="Times New Roman" w:hAnsi="Times New Roman"/>
          <w:sz w:val="24"/>
          <w:szCs w:val="24"/>
        </w:rPr>
        <w:t>.</w:t>
      </w:r>
    </w:p>
    <w:p w14:paraId="65DB5873" w14:textId="77777777" w:rsidR="003E49D5" w:rsidRPr="00191C75" w:rsidRDefault="003E49D5" w:rsidP="00115351">
      <w:pPr>
        <w:spacing w:after="0" w:line="240" w:lineRule="auto"/>
        <w:ind w:firstLine="709"/>
        <w:jc w:val="both"/>
        <w:rPr>
          <w:rFonts w:ascii="Times New Roman" w:hAnsi="Times New Roman"/>
          <w:b/>
          <w:sz w:val="24"/>
          <w:szCs w:val="24"/>
        </w:rPr>
      </w:pPr>
    </w:p>
    <w:p w14:paraId="2ADD2E5D" w14:textId="4768FDAA" w:rsidR="003E49D5" w:rsidRPr="00191C75" w:rsidRDefault="003E49D5" w:rsidP="00115351">
      <w:pPr>
        <w:spacing w:after="0" w:line="240" w:lineRule="auto"/>
        <w:ind w:firstLine="709"/>
        <w:jc w:val="both"/>
        <w:rPr>
          <w:rFonts w:ascii="Times New Roman" w:hAnsi="Times New Roman"/>
          <w:sz w:val="24"/>
          <w:szCs w:val="24"/>
        </w:rPr>
      </w:pPr>
      <w:r w:rsidRPr="00191C75">
        <w:rPr>
          <w:rFonts w:ascii="Times New Roman" w:hAnsi="Times New Roman"/>
          <w:sz w:val="24"/>
          <w:szCs w:val="24"/>
        </w:rPr>
        <w:t xml:space="preserve">Por sua vez, a teoria da sinalização explana como a assimetria informacional nos mercados pode ser reduzida por meio de mais informação </w:t>
      </w:r>
      <w:r w:rsidRPr="00191C75">
        <w:rPr>
          <w:rFonts w:ascii="Times New Roman" w:hAnsi="Times New Roman"/>
          <w:noProof/>
          <w:sz w:val="24"/>
          <w:szCs w:val="24"/>
        </w:rPr>
        <w:t>(</w:t>
      </w:r>
      <w:r w:rsidR="00B10F43" w:rsidRPr="00191C75">
        <w:rPr>
          <w:rFonts w:ascii="Times New Roman" w:hAnsi="Times New Roman"/>
          <w:noProof/>
          <w:sz w:val="24"/>
          <w:szCs w:val="24"/>
        </w:rPr>
        <w:t>SPENCE, 1973</w:t>
      </w:r>
      <w:r w:rsidRPr="00191C75">
        <w:rPr>
          <w:rFonts w:ascii="Times New Roman" w:hAnsi="Times New Roman"/>
          <w:noProof/>
          <w:sz w:val="24"/>
          <w:szCs w:val="24"/>
        </w:rPr>
        <w:t>)</w:t>
      </w:r>
      <w:r w:rsidRPr="00191C75">
        <w:rPr>
          <w:rFonts w:ascii="Times New Roman" w:hAnsi="Times New Roman"/>
          <w:sz w:val="24"/>
          <w:szCs w:val="24"/>
        </w:rPr>
        <w:t xml:space="preserve">. Ela fornece uma </w:t>
      </w:r>
      <w:r w:rsidRPr="00191C75">
        <w:rPr>
          <w:rFonts w:ascii="Times New Roman" w:hAnsi="Times New Roman"/>
          <w:sz w:val="24"/>
          <w:szCs w:val="24"/>
        </w:rPr>
        <w:lastRenderedPageBreak/>
        <w:t>ferramenta valiosa de análise, uma vez que a qualificação da empresa investida, que tem aportes de VC/PE, depende da troca de informação para o mercado.</w:t>
      </w:r>
    </w:p>
    <w:p w14:paraId="02485F8F" w14:textId="77777777" w:rsidR="003E49D5" w:rsidRPr="00191C75" w:rsidRDefault="003E49D5" w:rsidP="00115351">
      <w:pPr>
        <w:spacing w:after="0" w:line="240" w:lineRule="auto"/>
        <w:ind w:firstLine="709"/>
        <w:jc w:val="both"/>
        <w:rPr>
          <w:rFonts w:ascii="Times New Roman" w:hAnsi="Times New Roman"/>
          <w:sz w:val="24"/>
          <w:szCs w:val="24"/>
        </w:rPr>
      </w:pPr>
    </w:p>
    <w:p w14:paraId="2D86A626" w14:textId="77777777" w:rsidR="003E49D5" w:rsidRPr="00191C75" w:rsidRDefault="003E49D5" w:rsidP="00115351">
      <w:pPr>
        <w:spacing w:after="0" w:line="240" w:lineRule="auto"/>
        <w:ind w:firstLine="709"/>
        <w:jc w:val="both"/>
        <w:rPr>
          <w:rFonts w:ascii="Times New Roman" w:hAnsi="Times New Roman"/>
          <w:sz w:val="24"/>
          <w:szCs w:val="24"/>
        </w:rPr>
      </w:pPr>
      <w:proofErr w:type="spellStart"/>
      <w:r w:rsidRPr="00191C75">
        <w:rPr>
          <w:rFonts w:ascii="Times New Roman" w:hAnsi="Times New Roman"/>
          <w:sz w:val="24"/>
          <w:szCs w:val="24"/>
        </w:rPr>
        <w:t>Megginson</w:t>
      </w:r>
      <w:proofErr w:type="spellEnd"/>
      <w:r w:rsidRPr="00191C75">
        <w:rPr>
          <w:rFonts w:ascii="Times New Roman" w:hAnsi="Times New Roman"/>
          <w:sz w:val="24"/>
          <w:szCs w:val="24"/>
        </w:rPr>
        <w:t xml:space="preserve"> e Weiss (1991) evidenciam que a presença de fundos de VC/PE é um sinal certificador da qualidade da empresa emissora. Os autores apontam que o “certificado” </w:t>
      </w:r>
      <w:proofErr w:type="spellStart"/>
      <w:r w:rsidRPr="00191C75">
        <w:rPr>
          <w:rFonts w:ascii="Times New Roman" w:hAnsi="Times New Roman"/>
          <w:sz w:val="24"/>
          <w:szCs w:val="24"/>
        </w:rPr>
        <w:t>VC</w:t>
      </w:r>
      <w:proofErr w:type="spellEnd"/>
      <w:r w:rsidRPr="00191C75">
        <w:rPr>
          <w:rFonts w:ascii="Times New Roman" w:hAnsi="Times New Roman"/>
          <w:sz w:val="24"/>
          <w:szCs w:val="24"/>
        </w:rPr>
        <w:t xml:space="preserve">/PE a IPOs e que a presença de gestores destes fundos reduz a assimetria da informação entre os participantes do IPO, devido a alguns fatores: a) compromisso dos fundos de VC/PE com as empresas investidas após o IPO, mantendo participação no capital das mesmas; b) habilidade dos gestores de VC/PE para desenvolver e preservar bons relacionamentos com </w:t>
      </w:r>
      <w:proofErr w:type="spellStart"/>
      <w:r w:rsidRPr="00191C75">
        <w:rPr>
          <w:rFonts w:ascii="Times New Roman" w:hAnsi="Times New Roman"/>
          <w:i/>
          <w:sz w:val="24"/>
          <w:szCs w:val="24"/>
        </w:rPr>
        <w:t>underwriters</w:t>
      </w:r>
      <w:proofErr w:type="spellEnd"/>
      <w:r w:rsidRPr="00191C75">
        <w:rPr>
          <w:rFonts w:ascii="Times New Roman" w:hAnsi="Times New Roman"/>
          <w:sz w:val="24"/>
          <w:szCs w:val="24"/>
        </w:rPr>
        <w:t>, auditores e gestores de investimento; c) reputação das organizações de VC/PE diante o mercado, uma vez que, as organizações gestoras utilizam IPOs como formas de desinvestimento.</w:t>
      </w:r>
    </w:p>
    <w:p w14:paraId="21A0D84D" w14:textId="77777777" w:rsidR="003E49D5" w:rsidRPr="00191C75" w:rsidRDefault="003E49D5" w:rsidP="00115351">
      <w:pPr>
        <w:spacing w:after="0" w:line="240" w:lineRule="auto"/>
        <w:ind w:firstLine="709"/>
        <w:jc w:val="both"/>
        <w:rPr>
          <w:rFonts w:ascii="Times New Roman" w:hAnsi="Times New Roman"/>
          <w:sz w:val="24"/>
          <w:szCs w:val="24"/>
        </w:rPr>
      </w:pPr>
    </w:p>
    <w:p w14:paraId="3296B9F2" w14:textId="396A750E" w:rsidR="003E49D5" w:rsidRPr="00191C75" w:rsidRDefault="003E49D5" w:rsidP="00115351">
      <w:pPr>
        <w:spacing w:after="0" w:line="240" w:lineRule="auto"/>
        <w:ind w:firstLine="709"/>
        <w:jc w:val="both"/>
        <w:rPr>
          <w:rFonts w:ascii="Times New Roman" w:hAnsi="Times New Roman"/>
          <w:sz w:val="24"/>
          <w:szCs w:val="24"/>
        </w:rPr>
      </w:pPr>
      <w:r w:rsidRPr="00191C75">
        <w:rPr>
          <w:rFonts w:ascii="Times New Roman" w:hAnsi="Times New Roman"/>
          <w:sz w:val="24"/>
          <w:szCs w:val="24"/>
        </w:rPr>
        <w:t xml:space="preserve">Por fim, a teoria dos mercados eficientes afirma que o preço de um ativo reflete diretamente tanto as informações disponíveis sobre a empresa emissora, quanto a velocidade a qual os ativos são emitidos, prevenindo ganhos anormais </w:t>
      </w:r>
      <w:r w:rsidR="000E6EB4" w:rsidRPr="00191C75">
        <w:rPr>
          <w:rFonts w:ascii="Times New Roman" w:hAnsi="Times New Roman"/>
          <w:noProof/>
          <w:sz w:val="24"/>
          <w:szCs w:val="24"/>
        </w:rPr>
        <w:t>(</w:t>
      </w:r>
      <w:r w:rsidR="00D06126">
        <w:rPr>
          <w:rFonts w:ascii="Times New Roman" w:hAnsi="Times New Roman"/>
          <w:noProof/>
          <w:sz w:val="24"/>
          <w:szCs w:val="24"/>
        </w:rPr>
        <w:t xml:space="preserve">MUSSA </w:t>
      </w:r>
      <w:r w:rsidR="00D06126">
        <w:rPr>
          <w:rFonts w:ascii="Times New Roman" w:hAnsi="Times New Roman"/>
          <w:i/>
          <w:noProof/>
          <w:sz w:val="24"/>
          <w:szCs w:val="24"/>
        </w:rPr>
        <w:t>et al</w:t>
      </w:r>
      <w:r w:rsidR="00D06126">
        <w:rPr>
          <w:rFonts w:ascii="Times New Roman" w:hAnsi="Times New Roman"/>
          <w:noProof/>
          <w:sz w:val="24"/>
          <w:szCs w:val="24"/>
        </w:rPr>
        <w:t>., 2008</w:t>
      </w:r>
      <w:r w:rsidR="000E6EB4" w:rsidRPr="00191C75">
        <w:rPr>
          <w:rFonts w:ascii="Times New Roman" w:hAnsi="Times New Roman"/>
          <w:noProof/>
          <w:sz w:val="24"/>
          <w:szCs w:val="24"/>
        </w:rPr>
        <w:t>)</w:t>
      </w:r>
      <w:r w:rsidRPr="00191C75">
        <w:rPr>
          <w:rFonts w:ascii="Times New Roman" w:hAnsi="Times New Roman"/>
          <w:sz w:val="24"/>
          <w:szCs w:val="24"/>
        </w:rPr>
        <w:t>.  Fama (1970; 1991) afirma que quando os preços sempre refletem as informações disponíveis no mercado, o mesmo pode ser chamado de mercado eficiente. Além disso, o autor separa os níveis de eficiência informacional do mercado em três níveis ou formas: a) fraca: o mercado reflete, totalmente, as informações sobre os preços anteriores dos ativos; b) semiforte: os preços refletem não só o histórico dos preços passados, mas também todas as informações publicadas, incluindo anúncios de dividendos, notícias específicas, relatórios anuais, demonstrações contábeis etc.; c) forte: os preços refletem não só o histórico dos preços passados, como as informações publicadas e inclusive informações privilegiadas.</w:t>
      </w:r>
    </w:p>
    <w:p w14:paraId="5B6846B0" w14:textId="77777777" w:rsidR="003E49D5" w:rsidRPr="00191C75" w:rsidRDefault="003E49D5" w:rsidP="00115351">
      <w:pPr>
        <w:spacing w:after="0" w:line="240" w:lineRule="auto"/>
        <w:ind w:firstLine="709"/>
        <w:jc w:val="both"/>
        <w:rPr>
          <w:rFonts w:ascii="Times New Roman" w:hAnsi="Times New Roman"/>
          <w:sz w:val="24"/>
          <w:szCs w:val="24"/>
        </w:rPr>
      </w:pPr>
    </w:p>
    <w:p w14:paraId="4A6CBC9B" w14:textId="2BB875CF" w:rsidR="003E49D5" w:rsidRPr="00191C75" w:rsidRDefault="003E49D5" w:rsidP="00115351">
      <w:pPr>
        <w:spacing w:after="0" w:line="240" w:lineRule="auto"/>
        <w:ind w:firstLine="709"/>
        <w:jc w:val="both"/>
        <w:rPr>
          <w:rFonts w:ascii="Times New Roman" w:hAnsi="Times New Roman"/>
          <w:sz w:val="24"/>
          <w:szCs w:val="24"/>
        </w:rPr>
      </w:pPr>
      <w:r w:rsidRPr="00191C75">
        <w:rPr>
          <w:rFonts w:ascii="Times New Roman" w:hAnsi="Times New Roman"/>
          <w:sz w:val="24"/>
          <w:szCs w:val="24"/>
        </w:rPr>
        <w:t xml:space="preserve">Em contrapartida, para Ross, </w:t>
      </w:r>
      <w:proofErr w:type="spellStart"/>
      <w:r w:rsidRPr="00191C75">
        <w:rPr>
          <w:rFonts w:ascii="Times New Roman" w:hAnsi="Times New Roman"/>
          <w:sz w:val="24"/>
          <w:szCs w:val="24"/>
        </w:rPr>
        <w:t>Westerfield</w:t>
      </w:r>
      <w:proofErr w:type="spellEnd"/>
      <w:r w:rsidRPr="00191C75">
        <w:rPr>
          <w:rFonts w:ascii="Times New Roman" w:hAnsi="Times New Roman"/>
          <w:sz w:val="24"/>
          <w:szCs w:val="24"/>
        </w:rPr>
        <w:t xml:space="preserve"> e </w:t>
      </w:r>
      <w:proofErr w:type="spellStart"/>
      <w:r w:rsidRPr="00191C75">
        <w:rPr>
          <w:rFonts w:ascii="Times New Roman" w:hAnsi="Times New Roman"/>
          <w:sz w:val="24"/>
          <w:szCs w:val="24"/>
        </w:rPr>
        <w:t>Jaffe</w:t>
      </w:r>
      <w:proofErr w:type="spellEnd"/>
      <w:r w:rsidRPr="00191C75">
        <w:rPr>
          <w:rFonts w:ascii="Times New Roman" w:hAnsi="Times New Roman"/>
          <w:sz w:val="24"/>
          <w:szCs w:val="24"/>
        </w:rPr>
        <w:t xml:space="preserve"> (1995), a hipótese de mercado eficiente implica que apenas novas informações refletem de imediato no preço dos ativos. Assim, os investidores e emissores devem esperar receber o valor presente das vendas dos ativos. O problema do modelo mais adequado para precificar os ativos - e o tempo de reação dos preços às novas informações ao mercado </w:t>
      </w:r>
      <w:r w:rsidRPr="00191C75">
        <w:rPr>
          <w:rFonts w:ascii="Times New Roman" w:hAnsi="Times New Roman"/>
          <w:noProof/>
          <w:sz w:val="24"/>
          <w:szCs w:val="24"/>
        </w:rPr>
        <w:t>(</w:t>
      </w:r>
      <w:r w:rsidR="00754929" w:rsidRPr="00191C75">
        <w:rPr>
          <w:rFonts w:ascii="Times New Roman" w:hAnsi="Times New Roman"/>
          <w:noProof/>
          <w:sz w:val="24"/>
          <w:szCs w:val="24"/>
        </w:rPr>
        <w:t>FAMA, 1970; 1991; 1998</w:t>
      </w:r>
      <w:r w:rsidRPr="00191C75">
        <w:rPr>
          <w:rFonts w:ascii="Times New Roman" w:hAnsi="Times New Roman"/>
          <w:noProof/>
          <w:sz w:val="24"/>
          <w:szCs w:val="24"/>
        </w:rPr>
        <w:t>)</w:t>
      </w:r>
      <w:r w:rsidRPr="00191C75">
        <w:rPr>
          <w:rFonts w:ascii="Times New Roman" w:hAnsi="Times New Roman"/>
          <w:sz w:val="24"/>
          <w:szCs w:val="24"/>
        </w:rPr>
        <w:t xml:space="preserve"> - são motivos de controvérsias da teoria de eficiência de mercado. Essas variáveis podem criar possibilidades de obtenção de ganhos anormais, principalmente para investidores melhor qualificados e atentos às mudanças do mercado.</w:t>
      </w:r>
    </w:p>
    <w:p w14:paraId="488C6B03" w14:textId="77777777" w:rsidR="003E49D5" w:rsidRPr="00191C75" w:rsidRDefault="003E49D5" w:rsidP="00115351">
      <w:pPr>
        <w:spacing w:after="0" w:line="240" w:lineRule="auto"/>
        <w:ind w:firstLine="709"/>
        <w:jc w:val="both"/>
        <w:rPr>
          <w:rFonts w:ascii="Times New Roman" w:hAnsi="Times New Roman"/>
          <w:sz w:val="24"/>
          <w:szCs w:val="24"/>
        </w:rPr>
      </w:pPr>
    </w:p>
    <w:p w14:paraId="4DF230B9" w14:textId="77777777" w:rsidR="003E49D5" w:rsidRPr="00191C75" w:rsidRDefault="003E49D5" w:rsidP="00115351">
      <w:pPr>
        <w:spacing w:after="0" w:line="240" w:lineRule="auto"/>
        <w:ind w:firstLine="709"/>
        <w:jc w:val="both"/>
        <w:rPr>
          <w:rFonts w:ascii="Times New Roman" w:hAnsi="Times New Roman"/>
          <w:sz w:val="24"/>
          <w:szCs w:val="24"/>
        </w:rPr>
      </w:pPr>
      <w:r w:rsidRPr="00191C75">
        <w:rPr>
          <w:rFonts w:ascii="Times New Roman" w:hAnsi="Times New Roman"/>
          <w:sz w:val="24"/>
          <w:szCs w:val="24"/>
        </w:rPr>
        <w:t>Poucos estudos contemplam a relação entre companhias com fundos de investimentos prévios de VC/PE no momento do IPO em relação a companhias sem os mesmos tipos de investimentos. Ferrari e Minardi (2010) analisam os retornos no primeiro dia (</w:t>
      </w:r>
      <w:r w:rsidRPr="00191C75">
        <w:rPr>
          <w:rFonts w:ascii="Times New Roman" w:hAnsi="Times New Roman"/>
          <w:i/>
          <w:sz w:val="24"/>
          <w:szCs w:val="24"/>
        </w:rPr>
        <w:t>underpricing</w:t>
      </w:r>
      <w:r w:rsidRPr="00191C75">
        <w:rPr>
          <w:rFonts w:ascii="Times New Roman" w:hAnsi="Times New Roman"/>
          <w:sz w:val="24"/>
          <w:szCs w:val="24"/>
        </w:rPr>
        <w:t xml:space="preserve">), após 6 meses e 1 ano da data do IPO, no período entre 2004 e 2008. Eles analisam o desempenho dos IPOs de empresas brasileiras com aportes de VC/PE, em comparação com empresas sem estes aportes. A amostra é composta por 109 IPOs, dos quais 42 recebem aporte e 67 não. Os dados são coletados a partir da base Bloomberg, </w:t>
      </w:r>
      <w:proofErr w:type="spellStart"/>
      <w:r w:rsidRPr="00191C75">
        <w:rPr>
          <w:rFonts w:ascii="Times New Roman" w:hAnsi="Times New Roman"/>
          <w:sz w:val="24"/>
          <w:szCs w:val="24"/>
        </w:rPr>
        <w:t>B3</w:t>
      </w:r>
      <w:proofErr w:type="spellEnd"/>
      <w:r w:rsidRPr="00191C75">
        <w:rPr>
          <w:rFonts w:ascii="Times New Roman" w:hAnsi="Times New Roman"/>
          <w:sz w:val="24"/>
          <w:szCs w:val="24"/>
        </w:rPr>
        <w:t xml:space="preserve"> e nos prospectos da CVM. O resultado mostra que há evidências de que os IPOS de empresas com aportes de </w:t>
      </w:r>
      <w:proofErr w:type="spellStart"/>
      <w:r w:rsidRPr="00191C75">
        <w:rPr>
          <w:rFonts w:ascii="Times New Roman" w:hAnsi="Times New Roman"/>
          <w:sz w:val="24"/>
          <w:szCs w:val="24"/>
        </w:rPr>
        <w:t>VC</w:t>
      </w:r>
      <w:proofErr w:type="spellEnd"/>
      <w:r w:rsidRPr="00191C75">
        <w:rPr>
          <w:rFonts w:ascii="Times New Roman" w:hAnsi="Times New Roman"/>
          <w:sz w:val="24"/>
          <w:szCs w:val="24"/>
        </w:rPr>
        <w:t xml:space="preserve">/PE possuem </w:t>
      </w:r>
      <w:r w:rsidRPr="00191C75">
        <w:rPr>
          <w:rFonts w:ascii="Times New Roman" w:hAnsi="Times New Roman"/>
          <w:i/>
          <w:sz w:val="24"/>
          <w:szCs w:val="24"/>
        </w:rPr>
        <w:t>underpricing</w:t>
      </w:r>
      <w:r w:rsidRPr="00191C75">
        <w:rPr>
          <w:rFonts w:ascii="Times New Roman" w:hAnsi="Times New Roman"/>
          <w:sz w:val="24"/>
          <w:szCs w:val="24"/>
        </w:rPr>
        <w:t xml:space="preserve"> inferior e desempenho significativamente superior a longo prazo (22%) ao de empresas sem VC/PE.</w:t>
      </w:r>
    </w:p>
    <w:p w14:paraId="5F4412DB" w14:textId="77777777" w:rsidR="003E49D5" w:rsidRPr="00191C75" w:rsidRDefault="003E49D5" w:rsidP="00115351">
      <w:pPr>
        <w:spacing w:after="0" w:line="240" w:lineRule="auto"/>
        <w:ind w:firstLine="709"/>
        <w:jc w:val="both"/>
        <w:rPr>
          <w:rFonts w:ascii="Times New Roman" w:hAnsi="Times New Roman"/>
          <w:sz w:val="24"/>
          <w:szCs w:val="24"/>
          <w:shd w:val="clear" w:color="auto" w:fill="FFFFFF"/>
        </w:rPr>
      </w:pPr>
    </w:p>
    <w:p w14:paraId="519439BE" w14:textId="77777777" w:rsidR="003E49D5" w:rsidRPr="00191C75" w:rsidRDefault="003E49D5" w:rsidP="00115351">
      <w:pPr>
        <w:spacing w:after="0" w:line="240" w:lineRule="auto"/>
        <w:ind w:firstLine="709"/>
        <w:jc w:val="both"/>
        <w:rPr>
          <w:rFonts w:ascii="Times New Roman" w:hAnsi="Times New Roman"/>
          <w:sz w:val="24"/>
          <w:szCs w:val="24"/>
          <w:shd w:val="clear" w:color="auto" w:fill="FFFFFF"/>
        </w:rPr>
      </w:pPr>
      <w:r w:rsidRPr="00191C75">
        <w:rPr>
          <w:rFonts w:ascii="Times New Roman" w:hAnsi="Times New Roman"/>
          <w:sz w:val="24"/>
          <w:szCs w:val="24"/>
          <w:shd w:val="clear" w:color="auto" w:fill="FFFFFF"/>
        </w:rPr>
        <w:t xml:space="preserve">Eller (2012) analisa 126 IPOs realizados entre 2004 a 2011 no Brasil, para verificar se há diferença no desempenho de longo prazo em empresas que têm participação de fundos de VC/PE, em relação às empresas que não têm. Os dados são coletados da </w:t>
      </w:r>
      <w:proofErr w:type="spellStart"/>
      <w:r w:rsidRPr="00191C75">
        <w:rPr>
          <w:rFonts w:ascii="Times New Roman" w:hAnsi="Times New Roman"/>
          <w:sz w:val="24"/>
          <w:szCs w:val="24"/>
          <w:shd w:val="clear" w:color="auto" w:fill="FFFFFF"/>
        </w:rPr>
        <w:t>B3</w:t>
      </w:r>
      <w:proofErr w:type="spellEnd"/>
      <w:r w:rsidRPr="00191C75">
        <w:rPr>
          <w:rFonts w:ascii="Times New Roman" w:hAnsi="Times New Roman"/>
          <w:sz w:val="24"/>
          <w:szCs w:val="24"/>
          <w:shd w:val="clear" w:color="auto" w:fill="FFFFFF"/>
        </w:rPr>
        <w:t xml:space="preserve">, CVM e </w:t>
      </w:r>
      <w:proofErr w:type="spellStart"/>
      <w:r w:rsidRPr="00191C75">
        <w:rPr>
          <w:rFonts w:ascii="Times New Roman" w:hAnsi="Times New Roman"/>
          <w:sz w:val="24"/>
          <w:szCs w:val="24"/>
          <w:shd w:val="clear" w:color="auto" w:fill="FFFFFF"/>
        </w:rPr>
        <w:t>Economatica</w:t>
      </w:r>
      <w:proofErr w:type="spellEnd"/>
      <w:r w:rsidRPr="00191C75">
        <w:rPr>
          <w:rFonts w:ascii="Times New Roman" w:hAnsi="Times New Roman"/>
          <w:sz w:val="24"/>
          <w:szCs w:val="24"/>
          <w:shd w:val="clear" w:color="auto" w:fill="FFFFFF"/>
        </w:rPr>
        <w:t xml:space="preserve">. O estudo avalia o CAR desde o primeiro dia de negociação na B3 até 1, 6, 12, 24 </w:t>
      </w:r>
      <w:r w:rsidRPr="00191C75">
        <w:rPr>
          <w:rFonts w:ascii="Times New Roman" w:hAnsi="Times New Roman"/>
          <w:sz w:val="24"/>
          <w:szCs w:val="24"/>
          <w:shd w:val="clear" w:color="auto" w:fill="FFFFFF"/>
        </w:rPr>
        <w:lastRenderedPageBreak/>
        <w:t>e 36 meses após o IPO. A presença de um fundo de VC/PE somente se mostra significativa nas análises realizadas após 6 meses, permanecendo assim até a janela de 36 meses.</w:t>
      </w:r>
    </w:p>
    <w:p w14:paraId="3E78143A" w14:textId="77777777" w:rsidR="003E49D5" w:rsidRPr="00191C75" w:rsidRDefault="003E49D5" w:rsidP="00115351">
      <w:pPr>
        <w:spacing w:after="0" w:line="240" w:lineRule="auto"/>
        <w:ind w:firstLine="709"/>
        <w:jc w:val="both"/>
        <w:rPr>
          <w:rFonts w:ascii="Times New Roman" w:hAnsi="Times New Roman"/>
          <w:sz w:val="24"/>
          <w:szCs w:val="24"/>
        </w:rPr>
      </w:pPr>
    </w:p>
    <w:p w14:paraId="1FACC59F" w14:textId="77777777" w:rsidR="003E49D5" w:rsidRPr="00191C75" w:rsidRDefault="003E49D5" w:rsidP="00115351">
      <w:pPr>
        <w:spacing w:after="0" w:line="240" w:lineRule="auto"/>
        <w:ind w:firstLine="709"/>
        <w:jc w:val="both"/>
        <w:rPr>
          <w:rFonts w:ascii="Times New Roman" w:hAnsi="Times New Roman"/>
          <w:sz w:val="24"/>
          <w:szCs w:val="24"/>
        </w:rPr>
      </w:pPr>
      <w:r w:rsidRPr="00191C75">
        <w:rPr>
          <w:rFonts w:ascii="Times New Roman" w:hAnsi="Times New Roman"/>
          <w:sz w:val="24"/>
          <w:szCs w:val="24"/>
        </w:rPr>
        <w:t>O estudo de Araújo (2014) busca analisar o risco e o retorno das empresas que possuem aportes de VC/PE e em relação às empresas que não recebem esse tipo de investimento. A amostra final consiste em 80 IPOs que ocorrem no período de fevereiro de 2006 a novembro de 2010. A base de dados utilizada é a B3. Os resultados indicam que nos períodos de curto, médio e longo prazo, as empresas com investimentos de VC/PE - e que realizam IPO - apresentam CAR maior que aquelas que não recebem os mesmos investimentos. Essa diferença é estatisticamente significativa.</w:t>
      </w:r>
    </w:p>
    <w:p w14:paraId="4226225A" w14:textId="77777777" w:rsidR="003E49D5" w:rsidRPr="00191C75" w:rsidRDefault="003E49D5" w:rsidP="00115351">
      <w:pPr>
        <w:spacing w:after="0" w:line="240" w:lineRule="auto"/>
        <w:ind w:firstLine="709"/>
        <w:jc w:val="both"/>
        <w:rPr>
          <w:rFonts w:ascii="Times New Roman" w:hAnsi="Times New Roman"/>
          <w:sz w:val="24"/>
          <w:szCs w:val="24"/>
          <w:shd w:val="clear" w:color="auto" w:fill="FFFFFF"/>
        </w:rPr>
      </w:pPr>
    </w:p>
    <w:p w14:paraId="4C00BC5F" w14:textId="77777777" w:rsidR="003E49D5" w:rsidRPr="00191C75" w:rsidRDefault="003E49D5" w:rsidP="00115351">
      <w:pPr>
        <w:spacing w:after="0" w:line="240" w:lineRule="auto"/>
        <w:ind w:firstLine="709"/>
        <w:jc w:val="both"/>
        <w:rPr>
          <w:rFonts w:ascii="Times New Roman" w:hAnsi="Times New Roman"/>
          <w:sz w:val="24"/>
          <w:szCs w:val="24"/>
        </w:rPr>
      </w:pPr>
      <w:bookmarkStart w:id="3" w:name="_Hlk479555483"/>
      <w:r w:rsidRPr="00191C75">
        <w:rPr>
          <w:rFonts w:ascii="Times New Roman" w:hAnsi="Times New Roman"/>
          <w:sz w:val="24"/>
          <w:szCs w:val="24"/>
        </w:rPr>
        <w:t xml:space="preserve">Testa e Lima (2014) investigam o efeito da presença de fundos de VC/PE como atributo qualificador dos IPOs conduzidos na </w:t>
      </w:r>
      <w:proofErr w:type="spellStart"/>
      <w:r w:rsidRPr="00191C75">
        <w:rPr>
          <w:rFonts w:ascii="Times New Roman" w:hAnsi="Times New Roman"/>
          <w:sz w:val="24"/>
          <w:szCs w:val="24"/>
        </w:rPr>
        <w:t>B3</w:t>
      </w:r>
      <w:proofErr w:type="spellEnd"/>
      <w:r w:rsidRPr="00191C75">
        <w:rPr>
          <w:rFonts w:ascii="Times New Roman" w:hAnsi="Times New Roman"/>
          <w:sz w:val="24"/>
          <w:szCs w:val="24"/>
        </w:rPr>
        <w:t>, tendo como referência a teoria da sinalização. Para tanto, analisam as cotações de fechamento de empresas que tenham efetuado seu IPO no período de janeiro de 2004 a dezembro de 2007 e permanecem ativas na bolsa por pelo menos 5 anos. Assim, a amostra é composta por 88 IPOs, dos quais 31 possuem aporte de VC/PE. Como resultado, afere-se que, estatisticamente, as empresas que possuem investimentos de VC/PE apresentam maiores médias de CAR, quando comparada àquelas que não possuem</w:t>
      </w:r>
      <w:bookmarkEnd w:id="3"/>
      <w:r w:rsidRPr="00191C75">
        <w:rPr>
          <w:rFonts w:ascii="Times New Roman" w:hAnsi="Times New Roman"/>
          <w:sz w:val="24"/>
          <w:szCs w:val="24"/>
        </w:rPr>
        <w:t>.</w:t>
      </w:r>
    </w:p>
    <w:p w14:paraId="53477502" w14:textId="77777777" w:rsidR="003E49D5" w:rsidRPr="00191C75" w:rsidRDefault="003E49D5" w:rsidP="00115351">
      <w:pPr>
        <w:spacing w:after="0" w:line="240" w:lineRule="auto"/>
        <w:ind w:firstLine="709"/>
        <w:jc w:val="both"/>
        <w:rPr>
          <w:rFonts w:ascii="Times New Roman" w:hAnsi="Times New Roman"/>
          <w:sz w:val="24"/>
          <w:szCs w:val="24"/>
        </w:rPr>
      </w:pPr>
    </w:p>
    <w:p w14:paraId="7760A829" w14:textId="77777777" w:rsidR="003E49D5" w:rsidRPr="00191C75" w:rsidRDefault="003E49D5" w:rsidP="00115351">
      <w:pPr>
        <w:spacing w:after="0" w:line="240" w:lineRule="auto"/>
        <w:ind w:firstLine="709"/>
        <w:jc w:val="both"/>
        <w:rPr>
          <w:rFonts w:ascii="Times New Roman" w:hAnsi="Times New Roman"/>
          <w:sz w:val="24"/>
          <w:szCs w:val="24"/>
        </w:rPr>
      </w:pPr>
      <w:proofErr w:type="spellStart"/>
      <w:r w:rsidRPr="00191C75">
        <w:rPr>
          <w:rFonts w:ascii="Times New Roman" w:hAnsi="Times New Roman"/>
          <w:sz w:val="24"/>
          <w:szCs w:val="24"/>
        </w:rPr>
        <w:t>Kirkulak</w:t>
      </w:r>
      <w:proofErr w:type="spellEnd"/>
      <w:r w:rsidRPr="00191C75">
        <w:rPr>
          <w:rFonts w:ascii="Times New Roman" w:hAnsi="Times New Roman"/>
          <w:sz w:val="24"/>
          <w:szCs w:val="24"/>
        </w:rPr>
        <w:t xml:space="preserve"> (2008) examina o retorno inicial e de longo prazo de IPOs japoneses, em empresas com e sem aportes de fundos de VC. O foco do estudo é a análise da performance desses grupos por meio de dois métodos: </w:t>
      </w:r>
      <w:proofErr w:type="spellStart"/>
      <w:r w:rsidRPr="00191C75">
        <w:rPr>
          <w:rFonts w:ascii="Times New Roman" w:hAnsi="Times New Roman"/>
          <w:sz w:val="24"/>
          <w:szCs w:val="24"/>
        </w:rPr>
        <w:t>CAR</w:t>
      </w:r>
      <w:proofErr w:type="spellEnd"/>
      <w:r w:rsidRPr="00191C75">
        <w:rPr>
          <w:rFonts w:ascii="Times New Roman" w:hAnsi="Times New Roman"/>
          <w:sz w:val="24"/>
          <w:szCs w:val="24"/>
        </w:rPr>
        <w:t xml:space="preserve"> e </w:t>
      </w:r>
      <w:proofErr w:type="spellStart"/>
      <w:r w:rsidRPr="00191C75">
        <w:rPr>
          <w:rFonts w:ascii="Times New Roman" w:hAnsi="Times New Roman"/>
          <w:i/>
          <w:sz w:val="24"/>
          <w:szCs w:val="24"/>
        </w:rPr>
        <w:t>buy-and-hold</w:t>
      </w:r>
      <w:proofErr w:type="spellEnd"/>
      <w:r w:rsidRPr="00191C75">
        <w:rPr>
          <w:rFonts w:ascii="Times New Roman" w:hAnsi="Times New Roman"/>
          <w:i/>
          <w:sz w:val="24"/>
          <w:szCs w:val="24"/>
        </w:rPr>
        <w:t xml:space="preserve"> </w:t>
      </w:r>
      <w:proofErr w:type="spellStart"/>
      <w:r w:rsidRPr="00191C75">
        <w:rPr>
          <w:rFonts w:ascii="Times New Roman" w:hAnsi="Times New Roman"/>
          <w:i/>
          <w:sz w:val="24"/>
          <w:szCs w:val="24"/>
        </w:rPr>
        <w:t>return</w:t>
      </w:r>
      <w:proofErr w:type="spellEnd"/>
      <w:r w:rsidRPr="00191C75">
        <w:rPr>
          <w:rFonts w:ascii="Times New Roman" w:hAnsi="Times New Roman"/>
          <w:i/>
          <w:sz w:val="24"/>
          <w:szCs w:val="24"/>
        </w:rPr>
        <w:t xml:space="preserve"> </w:t>
      </w:r>
      <w:r w:rsidRPr="00191C75">
        <w:rPr>
          <w:rFonts w:ascii="Times New Roman" w:hAnsi="Times New Roman"/>
          <w:sz w:val="24"/>
          <w:szCs w:val="24"/>
        </w:rPr>
        <w:t>(</w:t>
      </w:r>
      <w:proofErr w:type="spellStart"/>
      <w:r w:rsidRPr="00191C75">
        <w:rPr>
          <w:rFonts w:ascii="Times New Roman" w:hAnsi="Times New Roman"/>
          <w:sz w:val="24"/>
          <w:szCs w:val="24"/>
        </w:rPr>
        <w:t>BHAR</w:t>
      </w:r>
      <w:proofErr w:type="spellEnd"/>
      <w:r w:rsidRPr="00191C75">
        <w:rPr>
          <w:rFonts w:ascii="Times New Roman" w:hAnsi="Times New Roman"/>
          <w:sz w:val="24"/>
          <w:szCs w:val="24"/>
        </w:rPr>
        <w:t xml:space="preserve">). O período analisado é de 1988 a 2001, sendo que os dados são retirados da </w:t>
      </w:r>
      <w:proofErr w:type="spellStart"/>
      <w:r w:rsidRPr="00191C75">
        <w:rPr>
          <w:rFonts w:ascii="Times New Roman" w:hAnsi="Times New Roman"/>
          <w:i/>
          <w:sz w:val="24"/>
          <w:szCs w:val="24"/>
        </w:rPr>
        <w:t>Jasdaq</w:t>
      </w:r>
      <w:proofErr w:type="spellEnd"/>
      <w:r w:rsidRPr="00191C75">
        <w:rPr>
          <w:rFonts w:ascii="Times New Roman" w:hAnsi="Times New Roman"/>
          <w:sz w:val="24"/>
          <w:szCs w:val="24"/>
        </w:rPr>
        <w:t xml:space="preserve">, </w:t>
      </w:r>
      <w:proofErr w:type="spellStart"/>
      <w:r w:rsidRPr="00191C75">
        <w:rPr>
          <w:rFonts w:ascii="Times New Roman" w:hAnsi="Times New Roman"/>
          <w:i/>
          <w:sz w:val="24"/>
          <w:szCs w:val="24"/>
        </w:rPr>
        <w:t>Mothers</w:t>
      </w:r>
      <w:proofErr w:type="spellEnd"/>
      <w:r w:rsidRPr="00191C75">
        <w:rPr>
          <w:rFonts w:ascii="Times New Roman" w:hAnsi="Times New Roman"/>
          <w:i/>
          <w:sz w:val="24"/>
          <w:szCs w:val="24"/>
        </w:rPr>
        <w:t>, Hercules</w:t>
      </w:r>
      <w:r w:rsidRPr="00191C75">
        <w:rPr>
          <w:rFonts w:ascii="Times New Roman" w:hAnsi="Times New Roman"/>
          <w:sz w:val="24"/>
          <w:szCs w:val="24"/>
        </w:rPr>
        <w:t xml:space="preserve"> e </w:t>
      </w:r>
      <w:r w:rsidRPr="00191C75">
        <w:rPr>
          <w:rFonts w:ascii="Times New Roman" w:hAnsi="Times New Roman"/>
          <w:i/>
          <w:sz w:val="24"/>
          <w:szCs w:val="24"/>
        </w:rPr>
        <w:t xml:space="preserve">The </w:t>
      </w:r>
      <w:proofErr w:type="spellStart"/>
      <w:r w:rsidRPr="00191C75">
        <w:rPr>
          <w:rFonts w:ascii="Times New Roman" w:hAnsi="Times New Roman"/>
          <w:i/>
          <w:sz w:val="24"/>
          <w:szCs w:val="24"/>
        </w:rPr>
        <w:t>Japan</w:t>
      </w:r>
      <w:proofErr w:type="spellEnd"/>
      <w:r w:rsidRPr="00191C75">
        <w:rPr>
          <w:rFonts w:ascii="Times New Roman" w:hAnsi="Times New Roman"/>
          <w:i/>
          <w:sz w:val="24"/>
          <w:szCs w:val="24"/>
        </w:rPr>
        <w:t xml:space="preserve"> </w:t>
      </w:r>
      <w:proofErr w:type="spellStart"/>
      <w:r w:rsidRPr="00191C75">
        <w:rPr>
          <w:rFonts w:ascii="Times New Roman" w:hAnsi="Times New Roman"/>
          <w:i/>
          <w:sz w:val="24"/>
          <w:szCs w:val="24"/>
        </w:rPr>
        <w:t>Company</w:t>
      </w:r>
      <w:proofErr w:type="spellEnd"/>
      <w:r w:rsidRPr="00191C75">
        <w:rPr>
          <w:rFonts w:ascii="Times New Roman" w:hAnsi="Times New Roman"/>
          <w:i/>
          <w:sz w:val="24"/>
          <w:szCs w:val="24"/>
        </w:rPr>
        <w:t xml:space="preserve"> </w:t>
      </w:r>
      <w:proofErr w:type="spellStart"/>
      <w:r w:rsidRPr="00191C75">
        <w:rPr>
          <w:rFonts w:ascii="Times New Roman" w:hAnsi="Times New Roman"/>
          <w:i/>
          <w:sz w:val="24"/>
          <w:szCs w:val="24"/>
        </w:rPr>
        <w:t>Handbook</w:t>
      </w:r>
      <w:proofErr w:type="spellEnd"/>
      <w:r w:rsidRPr="00191C75">
        <w:rPr>
          <w:rFonts w:ascii="Times New Roman" w:hAnsi="Times New Roman"/>
          <w:sz w:val="24"/>
          <w:szCs w:val="24"/>
        </w:rPr>
        <w:t>. A amostra é composta por 433 IPOs, dos quais 343 possuem aportes anteriores de VC. Os resultados mostram que a performance das empresas com aportes de VC, em comparação àquelas sem, não é significativamente diferente a longo prazo. Apenas nos primeiros meses e 1 ano a diferença é significativa. Diferentemente dos Estados Unidos, o Japão possui um mercado avesso ao risco e os investidores de fundos de VC não se envolvem de forma ativa na gestão das empresas investidas antes do IPO. Consequentemente, a participação desses fundos não reduz a assimetria de informação.</w:t>
      </w:r>
    </w:p>
    <w:p w14:paraId="52203650" w14:textId="77777777" w:rsidR="003E49D5" w:rsidRPr="00191C75" w:rsidRDefault="003E49D5" w:rsidP="00115351">
      <w:pPr>
        <w:spacing w:after="0" w:line="240" w:lineRule="auto"/>
        <w:ind w:firstLine="709"/>
        <w:jc w:val="both"/>
        <w:rPr>
          <w:rFonts w:ascii="Times New Roman" w:hAnsi="Times New Roman"/>
          <w:sz w:val="24"/>
          <w:szCs w:val="24"/>
        </w:rPr>
      </w:pPr>
      <w:bookmarkStart w:id="4" w:name="_Hlk481446433"/>
    </w:p>
    <w:p w14:paraId="38D079FF" w14:textId="77777777" w:rsidR="003E49D5" w:rsidRPr="00191C75" w:rsidRDefault="003E49D5" w:rsidP="00115351">
      <w:pPr>
        <w:spacing w:after="0" w:line="240" w:lineRule="auto"/>
        <w:ind w:firstLine="709"/>
        <w:jc w:val="both"/>
        <w:rPr>
          <w:rFonts w:ascii="Times New Roman" w:hAnsi="Times New Roman"/>
          <w:sz w:val="24"/>
          <w:szCs w:val="24"/>
        </w:rPr>
      </w:pPr>
      <w:r w:rsidRPr="00191C75">
        <w:rPr>
          <w:rFonts w:ascii="Times New Roman" w:hAnsi="Times New Roman"/>
          <w:sz w:val="24"/>
          <w:szCs w:val="24"/>
        </w:rPr>
        <w:t xml:space="preserve">Rossi (2012) investiga a performance de longo prazo de 102 empresas que realizam IPO no mercado de capitais italiano entre os anos de 1998 a 2005, das quais 38 recebem investimentos prévios de fundos de VC/PE e 64 não recebem esse tipo de investimento. As análises feitas ocorrem do segundo dia útil até o final do terceiro ano. Durante todo o período analisado, demonstra-se que há </w:t>
      </w:r>
      <w:proofErr w:type="spellStart"/>
      <w:r w:rsidRPr="00191C75">
        <w:rPr>
          <w:rFonts w:ascii="Times New Roman" w:hAnsi="Times New Roman"/>
          <w:i/>
          <w:sz w:val="24"/>
          <w:szCs w:val="24"/>
        </w:rPr>
        <w:t>underperformance</w:t>
      </w:r>
      <w:proofErr w:type="spellEnd"/>
      <w:r w:rsidRPr="00191C75">
        <w:rPr>
          <w:rFonts w:ascii="Times New Roman" w:hAnsi="Times New Roman"/>
          <w:sz w:val="24"/>
          <w:szCs w:val="24"/>
        </w:rPr>
        <w:t xml:space="preserve"> das empresas que não recebem esse tipo de aporte. Entretanto, o teste de diferenças de médias do CAR não indica que as duas amostras são estatisticamente diferentes. </w:t>
      </w:r>
      <w:bookmarkEnd w:id="4"/>
    </w:p>
    <w:p w14:paraId="30E50ACC" w14:textId="77777777" w:rsidR="003E49D5" w:rsidRPr="00191C75" w:rsidRDefault="003E49D5" w:rsidP="00115351">
      <w:pPr>
        <w:spacing w:after="0" w:line="240" w:lineRule="auto"/>
        <w:ind w:firstLine="709"/>
        <w:jc w:val="both"/>
        <w:rPr>
          <w:rFonts w:ascii="Times New Roman" w:hAnsi="Times New Roman"/>
          <w:sz w:val="24"/>
          <w:szCs w:val="24"/>
        </w:rPr>
      </w:pPr>
    </w:p>
    <w:p w14:paraId="5DDC01CF" w14:textId="77777777" w:rsidR="003E49D5" w:rsidRPr="00191C75" w:rsidRDefault="003E49D5" w:rsidP="00115351">
      <w:pPr>
        <w:spacing w:after="0" w:line="240" w:lineRule="auto"/>
        <w:ind w:firstLine="709"/>
        <w:jc w:val="both"/>
        <w:rPr>
          <w:rFonts w:ascii="Times New Roman" w:hAnsi="Times New Roman"/>
          <w:sz w:val="24"/>
          <w:szCs w:val="24"/>
        </w:rPr>
      </w:pPr>
      <w:proofErr w:type="spellStart"/>
      <w:r w:rsidRPr="00191C75">
        <w:rPr>
          <w:rFonts w:ascii="Times New Roman" w:hAnsi="Times New Roman"/>
          <w:sz w:val="24"/>
          <w:szCs w:val="24"/>
        </w:rPr>
        <w:t>Bourrat</w:t>
      </w:r>
      <w:proofErr w:type="spellEnd"/>
      <w:r w:rsidRPr="00191C75">
        <w:rPr>
          <w:rFonts w:ascii="Times New Roman" w:hAnsi="Times New Roman"/>
          <w:sz w:val="24"/>
          <w:szCs w:val="24"/>
        </w:rPr>
        <w:t xml:space="preserve"> e Wolff (2013) analisam a performance de IPOs que recebem investimentos de PE no curto e longo prazo, em comparação às empresas sem tais investimentos. A amostra é composta por IPOs listados no mercado de capitais francês entre 1996 e 2012, englobando 483 companhias, das quais 82 possuem investimentos de PE. É constatado que, no curto-prazo, a amostra de empresas que possui aporte de PE supera o desempenho das que não os possuem. Elas apresentam um CAR superior até os primeiros 36 meses. Porém, essas empresas não necessariamente superam os índices de referência daquele mercado, como o CAC40. Esse estudo compara os retornos dos grupos - com e sem investimentos de VC/PE - com o retorno do índice analisado, diferenciando-se da metodologia utilizada pelos outros artigos desta sessão. Portanto, não se aplica o teste de diferença de médias adotado na </w:t>
      </w:r>
      <w:r w:rsidR="00265926" w:rsidRPr="00191C75">
        <w:rPr>
          <w:rFonts w:ascii="Times New Roman" w:hAnsi="Times New Roman"/>
          <w:sz w:val="24"/>
          <w:szCs w:val="24"/>
        </w:rPr>
        <w:t>t</w:t>
      </w:r>
      <w:r w:rsidRPr="00191C75">
        <w:rPr>
          <w:rFonts w:ascii="Times New Roman" w:hAnsi="Times New Roman"/>
          <w:sz w:val="24"/>
          <w:szCs w:val="24"/>
        </w:rPr>
        <w:t>abela 2.</w:t>
      </w:r>
    </w:p>
    <w:p w14:paraId="5C3E49E6" w14:textId="77777777" w:rsidR="003E49D5" w:rsidRPr="00191C75" w:rsidRDefault="003E49D5" w:rsidP="00115351">
      <w:pPr>
        <w:spacing w:after="0" w:line="240" w:lineRule="auto"/>
        <w:ind w:firstLine="709"/>
        <w:jc w:val="both"/>
        <w:rPr>
          <w:rFonts w:ascii="Times New Roman" w:hAnsi="Times New Roman"/>
          <w:sz w:val="24"/>
          <w:szCs w:val="24"/>
        </w:rPr>
      </w:pPr>
    </w:p>
    <w:p w14:paraId="5CA5E561" w14:textId="77777777" w:rsidR="003E49D5" w:rsidRPr="00191C75" w:rsidRDefault="003E49D5" w:rsidP="00115351">
      <w:pPr>
        <w:spacing w:after="0" w:line="240" w:lineRule="auto"/>
        <w:ind w:firstLine="709"/>
        <w:jc w:val="both"/>
        <w:rPr>
          <w:rFonts w:ascii="Times New Roman" w:hAnsi="Times New Roman"/>
          <w:sz w:val="24"/>
          <w:szCs w:val="24"/>
        </w:rPr>
      </w:pPr>
      <w:r w:rsidRPr="00191C75">
        <w:rPr>
          <w:rFonts w:ascii="Times New Roman" w:hAnsi="Times New Roman"/>
          <w:sz w:val="24"/>
          <w:szCs w:val="24"/>
        </w:rPr>
        <w:lastRenderedPageBreak/>
        <w:t xml:space="preserve">Por fim, </w:t>
      </w:r>
      <w:proofErr w:type="spellStart"/>
      <w:r w:rsidRPr="00191C75">
        <w:rPr>
          <w:rFonts w:ascii="Times New Roman" w:hAnsi="Times New Roman"/>
          <w:sz w:val="24"/>
          <w:szCs w:val="24"/>
        </w:rPr>
        <w:t>Bergh</w:t>
      </w:r>
      <w:proofErr w:type="spellEnd"/>
      <w:r w:rsidRPr="00191C75">
        <w:rPr>
          <w:rFonts w:ascii="Times New Roman" w:hAnsi="Times New Roman"/>
          <w:sz w:val="24"/>
          <w:szCs w:val="24"/>
        </w:rPr>
        <w:t xml:space="preserve"> e Larsson (2014) investigam a performance a longo prazo de empresas com aportes de VC/PE e empresas sem aportes de capital de risco, durante o processo de IPOs. A amostra é composta por 121 IPOs de companhias nórdicas no período de 2004 a 2010, sendo 18 com aportes de VC, 32 com aportes de PE e 71 sem investimentos deste tipo. O estudo faz análises de CAR e BHAR para compreender a performance destas empresas a longo prazo, observando um período de 36 meses após o evento de IPO. Os resultados demonstram que empresas com aportes de PE possuem retornos anormais acumulados maiores a longo prazo, se comparado àquelas sem tais investimentos. O estudo não dá suporte à performance a longo prazo de VC após o IPO, considerando que este fator se deve à fraca assimetria informacional e ao fato de a fração da amostra - que representa as empresas com aportes de VC - ser muito pequena, quando comparada à amostra total. Os retornos dos grupos com e sem participação de fundos de VC/PE são comparados ao retorno da amostra completa, diferenciando-se da metodologia utilizada pelos outros artigos mencionados. Assim sendo, o teste de diferença de médias adotado na tabela 2 não se aplica.</w:t>
      </w:r>
    </w:p>
    <w:p w14:paraId="635D987F" w14:textId="77777777" w:rsidR="003E49D5" w:rsidRPr="00191C75" w:rsidRDefault="003E49D5" w:rsidP="00115351">
      <w:pPr>
        <w:spacing w:after="0" w:line="240" w:lineRule="auto"/>
        <w:ind w:firstLine="709"/>
        <w:jc w:val="both"/>
        <w:rPr>
          <w:rFonts w:ascii="Times New Roman" w:hAnsi="Times New Roman"/>
          <w:sz w:val="24"/>
          <w:szCs w:val="24"/>
        </w:rPr>
      </w:pPr>
    </w:p>
    <w:p w14:paraId="18B02D4F" w14:textId="77777777" w:rsidR="003E49D5" w:rsidRPr="00191C75" w:rsidRDefault="003E49D5" w:rsidP="00115351">
      <w:pPr>
        <w:spacing w:after="0" w:line="240" w:lineRule="auto"/>
        <w:ind w:firstLine="709"/>
        <w:jc w:val="both"/>
        <w:rPr>
          <w:rFonts w:ascii="Times New Roman" w:hAnsi="Times New Roman"/>
          <w:sz w:val="24"/>
          <w:szCs w:val="24"/>
        </w:rPr>
      </w:pPr>
      <w:r w:rsidRPr="00191C75">
        <w:rPr>
          <w:rFonts w:ascii="Times New Roman" w:hAnsi="Times New Roman"/>
          <w:sz w:val="24"/>
          <w:szCs w:val="24"/>
        </w:rPr>
        <w:t xml:space="preserve">As tabelas 1 e 2 apresentam a média do </w:t>
      </w:r>
      <w:proofErr w:type="spellStart"/>
      <w:r w:rsidRPr="00191C75">
        <w:rPr>
          <w:rFonts w:ascii="Times New Roman" w:hAnsi="Times New Roman"/>
          <w:sz w:val="24"/>
          <w:szCs w:val="24"/>
        </w:rPr>
        <w:t>CAR</w:t>
      </w:r>
      <w:proofErr w:type="spellEnd"/>
      <w:r w:rsidRPr="00191C75">
        <w:rPr>
          <w:rFonts w:ascii="Times New Roman" w:hAnsi="Times New Roman"/>
          <w:sz w:val="24"/>
          <w:szCs w:val="24"/>
        </w:rPr>
        <w:t xml:space="preserve"> dos IPOs - para a maior janela apresentada na tabela 3 - de cada estudo nacional e internacional, respectivamente. O CAR é obtido pelos </w:t>
      </w:r>
      <w:proofErr w:type="spellStart"/>
      <w:r w:rsidRPr="00191C75">
        <w:rPr>
          <w:rFonts w:ascii="Times New Roman" w:hAnsi="Times New Roman"/>
          <w:sz w:val="24"/>
          <w:szCs w:val="24"/>
        </w:rPr>
        <w:t>ARs</w:t>
      </w:r>
      <w:proofErr w:type="spellEnd"/>
      <w:r w:rsidRPr="00191C75">
        <w:rPr>
          <w:rFonts w:ascii="Times New Roman" w:hAnsi="Times New Roman"/>
          <w:sz w:val="24"/>
          <w:szCs w:val="24"/>
        </w:rPr>
        <w:t xml:space="preserve"> acumulados das companhias, em relação ao índice que representa a média de retorno do mercado daquela amostra. A significância encontrada representa o resultado do teste de diferença de médias entre os retornos das companhias com e sem participação, anterior ao IPO, dos fundos de VC/PE. Espera-se que o CAR das companhias com participação de fundos de VC/PE seja maior que o daquelas sem essa participação. Os resultados comprovam essa expectativa.</w:t>
      </w:r>
    </w:p>
    <w:p w14:paraId="39C6FC20" w14:textId="77777777" w:rsidR="003E49D5" w:rsidRPr="00191C75" w:rsidRDefault="003E49D5" w:rsidP="00B37D61">
      <w:pPr>
        <w:spacing w:after="0" w:line="240" w:lineRule="auto"/>
        <w:ind w:firstLine="567"/>
        <w:jc w:val="both"/>
        <w:rPr>
          <w:rFonts w:ascii="Times New Roman" w:hAnsi="Times New Roman"/>
          <w:sz w:val="24"/>
          <w:szCs w:val="24"/>
        </w:rPr>
      </w:pPr>
    </w:p>
    <w:p w14:paraId="21C33BF5" w14:textId="77777777" w:rsidR="003E49D5" w:rsidRPr="00191C75" w:rsidRDefault="003E49D5" w:rsidP="009A1BA3">
      <w:pPr>
        <w:pStyle w:val="Caption"/>
        <w:keepNext/>
        <w:spacing w:after="0"/>
        <w:jc w:val="center"/>
        <w:rPr>
          <w:rFonts w:eastAsia="Times New Roman"/>
          <w:b/>
          <w:bCs/>
          <w:i w:val="0"/>
          <w:color w:val="auto"/>
          <w:sz w:val="20"/>
          <w:szCs w:val="20"/>
          <w:lang w:val="pt-BR"/>
        </w:rPr>
      </w:pPr>
      <w:bookmarkStart w:id="5" w:name="_Toc482749722"/>
      <w:bookmarkStart w:id="6" w:name="_Toc483380187"/>
      <w:r w:rsidRPr="00191C75">
        <w:rPr>
          <w:b/>
          <w:i w:val="0"/>
          <w:color w:val="auto"/>
          <w:sz w:val="20"/>
          <w:szCs w:val="20"/>
          <w:lang w:val="pt-BR"/>
        </w:rPr>
        <w:t xml:space="preserve">Tabela </w:t>
      </w:r>
      <w:r w:rsidRPr="00191C75">
        <w:rPr>
          <w:b/>
          <w:i w:val="0"/>
          <w:color w:val="auto"/>
          <w:sz w:val="20"/>
          <w:szCs w:val="20"/>
        </w:rPr>
        <w:fldChar w:fldCharType="begin"/>
      </w:r>
      <w:r w:rsidRPr="00191C75">
        <w:rPr>
          <w:b/>
          <w:i w:val="0"/>
          <w:color w:val="auto"/>
          <w:sz w:val="20"/>
          <w:szCs w:val="20"/>
          <w:lang w:val="pt-BR"/>
        </w:rPr>
        <w:instrText xml:space="preserve"> SEQ Tabela \* ARABIC </w:instrText>
      </w:r>
      <w:r w:rsidRPr="00191C75">
        <w:rPr>
          <w:b/>
          <w:i w:val="0"/>
          <w:color w:val="auto"/>
          <w:sz w:val="20"/>
          <w:szCs w:val="20"/>
        </w:rPr>
        <w:fldChar w:fldCharType="separate"/>
      </w:r>
      <w:r w:rsidRPr="00191C75">
        <w:rPr>
          <w:b/>
          <w:i w:val="0"/>
          <w:noProof/>
          <w:color w:val="auto"/>
          <w:sz w:val="20"/>
          <w:szCs w:val="20"/>
          <w:lang w:val="pt-BR"/>
        </w:rPr>
        <w:t>1</w:t>
      </w:r>
      <w:r w:rsidRPr="00191C75">
        <w:rPr>
          <w:b/>
          <w:i w:val="0"/>
          <w:color w:val="auto"/>
          <w:sz w:val="20"/>
          <w:szCs w:val="20"/>
        </w:rPr>
        <w:fldChar w:fldCharType="end"/>
      </w:r>
      <w:r w:rsidRPr="00191C75">
        <w:rPr>
          <w:b/>
          <w:i w:val="0"/>
          <w:color w:val="auto"/>
          <w:sz w:val="20"/>
          <w:szCs w:val="20"/>
          <w:lang w:val="pt-BR"/>
        </w:rPr>
        <w:t xml:space="preserve"> </w:t>
      </w:r>
      <w:r w:rsidRPr="00191C75">
        <w:rPr>
          <w:rFonts w:eastAsia="Times New Roman"/>
          <w:b/>
          <w:i w:val="0"/>
          <w:color w:val="auto"/>
          <w:sz w:val="20"/>
          <w:szCs w:val="20"/>
          <w:lang w:val="pt-BR"/>
        </w:rPr>
        <w:t>– Síntese dos resultados do CAR dos estudos de eventos nacionais</w:t>
      </w:r>
      <w:bookmarkEnd w:id="5"/>
      <w:bookmarkEnd w:id="6"/>
    </w:p>
    <w:p w14:paraId="59DFE1CC" w14:textId="77777777" w:rsidR="003E49D5" w:rsidRPr="00191C75" w:rsidRDefault="003E49D5" w:rsidP="00B37D61">
      <w:pPr>
        <w:spacing w:after="0" w:line="240" w:lineRule="auto"/>
        <w:ind w:firstLine="567"/>
        <w:jc w:val="both"/>
        <w:rPr>
          <w:rFonts w:ascii="Times New Roman" w:hAnsi="Times New Roman"/>
          <w:sz w:val="20"/>
          <w:szCs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842"/>
        <w:gridCol w:w="1843"/>
        <w:gridCol w:w="1843"/>
      </w:tblGrid>
      <w:tr w:rsidR="00191C75" w:rsidRPr="00191C75" w14:paraId="663FA2A3" w14:textId="77777777" w:rsidTr="00B37D61">
        <w:trPr>
          <w:jc w:val="center"/>
        </w:trPr>
        <w:tc>
          <w:tcPr>
            <w:tcW w:w="3539" w:type="dxa"/>
            <w:shd w:val="clear" w:color="auto" w:fill="auto"/>
            <w:vAlign w:val="center"/>
          </w:tcPr>
          <w:p w14:paraId="7CE626FF" w14:textId="77777777" w:rsidR="003E49D5" w:rsidRPr="00191C75" w:rsidRDefault="003E49D5" w:rsidP="008E7936">
            <w:pPr>
              <w:spacing w:after="0" w:line="240" w:lineRule="auto"/>
              <w:rPr>
                <w:rFonts w:ascii="Times New Roman" w:eastAsia="SimSun" w:hAnsi="Times New Roman"/>
                <w:b/>
                <w:sz w:val="20"/>
                <w:szCs w:val="20"/>
              </w:rPr>
            </w:pPr>
            <w:r w:rsidRPr="00191C75">
              <w:rPr>
                <w:rFonts w:ascii="Times New Roman" w:eastAsia="SimSun" w:hAnsi="Times New Roman"/>
                <w:b/>
                <w:sz w:val="20"/>
                <w:szCs w:val="20"/>
              </w:rPr>
              <w:t>Referência</w:t>
            </w:r>
          </w:p>
        </w:tc>
        <w:tc>
          <w:tcPr>
            <w:tcW w:w="1842" w:type="dxa"/>
            <w:shd w:val="clear" w:color="auto" w:fill="auto"/>
            <w:vAlign w:val="center"/>
          </w:tcPr>
          <w:p w14:paraId="24730750" w14:textId="77777777" w:rsidR="003E49D5" w:rsidRPr="00191C75" w:rsidRDefault="003E49D5" w:rsidP="00E31814">
            <w:pPr>
              <w:spacing w:after="0" w:line="240" w:lineRule="auto"/>
              <w:jc w:val="center"/>
              <w:rPr>
                <w:rFonts w:ascii="Times New Roman" w:eastAsia="SimSun" w:hAnsi="Times New Roman"/>
                <w:b/>
                <w:sz w:val="20"/>
                <w:szCs w:val="20"/>
              </w:rPr>
            </w:pPr>
            <w:proofErr w:type="spellStart"/>
            <w:r w:rsidRPr="00191C75">
              <w:rPr>
                <w:rFonts w:ascii="Times New Roman" w:eastAsia="SimSun" w:hAnsi="Times New Roman"/>
                <w:b/>
                <w:sz w:val="20"/>
                <w:szCs w:val="20"/>
              </w:rPr>
              <w:t>ComVC</w:t>
            </w:r>
            <w:proofErr w:type="spellEnd"/>
            <w:r w:rsidRPr="00191C75">
              <w:rPr>
                <w:rFonts w:ascii="Times New Roman" w:eastAsia="SimSun" w:hAnsi="Times New Roman"/>
                <w:b/>
                <w:sz w:val="20"/>
                <w:szCs w:val="20"/>
              </w:rPr>
              <w:t>/PE</w:t>
            </w:r>
          </w:p>
        </w:tc>
        <w:tc>
          <w:tcPr>
            <w:tcW w:w="1843" w:type="dxa"/>
            <w:shd w:val="clear" w:color="auto" w:fill="auto"/>
            <w:vAlign w:val="center"/>
          </w:tcPr>
          <w:p w14:paraId="6BEC5982" w14:textId="77777777" w:rsidR="003E49D5" w:rsidRPr="00191C75" w:rsidRDefault="003E49D5" w:rsidP="00E31814">
            <w:pPr>
              <w:spacing w:after="0" w:line="240" w:lineRule="auto"/>
              <w:jc w:val="center"/>
              <w:rPr>
                <w:rFonts w:ascii="Times New Roman" w:eastAsia="SimSun" w:hAnsi="Times New Roman"/>
                <w:b/>
                <w:sz w:val="20"/>
                <w:szCs w:val="20"/>
              </w:rPr>
            </w:pPr>
            <w:proofErr w:type="spellStart"/>
            <w:r w:rsidRPr="00191C75">
              <w:rPr>
                <w:rFonts w:ascii="Times New Roman" w:eastAsia="SimSun" w:hAnsi="Times New Roman"/>
                <w:b/>
                <w:sz w:val="20"/>
                <w:szCs w:val="20"/>
              </w:rPr>
              <w:t>SemVC</w:t>
            </w:r>
            <w:proofErr w:type="spellEnd"/>
            <w:r w:rsidRPr="00191C75">
              <w:rPr>
                <w:rFonts w:ascii="Times New Roman" w:eastAsia="SimSun" w:hAnsi="Times New Roman"/>
                <w:b/>
                <w:sz w:val="20"/>
                <w:szCs w:val="20"/>
              </w:rPr>
              <w:t>/PE</w:t>
            </w:r>
          </w:p>
        </w:tc>
        <w:tc>
          <w:tcPr>
            <w:tcW w:w="1843" w:type="dxa"/>
            <w:shd w:val="clear" w:color="auto" w:fill="auto"/>
            <w:vAlign w:val="center"/>
          </w:tcPr>
          <w:p w14:paraId="6532BB13"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Significância</w:t>
            </w:r>
          </w:p>
        </w:tc>
      </w:tr>
      <w:tr w:rsidR="00191C75" w:rsidRPr="00191C75" w14:paraId="52FB5CDB" w14:textId="77777777" w:rsidTr="00B37D61">
        <w:trPr>
          <w:jc w:val="center"/>
        </w:trPr>
        <w:tc>
          <w:tcPr>
            <w:tcW w:w="3539" w:type="dxa"/>
            <w:shd w:val="clear" w:color="auto" w:fill="auto"/>
            <w:vAlign w:val="center"/>
          </w:tcPr>
          <w:p w14:paraId="324F4625" w14:textId="77777777" w:rsidR="003E49D5" w:rsidRPr="00191C75" w:rsidRDefault="003E49D5" w:rsidP="008E7936">
            <w:pPr>
              <w:spacing w:after="0" w:line="240" w:lineRule="auto"/>
              <w:rPr>
                <w:rFonts w:ascii="Times New Roman" w:eastAsia="SimSun" w:hAnsi="Times New Roman"/>
                <w:sz w:val="20"/>
                <w:szCs w:val="20"/>
              </w:rPr>
            </w:pPr>
            <w:r w:rsidRPr="00191C75">
              <w:rPr>
                <w:rFonts w:ascii="Times New Roman" w:eastAsia="SimSun" w:hAnsi="Times New Roman"/>
                <w:sz w:val="20"/>
                <w:szCs w:val="20"/>
              </w:rPr>
              <w:t>Ferrari</w:t>
            </w:r>
            <w:r w:rsidR="005374A9" w:rsidRPr="00191C75">
              <w:rPr>
                <w:rFonts w:ascii="Times New Roman" w:eastAsia="SimSun" w:hAnsi="Times New Roman"/>
                <w:sz w:val="20"/>
                <w:szCs w:val="20"/>
              </w:rPr>
              <w:t xml:space="preserve"> </w:t>
            </w:r>
            <w:r w:rsidRPr="00191C75">
              <w:rPr>
                <w:rFonts w:ascii="Times New Roman" w:eastAsia="SimSun" w:hAnsi="Times New Roman"/>
                <w:sz w:val="20"/>
                <w:szCs w:val="20"/>
              </w:rPr>
              <w:t>e</w:t>
            </w:r>
            <w:r w:rsidR="005374A9" w:rsidRPr="00191C75">
              <w:rPr>
                <w:rFonts w:ascii="Times New Roman" w:eastAsia="SimSun" w:hAnsi="Times New Roman"/>
                <w:sz w:val="20"/>
                <w:szCs w:val="20"/>
              </w:rPr>
              <w:t xml:space="preserve"> </w:t>
            </w:r>
            <w:r w:rsidRPr="00191C75">
              <w:rPr>
                <w:rFonts w:ascii="Times New Roman" w:eastAsia="SimSun" w:hAnsi="Times New Roman"/>
                <w:sz w:val="20"/>
                <w:szCs w:val="20"/>
              </w:rPr>
              <w:t>Minardi</w:t>
            </w:r>
            <w:r w:rsidR="005374A9" w:rsidRPr="00191C75">
              <w:rPr>
                <w:rFonts w:ascii="Times New Roman" w:eastAsia="SimSun" w:hAnsi="Times New Roman"/>
                <w:sz w:val="20"/>
                <w:szCs w:val="20"/>
              </w:rPr>
              <w:t xml:space="preserve"> </w:t>
            </w:r>
            <w:r w:rsidRPr="00191C75">
              <w:rPr>
                <w:rFonts w:ascii="Times New Roman" w:eastAsia="SimSun" w:hAnsi="Times New Roman"/>
                <w:sz w:val="20"/>
                <w:szCs w:val="20"/>
              </w:rPr>
              <w:t>(2010)</w:t>
            </w:r>
          </w:p>
        </w:tc>
        <w:tc>
          <w:tcPr>
            <w:tcW w:w="1842" w:type="dxa"/>
            <w:shd w:val="clear" w:color="auto" w:fill="auto"/>
            <w:vAlign w:val="center"/>
          </w:tcPr>
          <w:p w14:paraId="2642C7BE"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-0,111</w:t>
            </w:r>
          </w:p>
        </w:tc>
        <w:tc>
          <w:tcPr>
            <w:tcW w:w="1843" w:type="dxa"/>
            <w:shd w:val="clear" w:color="auto" w:fill="auto"/>
            <w:vAlign w:val="center"/>
          </w:tcPr>
          <w:p w14:paraId="6AF596BE"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-0,336</w:t>
            </w:r>
          </w:p>
        </w:tc>
        <w:tc>
          <w:tcPr>
            <w:tcW w:w="1843" w:type="dxa"/>
            <w:shd w:val="clear" w:color="auto" w:fill="auto"/>
            <w:vAlign w:val="center"/>
          </w:tcPr>
          <w:p w14:paraId="6AA4E53E"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5%</w:t>
            </w:r>
          </w:p>
        </w:tc>
      </w:tr>
      <w:tr w:rsidR="00191C75" w:rsidRPr="00191C75" w14:paraId="2CE26ABF" w14:textId="77777777" w:rsidTr="00B37D61">
        <w:trPr>
          <w:jc w:val="center"/>
        </w:trPr>
        <w:tc>
          <w:tcPr>
            <w:tcW w:w="3539" w:type="dxa"/>
            <w:shd w:val="clear" w:color="auto" w:fill="auto"/>
            <w:vAlign w:val="center"/>
          </w:tcPr>
          <w:p w14:paraId="10261587" w14:textId="77777777" w:rsidR="003E49D5" w:rsidRPr="00191C75" w:rsidRDefault="003E49D5" w:rsidP="008E7936">
            <w:pPr>
              <w:spacing w:after="0" w:line="240" w:lineRule="auto"/>
              <w:rPr>
                <w:rFonts w:ascii="Times New Roman" w:eastAsia="SimSun" w:hAnsi="Times New Roman"/>
                <w:sz w:val="20"/>
                <w:szCs w:val="20"/>
              </w:rPr>
            </w:pPr>
            <w:r w:rsidRPr="00191C75">
              <w:rPr>
                <w:rFonts w:ascii="Times New Roman" w:eastAsia="SimSun" w:hAnsi="Times New Roman"/>
                <w:sz w:val="20"/>
                <w:szCs w:val="20"/>
              </w:rPr>
              <w:t>Eller</w:t>
            </w:r>
            <w:r w:rsidR="005374A9" w:rsidRPr="00191C75">
              <w:rPr>
                <w:rFonts w:ascii="Times New Roman" w:eastAsia="SimSun" w:hAnsi="Times New Roman"/>
                <w:sz w:val="20"/>
                <w:szCs w:val="20"/>
              </w:rPr>
              <w:t xml:space="preserve"> </w:t>
            </w:r>
            <w:r w:rsidRPr="00191C75">
              <w:rPr>
                <w:rFonts w:ascii="Times New Roman" w:eastAsia="SimSun" w:hAnsi="Times New Roman"/>
                <w:sz w:val="20"/>
                <w:szCs w:val="20"/>
              </w:rPr>
              <w:t>(2012)</w:t>
            </w:r>
          </w:p>
        </w:tc>
        <w:tc>
          <w:tcPr>
            <w:tcW w:w="1842" w:type="dxa"/>
            <w:shd w:val="clear" w:color="auto" w:fill="auto"/>
            <w:vAlign w:val="center"/>
          </w:tcPr>
          <w:p w14:paraId="201498F6"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-0,240</w:t>
            </w:r>
          </w:p>
        </w:tc>
        <w:tc>
          <w:tcPr>
            <w:tcW w:w="1843" w:type="dxa"/>
            <w:shd w:val="clear" w:color="auto" w:fill="auto"/>
            <w:vAlign w:val="center"/>
          </w:tcPr>
          <w:p w14:paraId="513CE2B1"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-0,432</w:t>
            </w:r>
          </w:p>
        </w:tc>
        <w:tc>
          <w:tcPr>
            <w:tcW w:w="1843" w:type="dxa"/>
            <w:shd w:val="clear" w:color="auto" w:fill="auto"/>
            <w:vAlign w:val="center"/>
          </w:tcPr>
          <w:p w14:paraId="27D18B86"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S/S</w:t>
            </w:r>
          </w:p>
        </w:tc>
      </w:tr>
      <w:tr w:rsidR="00191C75" w:rsidRPr="00191C75" w14:paraId="72075998" w14:textId="77777777" w:rsidTr="00B37D61">
        <w:trPr>
          <w:jc w:val="center"/>
        </w:trPr>
        <w:tc>
          <w:tcPr>
            <w:tcW w:w="3539" w:type="dxa"/>
            <w:shd w:val="clear" w:color="auto" w:fill="auto"/>
            <w:vAlign w:val="center"/>
          </w:tcPr>
          <w:p w14:paraId="0525FDC7" w14:textId="77777777" w:rsidR="003E49D5" w:rsidRPr="00191C75" w:rsidRDefault="003E49D5" w:rsidP="008E7936">
            <w:pPr>
              <w:spacing w:after="0" w:line="240" w:lineRule="auto"/>
              <w:rPr>
                <w:rFonts w:ascii="Times New Roman" w:eastAsia="SimSun" w:hAnsi="Times New Roman"/>
                <w:sz w:val="20"/>
                <w:szCs w:val="20"/>
              </w:rPr>
            </w:pPr>
            <w:r w:rsidRPr="00191C75">
              <w:rPr>
                <w:rFonts w:ascii="Times New Roman" w:eastAsia="SimSun" w:hAnsi="Times New Roman"/>
                <w:sz w:val="20"/>
                <w:szCs w:val="20"/>
              </w:rPr>
              <w:t>Araújo</w:t>
            </w:r>
            <w:r w:rsidR="005374A9" w:rsidRPr="00191C75">
              <w:rPr>
                <w:rFonts w:ascii="Times New Roman" w:eastAsia="SimSun" w:hAnsi="Times New Roman"/>
                <w:sz w:val="20"/>
                <w:szCs w:val="20"/>
              </w:rPr>
              <w:t xml:space="preserve"> </w:t>
            </w:r>
            <w:r w:rsidRPr="00191C75">
              <w:rPr>
                <w:rFonts w:ascii="Times New Roman" w:eastAsia="SimSun" w:hAnsi="Times New Roman"/>
                <w:sz w:val="20"/>
                <w:szCs w:val="20"/>
              </w:rPr>
              <w:t>(2014)</w:t>
            </w:r>
          </w:p>
        </w:tc>
        <w:tc>
          <w:tcPr>
            <w:tcW w:w="1842" w:type="dxa"/>
            <w:shd w:val="clear" w:color="auto" w:fill="auto"/>
            <w:vAlign w:val="center"/>
          </w:tcPr>
          <w:p w14:paraId="1D856D59"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-0,004</w:t>
            </w:r>
          </w:p>
        </w:tc>
        <w:tc>
          <w:tcPr>
            <w:tcW w:w="1843" w:type="dxa"/>
            <w:shd w:val="clear" w:color="auto" w:fill="auto"/>
            <w:vAlign w:val="center"/>
          </w:tcPr>
          <w:p w14:paraId="22C0AFB3"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-0,126</w:t>
            </w:r>
          </w:p>
        </w:tc>
        <w:tc>
          <w:tcPr>
            <w:tcW w:w="1843" w:type="dxa"/>
            <w:shd w:val="clear" w:color="auto" w:fill="auto"/>
            <w:vAlign w:val="center"/>
          </w:tcPr>
          <w:p w14:paraId="55211AA0"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5%</w:t>
            </w:r>
          </w:p>
        </w:tc>
      </w:tr>
      <w:tr w:rsidR="003E49D5" w:rsidRPr="00191C75" w14:paraId="2303982A" w14:textId="77777777" w:rsidTr="00B37D61">
        <w:trPr>
          <w:jc w:val="center"/>
        </w:trPr>
        <w:tc>
          <w:tcPr>
            <w:tcW w:w="3539" w:type="dxa"/>
            <w:shd w:val="clear" w:color="auto" w:fill="auto"/>
            <w:vAlign w:val="center"/>
          </w:tcPr>
          <w:p w14:paraId="1F050485" w14:textId="77777777" w:rsidR="003E49D5" w:rsidRPr="00191C75" w:rsidRDefault="003E49D5" w:rsidP="008E7936">
            <w:pPr>
              <w:spacing w:after="0" w:line="240" w:lineRule="auto"/>
              <w:rPr>
                <w:rFonts w:ascii="Times New Roman" w:eastAsia="SimSun" w:hAnsi="Times New Roman"/>
                <w:sz w:val="20"/>
                <w:szCs w:val="20"/>
              </w:rPr>
            </w:pPr>
            <w:r w:rsidRPr="00191C75">
              <w:rPr>
                <w:rFonts w:ascii="Times New Roman" w:eastAsia="SimSun" w:hAnsi="Times New Roman"/>
                <w:sz w:val="20"/>
                <w:szCs w:val="20"/>
              </w:rPr>
              <w:t>Testa</w:t>
            </w:r>
            <w:r w:rsidR="005374A9" w:rsidRPr="00191C75">
              <w:rPr>
                <w:rFonts w:ascii="Times New Roman" w:eastAsia="SimSun" w:hAnsi="Times New Roman"/>
                <w:sz w:val="20"/>
                <w:szCs w:val="20"/>
              </w:rPr>
              <w:t xml:space="preserve"> </w:t>
            </w:r>
            <w:r w:rsidRPr="00191C75">
              <w:rPr>
                <w:rFonts w:ascii="Times New Roman" w:eastAsia="SimSun" w:hAnsi="Times New Roman"/>
                <w:sz w:val="20"/>
                <w:szCs w:val="20"/>
              </w:rPr>
              <w:t>e</w:t>
            </w:r>
            <w:r w:rsidR="005374A9" w:rsidRPr="00191C75">
              <w:rPr>
                <w:rFonts w:ascii="Times New Roman" w:eastAsia="SimSun" w:hAnsi="Times New Roman"/>
                <w:sz w:val="20"/>
                <w:szCs w:val="20"/>
              </w:rPr>
              <w:t xml:space="preserve"> </w:t>
            </w:r>
            <w:r w:rsidRPr="00191C75">
              <w:rPr>
                <w:rFonts w:ascii="Times New Roman" w:eastAsia="SimSun" w:hAnsi="Times New Roman"/>
                <w:sz w:val="20"/>
                <w:szCs w:val="20"/>
              </w:rPr>
              <w:t>Lima</w:t>
            </w:r>
            <w:r w:rsidR="002B2AF2" w:rsidRPr="00191C75">
              <w:rPr>
                <w:rFonts w:ascii="Times New Roman" w:eastAsia="SimSun" w:hAnsi="Times New Roman"/>
                <w:sz w:val="20"/>
                <w:szCs w:val="20"/>
              </w:rPr>
              <w:t xml:space="preserve"> </w:t>
            </w:r>
            <w:r w:rsidRPr="00191C75">
              <w:rPr>
                <w:rFonts w:ascii="Times New Roman" w:eastAsia="SimSun" w:hAnsi="Times New Roman"/>
                <w:sz w:val="20"/>
                <w:szCs w:val="20"/>
              </w:rPr>
              <w:t>(2014)</w:t>
            </w:r>
          </w:p>
        </w:tc>
        <w:tc>
          <w:tcPr>
            <w:tcW w:w="1842" w:type="dxa"/>
            <w:shd w:val="clear" w:color="auto" w:fill="auto"/>
            <w:vAlign w:val="center"/>
          </w:tcPr>
          <w:p w14:paraId="1E8B362A"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-0,269</w:t>
            </w:r>
          </w:p>
        </w:tc>
        <w:tc>
          <w:tcPr>
            <w:tcW w:w="1843" w:type="dxa"/>
            <w:shd w:val="clear" w:color="auto" w:fill="auto"/>
            <w:vAlign w:val="center"/>
          </w:tcPr>
          <w:p w14:paraId="5DA9A68C"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-0,462</w:t>
            </w:r>
          </w:p>
        </w:tc>
        <w:tc>
          <w:tcPr>
            <w:tcW w:w="1843" w:type="dxa"/>
            <w:shd w:val="clear" w:color="auto" w:fill="auto"/>
            <w:vAlign w:val="center"/>
          </w:tcPr>
          <w:p w14:paraId="50673907"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w:t>
            </w:r>
          </w:p>
        </w:tc>
      </w:tr>
    </w:tbl>
    <w:p w14:paraId="5BF135D5" w14:textId="77777777" w:rsidR="00190603" w:rsidRPr="00191C75" w:rsidRDefault="00190603" w:rsidP="00190603">
      <w:pPr>
        <w:spacing w:after="0" w:line="240" w:lineRule="auto"/>
        <w:jc w:val="both"/>
        <w:rPr>
          <w:rFonts w:ascii="Times New Roman" w:eastAsia="Times New Roman" w:hAnsi="Times New Roman"/>
          <w:bCs/>
          <w:sz w:val="20"/>
          <w:szCs w:val="20"/>
        </w:rPr>
      </w:pPr>
    </w:p>
    <w:p w14:paraId="4FAB1D85" w14:textId="77777777" w:rsidR="003E49D5" w:rsidRPr="00191C75" w:rsidRDefault="003E49D5" w:rsidP="00190603">
      <w:pPr>
        <w:spacing w:after="0" w:line="240" w:lineRule="auto"/>
        <w:jc w:val="both"/>
        <w:rPr>
          <w:rFonts w:ascii="Times New Roman" w:eastAsia="Times New Roman" w:hAnsi="Times New Roman"/>
          <w:bCs/>
          <w:sz w:val="20"/>
          <w:szCs w:val="20"/>
        </w:rPr>
      </w:pPr>
      <w:r w:rsidRPr="00191C75">
        <w:rPr>
          <w:rFonts w:ascii="Times New Roman" w:eastAsia="Times New Roman" w:hAnsi="Times New Roman"/>
          <w:bCs/>
          <w:sz w:val="20"/>
          <w:szCs w:val="20"/>
        </w:rPr>
        <w:t xml:space="preserve">Notas: S/S: Sem significância. N/A: Não </w:t>
      </w:r>
      <w:r w:rsidR="00350564" w:rsidRPr="00191C75">
        <w:rPr>
          <w:rFonts w:ascii="Times New Roman" w:eastAsia="Times New Roman" w:hAnsi="Times New Roman"/>
          <w:bCs/>
          <w:sz w:val="20"/>
          <w:szCs w:val="20"/>
        </w:rPr>
        <w:t>a</w:t>
      </w:r>
      <w:r w:rsidRPr="00191C75">
        <w:rPr>
          <w:rFonts w:ascii="Times New Roman" w:eastAsia="Times New Roman" w:hAnsi="Times New Roman"/>
          <w:bCs/>
          <w:sz w:val="20"/>
          <w:szCs w:val="20"/>
        </w:rPr>
        <w:t>plicável.</w:t>
      </w:r>
    </w:p>
    <w:p w14:paraId="72985BCB" w14:textId="77777777" w:rsidR="00350564" w:rsidRPr="00191C75" w:rsidRDefault="00350564" w:rsidP="00190603">
      <w:pPr>
        <w:spacing w:after="0" w:line="240" w:lineRule="auto"/>
        <w:jc w:val="both"/>
        <w:rPr>
          <w:rFonts w:ascii="Times New Roman" w:eastAsia="Times New Roman" w:hAnsi="Times New Roman"/>
          <w:bCs/>
          <w:sz w:val="20"/>
          <w:szCs w:val="20"/>
        </w:rPr>
      </w:pPr>
    </w:p>
    <w:p w14:paraId="5A066AD6" w14:textId="77777777" w:rsidR="003E49D5" w:rsidRPr="00191C75" w:rsidRDefault="003E49D5" w:rsidP="00B37D61">
      <w:pPr>
        <w:spacing w:after="0" w:line="240" w:lineRule="auto"/>
        <w:ind w:firstLine="567"/>
        <w:jc w:val="center"/>
        <w:rPr>
          <w:rFonts w:ascii="Times New Roman" w:hAnsi="Times New Roman"/>
          <w:sz w:val="24"/>
          <w:szCs w:val="24"/>
        </w:rPr>
      </w:pPr>
    </w:p>
    <w:p w14:paraId="433D89C1" w14:textId="77777777" w:rsidR="003E49D5" w:rsidRPr="00191C75" w:rsidRDefault="003E49D5" w:rsidP="009A1BA3">
      <w:pPr>
        <w:pStyle w:val="Caption"/>
        <w:keepNext/>
        <w:spacing w:after="0"/>
        <w:jc w:val="center"/>
        <w:rPr>
          <w:b/>
          <w:i w:val="0"/>
          <w:color w:val="auto"/>
          <w:sz w:val="20"/>
          <w:szCs w:val="20"/>
          <w:lang w:val="pt-BR"/>
        </w:rPr>
      </w:pPr>
      <w:bookmarkStart w:id="7" w:name="_Toc482749723"/>
      <w:bookmarkStart w:id="8" w:name="_Toc483380188"/>
      <w:r w:rsidRPr="00191C75">
        <w:rPr>
          <w:b/>
          <w:i w:val="0"/>
          <w:color w:val="auto"/>
          <w:sz w:val="20"/>
          <w:szCs w:val="20"/>
          <w:lang w:val="pt-BR"/>
        </w:rPr>
        <w:t xml:space="preserve">Tabela </w:t>
      </w:r>
      <w:r w:rsidRPr="00191C75">
        <w:rPr>
          <w:b/>
          <w:i w:val="0"/>
          <w:color w:val="auto"/>
          <w:sz w:val="20"/>
          <w:szCs w:val="20"/>
          <w:lang w:val="pt-BR"/>
        </w:rPr>
        <w:fldChar w:fldCharType="begin"/>
      </w:r>
      <w:r w:rsidRPr="00191C75">
        <w:rPr>
          <w:b/>
          <w:i w:val="0"/>
          <w:color w:val="auto"/>
          <w:sz w:val="20"/>
          <w:szCs w:val="20"/>
          <w:lang w:val="pt-BR"/>
        </w:rPr>
        <w:instrText xml:space="preserve"> SEQ Tabela \* ARABIC </w:instrText>
      </w:r>
      <w:r w:rsidRPr="00191C75">
        <w:rPr>
          <w:b/>
          <w:i w:val="0"/>
          <w:color w:val="auto"/>
          <w:sz w:val="20"/>
          <w:szCs w:val="20"/>
          <w:lang w:val="pt-BR"/>
        </w:rPr>
        <w:fldChar w:fldCharType="separate"/>
      </w:r>
      <w:r w:rsidRPr="00191C75">
        <w:rPr>
          <w:b/>
          <w:i w:val="0"/>
          <w:color w:val="auto"/>
          <w:sz w:val="20"/>
          <w:szCs w:val="20"/>
          <w:lang w:val="pt-BR"/>
        </w:rPr>
        <w:t>2</w:t>
      </w:r>
      <w:r w:rsidRPr="00191C75">
        <w:rPr>
          <w:b/>
          <w:i w:val="0"/>
          <w:color w:val="auto"/>
          <w:sz w:val="20"/>
          <w:szCs w:val="20"/>
          <w:lang w:val="pt-BR"/>
        </w:rPr>
        <w:fldChar w:fldCharType="end"/>
      </w:r>
      <w:r w:rsidRPr="00191C75">
        <w:rPr>
          <w:b/>
          <w:i w:val="0"/>
          <w:color w:val="auto"/>
          <w:sz w:val="20"/>
          <w:szCs w:val="20"/>
          <w:lang w:val="pt-BR"/>
        </w:rPr>
        <w:t xml:space="preserve"> – </w:t>
      </w:r>
      <w:r w:rsidRPr="00191C75">
        <w:rPr>
          <w:rFonts w:eastAsia="Times New Roman"/>
          <w:b/>
          <w:i w:val="0"/>
          <w:color w:val="auto"/>
          <w:sz w:val="20"/>
          <w:szCs w:val="20"/>
          <w:lang w:val="pt-BR"/>
        </w:rPr>
        <w:t>Síntese dos resultados do CAR dos estudos de eventos internacionais</w:t>
      </w:r>
      <w:bookmarkEnd w:id="7"/>
      <w:bookmarkEnd w:id="8"/>
    </w:p>
    <w:p w14:paraId="2ADA8E2D" w14:textId="77777777" w:rsidR="003E49D5" w:rsidRPr="00191C75" w:rsidRDefault="003E49D5" w:rsidP="00B37D61">
      <w:pPr>
        <w:spacing w:after="0" w:line="240" w:lineRule="auto"/>
        <w:ind w:firstLine="567"/>
        <w:jc w:val="both"/>
        <w:rPr>
          <w:rFonts w:ascii="Times New Roman" w:hAnsi="Times New Roman"/>
          <w:sz w:val="20"/>
          <w:szCs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842"/>
        <w:gridCol w:w="1843"/>
        <w:gridCol w:w="1843"/>
      </w:tblGrid>
      <w:tr w:rsidR="00191C75" w:rsidRPr="00191C75" w14:paraId="16BF0606" w14:textId="77777777" w:rsidTr="00B37D61">
        <w:trPr>
          <w:jc w:val="center"/>
        </w:trPr>
        <w:tc>
          <w:tcPr>
            <w:tcW w:w="3539" w:type="dxa"/>
            <w:shd w:val="clear" w:color="auto" w:fill="auto"/>
          </w:tcPr>
          <w:p w14:paraId="1D8D1EC1" w14:textId="77777777" w:rsidR="003E49D5" w:rsidRPr="00191C75" w:rsidRDefault="003E49D5" w:rsidP="008E7936">
            <w:pPr>
              <w:spacing w:after="0" w:line="240" w:lineRule="auto"/>
              <w:rPr>
                <w:rFonts w:ascii="Times New Roman" w:eastAsia="SimSun" w:hAnsi="Times New Roman"/>
                <w:b/>
                <w:sz w:val="20"/>
                <w:szCs w:val="20"/>
              </w:rPr>
            </w:pPr>
            <w:r w:rsidRPr="00191C75">
              <w:rPr>
                <w:rFonts w:ascii="Times New Roman" w:eastAsia="SimSun" w:hAnsi="Times New Roman"/>
                <w:b/>
                <w:sz w:val="20"/>
                <w:szCs w:val="20"/>
              </w:rPr>
              <w:t>Referência</w:t>
            </w:r>
          </w:p>
        </w:tc>
        <w:tc>
          <w:tcPr>
            <w:tcW w:w="1842" w:type="dxa"/>
            <w:shd w:val="clear" w:color="auto" w:fill="auto"/>
            <w:vAlign w:val="center"/>
          </w:tcPr>
          <w:p w14:paraId="49E193C0"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Com VC/PE</w:t>
            </w:r>
          </w:p>
        </w:tc>
        <w:tc>
          <w:tcPr>
            <w:tcW w:w="1843" w:type="dxa"/>
            <w:shd w:val="clear" w:color="auto" w:fill="auto"/>
            <w:vAlign w:val="center"/>
          </w:tcPr>
          <w:p w14:paraId="6DEE0B15"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Sem VC/PE</w:t>
            </w:r>
          </w:p>
        </w:tc>
        <w:tc>
          <w:tcPr>
            <w:tcW w:w="1843" w:type="dxa"/>
            <w:shd w:val="clear" w:color="auto" w:fill="auto"/>
            <w:vAlign w:val="center"/>
          </w:tcPr>
          <w:p w14:paraId="602C18C4"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Significância</w:t>
            </w:r>
          </w:p>
        </w:tc>
      </w:tr>
      <w:tr w:rsidR="00191C75" w:rsidRPr="00191C75" w14:paraId="75785DFD" w14:textId="77777777" w:rsidTr="00B37D61">
        <w:trPr>
          <w:jc w:val="center"/>
        </w:trPr>
        <w:tc>
          <w:tcPr>
            <w:tcW w:w="3539" w:type="dxa"/>
            <w:shd w:val="clear" w:color="auto" w:fill="auto"/>
          </w:tcPr>
          <w:p w14:paraId="3956E075" w14:textId="77777777" w:rsidR="003E49D5" w:rsidRPr="00191C75" w:rsidRDefault="003E49D5" w:rsidP="008E7936">
            <w:pPr>
              <w:spacing w:after="0" w:line="240" w:lineRule="auto"/>
              <w:rPr>
                <w:rFonts w:ascii="Times New Roman" w:eastAsia="SimSun" w:hAnsi="Times New Roman"/>
                <w:sz w:val="20"/>
                <w:szCs w:val="20"/>
              </w:rPr>
            </w:pPr>
            <w:proofErr w:type="spellStart"/>
            <w:r w:rsidRPr="00191C75">
              <w:rPr>
                <w:rFonts w:ascii="Times New Roman" w:eastAsia="SimSun" w:hAnsi="Times New Roman"/>
                <w:sz w:val="20"/>
                <w:szCs w:val="20"/>
              </w:rPr>
              <w:t>Kirkulak</w:t>
            </w:r>
            <w:proofErr w:type="spellEnd"/>
            <w:r w:rsidRPr="00191C75">
              <w:rPr>
                <w:rFonts w:ascii="Times New Roman" w:eastAsia="SimSun" w:hAnsi="Times New Roman"/>
                <w:sz w:val="20"/>
                <w:szCs w:val="20"/>
              </w:rPr>
              <w:t xml:space="preserve"> (2008)</w:t>
            </w:r>
          </w:p>
        </w:tc>
        <w:tc>
          <w:tcPr>
            <w:tcW w:w="1842" w:type="dxa"/>
            <w:shd w:val="clear" w:color="auto" w:fill="auto"/>
            <w:vAlign w:val="center"/>
          </w:tcPr>
          <w:p w14:paraId="54EDBEE5"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-0,234</w:t>
            </w:r>
          </w:p>
        </w:tc>
        <w:tc>
          <w:tcPr>
            <w:tcW w:w="1843" w:type="dxa"/>
            <w:shd w:val="clear" w:color="auto" w:fill="auto"/>
            <w:vAlign w:val="center"/>
          </w:tcPr>
          <w:p w14:paraId="3FC14197"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0,024</w:t>
            </w:r>
          </w:p>
        </w:tc>
        <w:tc>
          <w:tcPr>
            <w:tcW w:w="1843" w:type="dxa"/>
            <w:shd w:val="clear" w:color="auto" w:fill="auto"/>
            <w:vAlign w:val="center"/>
          </w:tcPr>
          <w:p w14:paraId="73FE14FF"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S/S</w:t>
            </w:r>
          </w:p>
        </w:tc>
      </w:tr>
      <w:tr w:rsidR="00191C75" w:rsidRPr="00191C75" w14:paraId="5C00F215" w14:textId="77777777" w:rsidTr="00B37D61">
        <w:trPr>
          <w:jc w:val="center"/>
        </w:trPr>
        <w:tc>
          <w:tcPr>
            <w:tcW w:w="3539" w:type="dxa"/>
            <w:shd w:val="clear" w:color="auto" w:fill="auto"/>
          </w:tcPr>
          <w:p w14:paraId="25BAADB8" w14:textId="77777777" w:rsidR="003E49D5" w:rsidRPr="00191C75" w:rsidRDefault="003E49D5" w:rsidP="008E7936">
            <w:pPr>
              <w:spacing w:after="0" w:line="240" w:lineRule="auto"/>
              <w:rPr>
                <w:rFonts w:ascii="Times New Roman" w:eastAsia="SimSun" w:hAnsi="Times New Roman"/>
                <w:sz w:val="20"/>
                <w:szCs w:val="20"/>
              </w:rPr>
            </w:pPr>
            <w:r w:rsidRPr="00191C75">
              <w:rPr>
                <w:rFonts w:ascii="Times New Roman" w:eastAsia="Times New Roman" w:hAnsi="Times New Roman"/>
                <w:bCs/>
                <w:sz w:val="20"/>
                <w:szCs w:val="20"/>
              </w:rPr>
              <w:t>Rossi (2012)</w:t>
            </w:r>
          </w:p>
        </w:tc>
        <w:tc>
          <w:tcPr>
            <w:tcW w:w="1842" w:type="dxa"/>
            <w:shd w:val="clear" w:color="auto" w:fill="auto"/>
            <w:vAlign w:val="center"/>
          </w:tcPr>
          <w:p w14:paraId="05A73A99"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-0,389</w:t>
            </w:r>
          </w:p>
        </w:tc>
        <w:tc>
          <w:tcPr>
            <w:tcW w:w="1843" w:type="dxa"/>
            <w:shd w:val="clear" w:color="auto" w:fill="auto"/>
            <w:vAlign w:val="center"/>
          </w:tcPr>
          <w:p w14:paraId="7B7FAF62"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-0,384</w:t>
            </w:r>
          </w:p>
        </w:tc>
        <w:tc>
          <w:tcPr>
            <w:tcW w:w="1843" w:type="dxa"/>
            <w:shd w:val="clear" w:color="auto" w:fill="auto"/>
            <w:vAlign w:val="center"/>
          </w:tcPr>
          <w:p w14:paraId="6C783E75"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S/S</w:t>
            </w:r>
          </w:p>
        </w:tc>
      </w:tr>
      <w:tr w:rsidR="00191C75" w:rsidRPr="00191C75" w14:paraId="43327FAE" w14:textId="77777777" w:rsidTr="00B37D61">
        <w:trPr>
          <w:jc w:val="center"/>
        </w:trPr>
        <w:tc>
          <w:tcPr>
            <w:tcW w:w="3539" w:type="dxa"/>
            <w:shd w:val="clear" w:color="auto" w:fill="auto"/>
          </w:tcPr>
          <w:p w14:paraId="2B53F8E8" w14:textId="77777777" w:rsidR="003E49D5" w:rsidRPr="00191C75" w:rsidRDefault="003E49D5" w:rsidP="008E7936">
            <w:pPr>
              <w:spacing w:after="0" w:line="240" w:lineRule="auto"/>
              <w:rPr>
                <w:rFonts w:ascii="Times New Roman" w:eastAsia="SimSun" w:hAnsi="Times New Roman"/>
                <w:sz w:val="20"/>
                <w:szCs w:val="20"/>
              </w:rPr>
            </w:pPr>
            <w:proofErr w:type="spellStart"/>
            <w:r w:rsidRPr="00191C75">
              <w:rPr>
                <w:rFonts w:ascii="Times New Roman" w:eastAsia="Times New Roman" w:hAnsi="Times New Roman"/>
                <w:bCs/>
                <w:sz w:val="20"/>
                <w:szCs w:val="20"/>
              </w:rPr>
              <w:t>Bourrat</w:t>
            </w:r>
            <w:proofErr w:type="spellEnd"/>
            <w:r w:rsidRPr="00191C75">
              <w:rPr>
                <w:rFonts w:ascii="Times New Roman" w:eastAsia="Times New Roman" w:hAnsi="Times New Roman"/>
                <w:bCs/>
                <w:sz w:val="20"/>
                <w:szCs w:val="20"/>
              </w:rPr>
              <w:t xml:space="preserve"> e Wolff (2013)</w:t>
            </w:r>
          </w:p>
        </w:tc>
        <w:tc>
          <w:tcPr>
            <w:tcW w:w="1842" w:type="dxa"/>
            <w:shd w:val="clear" w:color="auto" w:fill="auto"/>
            <w:vAlign w:val="center"/>
          </w:tcPr>
          <w:p w14:paraId="4F8097A0"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-0,003</w:t>
            </w:r>
          </w:p>
        </w:tc>
        <w:tc>
          <w:tcPr>
            <w:tcW w:w="1843" w:type="dxa"/>
            <w:shd w:val="clear" w:color="auto" w:fill="auto"/>
            <w:vAlign w:val="center"/>
          </w:tcPr>
          <w:p w14:paraId="1345A992"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-0,448</w:t>
            </w:r>
          </w:p>
        </w:tc>
        <w:tc>
          <w:tcPr>
            <w:tcW w:w="1843" w:type="dxa"/>
            <w:shd w:val="clear" w:color="auto" w:fill="auto"/>
            <w:vAlign w:val="center"/>
          </w:tcPr>
          <w:p w14:paraId="728714B6"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N/A</w:t>
            </w:r>
          </w:p>
        </w:tc>
      </w:tr>
      <w:tr w:rsidR="003E49D5" w:rsidRPr="00191C75" w14:paraId="645DF592" w14:textId="77777777" w:rsidTr="00B37D61">
        <w:trPr>
          <w:jc w:val="center"/>
        </w:trPr>
        <w:tc>
          <w:tcPr>
            <w:tcW w:w="3539" w:type="dxa"/>
            <w:shd w:val="clear" w:color="auto" w:fill="auto"/>
          </w:tcPr>
          <w:p w14:paraId="03590FE7" w14:textId="77777777" w:rsidR="003E49D5" w:rsidRPr="00191C75" w:rsidRDefault="003E49D5" w:rsidP="008E7936">
            <w:pPr>
              <w:spacing w:after="0" w:line="240" w:lineRule="auto"/>
              <w:rPr>
                <w:rFonts w:ascii="Times New Roman" w:eastAsia="Times New Roman" w:hAnsi="Times New Roman"/>
                <w:bCs/>
                <w:sz w:val="20"/>
                <w:szCs w:val="20"/>
              </w:rPr>
            </w:pPr>
            <w:proofErr w:type="spellStart"/>
            <w:r w:rsidRPr="00191C75">
              <w:rPr>
                <w:rFonts w:ascii="Times New Roman" w:eastAsia="Times New Roman" w:hAnsi="Times New Roman"/>
                <w:bCs/>
                <w:sz w:val="20"/>
                <w:szCs w:val="20"/>
              </w:rPr>
              <w:t>Bergh</w:t>
            </w:r>
            <w:proofErr w:type="spellEnd"/>
            <w:r w:rsidRPr="00191C75">
              <w:rPr>
                <w:rFonts w:ascii="Times New Roman" w:eastAsia="Times New Roman" w:hAnsi="Times New Roman"/>
                <w:bCs/>
                <w:sz w:val="20"/>
                <w:szCs w:val="20"/>
              </w:rPr>
              <w:t xml:space="preserve"> e Larsson (2014)</w:t>
            </w:r>
          </w:p>
        </w:tc>
        <w:tc>
          <w:tcPr>
            <w:tcW w:w="1842" w:type="dxa"/>
            <w:shd w:val="clear" w:color="auto" w:fill="auto"/>
            <w:vAlign w:val="center"/>
          </w:tcPr>
          <w:p w14:paraId="0AC3D4A8"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-0,301</w:t>
            </w:r>
          </w:p>
        </w:tc>
        <w:tc>
          <w:tcPr>
            <w:tcW w:w="1843" w:type="dxa"/>
            <w:shd w:val="clear" w:color="auto" w:fill="auto"/>
            <w:vAlign w:val="center"/>
          </w:tcPr>
          <w:p w14:paraId="15C1EC4D"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-0,434</w:t>
            </w:r>
          </w:p>
        </w:tc>
        <w:tc>
          <w:tcPr>
            <w:tcW w:w="1843" w:type="dxa"/>
            <w:shd w:val="clear" w:color="auto" w:fill="auto"/>
            <w:vAlign w:val="center"/>
          </w:tcPr>
          <w:p w14:paraId="4B931373"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N/A</w:t>
            </w:r>
          </w:p>
        </w:tc>
      </w:tr>
    </w:tbl>
    <w:p w14:paraId="03A2D73B" w14:textId="77777777" w:rsidR="003E49D5" w:rsidRPr="00191C75" w:rsidRDefault="003E49D5" w:rsidP="00B37D61">
      <w:pPr>
        <w:spacing w:after="0" w:line="240" w:lineRule="auto"/>
        <w:ind w:firstLine="567"/>
        <w:jc w:val="both"/>
        <w:rPr>
          <w:rFonts w:ascii="Times New Roman" w:eastAsia="Times New Roman" w:hAnsi="Times New Roman"/>
          <w:bCs/>
          <w:sz w:val="24"/>
          <w:szCs w:val="24"/>
        </w:rPr>
      </w:pPr>
    </w:p>
    <w:p w14:paraId="1927A935" w14:textId="77777777" w:rsidR="003E49D5" w:rsidRPr="00191C75" w:rsidRDefault="003E49D5" w:rsidP="00BD1285">
      <w:pPr>
        <w:spacing w:after="0" w:line="240" w:lineRule="auto"/>
        <w:jc w:val="both"/>
        <w:rPr>
          <w:rFonts w:ascii="Times New Roman" w:eastAsia="Times New Roman" w:hAnsi="Times New Roman"/>
          <w:bCs/>
          <w:sz w:val="20"/>
          <w:szCs w:val="20"/>
        </w:rPr>
      </w:pPr>
      <w:r w:rsidRPr="00191C75">
        <w:rPr>
          <w:rFonts w:ascii="Times New Roman" w:eastAsia="Times New Roman" w:hAnsi="Times New Roman"/>
          <w:bCs/>
          <w:sz w:val="20"/>
          <w:szCs w:val="20"/>
        </w:rPr>
        <w:t xml:space="preserve">Notas: S/S: Sem significância. N/A: Não </w:t>
      </w:r>
      <w:r w:rsidR="00350564" w:rsidRPr="00191C75">
        <w:rPr>
          <w:rFonts w:ascii="Times New Roman" w:eastAsia="Times New Roman" w:hAnsi="Times New Roman"/>
          <w:bCs/>
          <w:sz w:val="20"/>
          <w:szCs w:val="20"/>
        </w:rPr>
        <w:t>a</w:t>
      </w:r>
      <w:r w:rsidRPr="00191C75">
        <w:rPr>
          <w:rFonts w:ascii="Times New Roman" w:eastAsia="Times New Roman" w:hAnsi="Times New Roman"/>
          <w:bCs/>
          <w:sz w:val="20"/>
          <w:szCs w:val="20"/>
        </w:rPr>
        <w:t>plicável.</w:t>
      </w:r>
    </w:p>
    <w:p w14:paraId="219327A1" w14:textId="77777777" w:rsidR="003E49D5" w:rsidRPr="00191C75" w:rsidRDefault="003E49D5" w:rsidP="00B37D61">
      <w:pPr>
        <w:spacing w:after="0" w:line="240" w:lineRule="auto"/>
        <w:ind w:firstLine="567"/>
        <w:jc w:val="both"/>
        <w:rPr>
          <w:rFonts w:ascii="Times New Roman" w:eastAsia="Times New Roman" w:hAnsi="Times New Roman"/>
          <w:bCs/>
          <w:sz w:val="24"/>
          <w:szCs w:val="24"/>
        </w:rPr>
      </w:pPr>
    </w:p>
    <w:p w14:paraId="25640902" w14:textId="77777777" w:rsidR="003E49D5" w:rsidRPr="00191C75" w:rsidRDefault="003E49D5" w:rsidP="00115351">
      <w:pPr>
        <w:spacing w:after="0" w:line="240" w:lineRule="auto"/>
        <w:ind w:firstLine="709"/>
        <w:jc w:val="both"/>
        <w:rPr>
          <w:rFonts w:ascii="Times New Roman" w:eastAsia="Times New Roman" w:hAnsi="Times New Roman"/>
          <w:bCs/>
          <w:sz w:val="24"/>
          <w:szCs w:val="24"/>
        </w:rPr>
      </w:pPr>
      <w:r w:rsidRPr="00191C75">
        <w:rPr>
          <w:rFonts w:ascii="Times New Roman" w:eastAsia="Times New Roman" w:hAnsi="Times New Roman"/>
          <w:bCs/>
          <w:sz w:val="24"/>
          <w:szCs w:val="24"/>
        </w:rPr>
        <w:t>Por sua vez, a tabela 3 apresenta uma síntese das janelas de pregões pós-evento de realização do IPO.</w:t>
      </w:r>
    </w:p>
    <w:p w14:paraId="09BA4A14" w14:textId="77777777" w:rsidR="003E49D5" w:rsidRPr="00191C75" w:rsidRDefault="003E49D5" w:rsidP="00B37D61">
      <w:pPr>
        <w:spacing w:after="0" w:line="240" w:lineRule="auto"/>
        <w:ind w:firstLine="567"/>
        <w:jc w:val="both"/>
        <w:rPr>
          <w:rFonts w:ascii="Times New Roman" w:eastAsia="Times New Roman" w:hAnsi="Times New Roman"/>
          <w:bCs/>
          <w:sz w:val="24"/>
          <w:szCs w:val="24"/>
        </w:rPr>
      </w:pPr>
    </w:p>
    <w:p w14:paraId="16F3A225" w14:textId="77777777" w:rsidR="00FD5D4E" w:rsidRPr="00191C75" w:rsidRDefault="00FD5D4E">
      <w:pPr>
        <w:spacing w:after="0" w:line="240" w:lineRule="auto"/>
        <w:rPr>
          <w:rFonts w:ascii="Times New Roman" w:eastAsia="SimSun" w:hAnsi="Times New Roman"/>
          <w:b/>
          <w:iCs/>
          <w:sz w:val="20"/>
          <w:szCs w:val="20"/>
          <w:lang w:eastAsia="ja-JP"/>
        </w:rPr>
      </w:pPr>
      <w:bookmarkStart w:id="9" w:name="_Toc482749724"/>
      <w:bookmarkStart w:id="10" w:name="_Toc483380189"/>
      <w:r w:rsidRPr="00191C75">
        <w:rPr>
          <w:b/>
          <w:i/>
          <w:sz w:val="20"/>
          <w:szCs w:val="20"/>
        </w:rPr>
        <w:br w:type="page"/>
      </w:r>
    </w:p>
    <w:p w14:paraId="4AB88528" w14:textId="52B8CF40" w:rsidR="003E49D5" w:rsidRPr="00191C75" w:rsidRDefault="003E49D5" w:rsidP="009A1BA3">
      <w:pPr>
        <w:pStyle w:val="Caption"/>
        <w:keepNext/>
        <w:spacing w:after="0"/>
        <w:jc w:val="center"/>
        <w:rPr>
          <w:rFonts w:eastAsia="Times New Roman"/>
          <w:b/>
          <w:bCs/>
          <w:color w:val="auto"/>
          <w:sz w:val="20"/>
          <w:szCs w:val="20"/>
          <w:lang w:val="pt-BR"/>
        </w:rPr>
      </w:pPr>
      <w:r w:rsidRPr="00191C75">
        <w:rPr>
          <w:b/>
          <w:i w:val="0"/>
          <w:color w:val="auto"/>
          <w:sz w:val="20"/>
          <w:szCs w:val="20"/>
          <w:lang w:val="pt-BR"/>
        </w:rPr>
        <w:lastRenderedPageBreak/>
        <w:t xml:space="preserve">Tabela </w:t>
      </w:r>
      <w:r w:rsidRPr="00191C75">
        <w:rPr>
          <w:b/>
          <w:i w:val="0"/>
          <w:color w:val="auto"/>
          <w:sz w:val="20"/>
          <w:szCs w:val="20"/>
          <w:lang w:val="pt-BR"/>
        </w:rPr>
        <w:fldChar w:fldCharType="begin"/>
      </w:r>
      <w:r w:rsidRPr="00191C75">
        <w:rPr>
          <w:b/>
          <w:i w:val="0"/>
          <w:color w:val="auto"/>
          <w:sz w:val="20"/>
          <w:szCs w:val="20"/>
          <w:lang w:val="pt-BR"/>
        </w:rPr>
        <w:instrText xml:space="preserve"> SEQ Tabela \* ARABIC </w:instrText>
      </w:r>
      <w:r w:rsidRPr="00191C75">
        <w:rPr>
          <w:b/>
          <w:i w:val="0"/>
          <w:color w:val="auto"/>
          <w:sz w:val="20"/>
          <w:szCs w:val="20"/>
          <w:lang w:val="pt-BR"/>
        </w:rPr>
        <w:fldChar w:fldCharType="separate"/>
      </w:r>
      <w:r w:rsidRPr="00191C75">
        <w:rPr>
          <w:b/>
          <w:i w:val="0"/>
          <w:color w:val="auto"/>
          <w:sz w:val="20"/>
          <w:szCs w:val="20"/>
          <w:lang w:val="pt-BR"/>
        </w:rPr>
        <w:t>3</w:t>
      </w:r>
      <w:r w:rsidRPr="00191C75">
        <w:rPr>
          <w:b/>
          <w:i w:val="0"/>
          <w:color w:val="auto"/>
          <w:sz w:val="20"/>
          <w:szCs w:val="20"/>
          <w:lang w:val="pt-BR"/>
        </w:rPr>
        <w:fldChar w:fldCharType="end"/>
      </w:r>
      <w:r w:rsidRPr="00191C75">
        <w:rPr>
          <w:b/>
          <w:color w:val="auto"/>
          <w:sz w:val="20"/>
          <w:szCs w:val="20"/>
          <w:lang w:val="pt-BR"/>
        </w:rPr>
        <w:t xml:space="preserve"> </w:t>
      </w:r>
      <w:r w:rsidRPr="00191C75">
        <w:rPr>
          <w:rFonts w:eastAsia="Times New Roman"/>
          <w:b/>
          <w:color w:val="auto"/>
          <w:sz w:val="20"/>
          <w:szCs w:val="20"/>
          <w:lang w:val="pt-BR"/>
        </w:rPr>
        <w:t xml:space="preserve">– </w:t>
      </w:r>
      <w:r w:rsidRPr="00191C75">
        <w:rPr>
          <w:rFonts w:eastAsia="Times New Roman"/>
          <w:b/>
          <w:i w:val="0"/>
          <w:color w:val="auto"/>
          <w:sz w:val="20"/>
          <w:szCs w:val="20"/>
          <w:lang w:val="pt-BR"/>
        </w:rPr>
        <w:t>Janelas dos estudos de eventos (</w:t>
      </w:r>
      <w:proofErr w:type="spellStart"/>
      <w:r w:rsidRPr="00191C75">
        <w:rPr>
          <w:rFonts w:eastAsia="Times New Roman"/>
          <w:b/>
          <w:i w:val="0"/>
          <w:color w:val="auto"/>
          <w:sz w:val="20"/>
          <w:szCs w:val="20"/>
          <w:lang w:val="pt-BR"/>
        </w:rPr>
        <w:t>inter</w:t>
      </w:r>
      <w:proofErr w:type="spellEnd"/>
      <w:r w:rsidRPr="00191C75">
        <w:rPr>
          <w:rFonts w:eastAsia="Times New Roman"/>
          <w:b/>
          <w:i w:val="0"/>
          <w:color w:val="auto"/>
          <w:sz w:val="20"/>
          <w:szCs w:val="20"/>
          <w:lang w:val="pt-BR"/>
        </w:rPr>
        <w:t>) nacionais</w:t>
      </w:r>
      <w:bookmarkEnd w:id="9"/>
      <w:bookmarkEnd w:id="10"/>
    </w:p>
    <w:p w14:paraId="23D92999" w14:textId="77777777" w:rsidR="003E49D5" w:rsidRPr="00191C75" w:rsidRDefault="003E49D5" w:rsidP="00B37D61">
      <w:pPr>
        <w:spacing w:after="0" w:line="240" w:lineRule="auto"/>
        <w:ind w:firstLine="567"/>
        <w:jc w:val="both"/>
        <w:rPr>
          <w:rFonts w:ascii="Times New Roman" w:hAnsi="Times New Roman"/>
          <w:sz w:val="24"/>
          <w:szCs w:val="24"/>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850"/>
        <w:gridCol w:w="851"/>
        <w:gridCol w:w="992"/>
        <w:gridCol w:w="1134"/>
        <w:gridCol w:w="1134"/>
        <w:gridCol w:w="992"/>
        <w:gridCol w:w="993"/>
      </w:tblGrid>
      <w:tr w:rsidR="00191C75" w:rsidRPr="00191C75" w14:paraId="1B86D45E" w14:textId="77777777" w:rsidTr="00B37D61">
        <w:trPr>
          <w:trHeight w:val="283"/>
          <w:jc w:val="center"/>
        </w:trPr>
        <w:tc>
          <w:tcPr>
            <w:tcW w:w="988" w:type="dxa"/>
            <w:vMerge w:val="restart"/>
            <w:shd w:val="clear" w:color="auto" w:fill="auto"/>
          </w:tcPr>
          <w:p w14:paraId="5D1D92CB" w14:textId="77777777" w:rsidR="003E49D5" w:rsidRPr="00191C75" w:rsidRDefault="003E49D5" w:rsidP="008E7936">
            <w:pPr>
              <w:spacing w:after="0" w:line="240" w:lineRule="auto"/>
              <w:rPr>
                <w:rFonts w:ascii="Times New Roman" w:eastAsia="SimSun" w:hAnsi="Times New Roman"/>
                <w:b/>
                <w:sz w:val="20"/>
                <w:szCs w:val="20"/>
              </w:rPr>
            </w:pPr>
            <w:bookmarkStart w:id="11" w:name="_Hlk481450893"/>
            <w:r w:rsidRPr="00191C75">
              <w:rPr>
                <w:rFonts w:ascii="Times New Roman" w:eastAsia="Times New Roman" w:hAnsi="Times New Roman"/>
                <w:b/>
                <w:bCs/>
                <w:sz w:val="20"/>
                <w:szCs w:val="20"/>
              </w:rPr>
              <w:t>Janelas em dias de pregões</w:t>
            </w:r>
          </w:p>
        </w:tc>
        <w:tc>
          <w:tcPr>
            <w:tcW w:w="3685" w:type="dxa"/>
            <w:gridSpan w:val="4"/>
            <w:shd w:val="clear" w:color="auto" w:fill="auto"/>
          </w:tcPr>
          <w:p w14:paraId="52956923"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Estudos nacionais</w:t>
            </w:r>
          </w:p>
        </w:tc>
        <w:tc>
          <w:tcPr>
            <w:tcW w:w="4253" w:type="dxa"/>
            <w:gridSpan w:val="4"/>
            <w:shd w:val="clear" w:color="auto" w:fill="auto"/>
          </w:tcPr>
          <w:p w14:paraId="48EF3310"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Estudos internacionais</w:t>
            </w:r>
          </w:p>
        </w:tc>
      </w:tr>
      <w:tr w:rsidR="00191C75" w:rsidRPr="00191C75" w14:paraId="0E91D89D" w14:textId="77777777" w:rsidTr="00B37D61">
        <w:trPr>
          <w:trHeight w:val="685"/>
          <w:jc w:val="center"/>
        </w:trPr>
        <w:tc>
          <w:tcPr>
            <w:tcW w:w="988" w:type="dxa"/>
            <w:vMerge/>
            <w:shd w:val="clear" w:color="auto" w:fill="auto"/>
          </w:tcPr>
          <w:p w14:paraId="1E8DCEAD" w14:textId="77777777" w:rsidR="003E49D5" w:rsidRPr="00191C75" w:rsidRDefault="003E49D5" w:rsidP="008E7936">
            <w:pPr>
              <w:spacing w:after="0" w:line="240" w:lineRule="auto"/>
              <w:rPr>
                <w:rFonts w:ascii="Times New Roman" w:eastAsia="Times New Roman" w:hAnsi="Times New Roman"/>
                <w:sz w:val="20"/>
                <w:szCs w:val="20"/>
              </w:rPr>
            </w:pPr>
          </w:p>
        </w:tc>
        <w:tc>
          <w:tcPr>
            <w:tcW w:w="992" w:type="dxa"/>
            <w:shd w:val="clear" w:color="auto" w:fill="auto"/>
          </w:tcPr>
          <w:p w14:paraId="413E82FD" w14:textId="77777777" w:rsidR="003E49D5" w:rsidRPr="00191C75" w:rsidRDefault="003E49D5" w:rsidP="00E31814">
            <w:pPr>
              <w:spacing w:after="0" w:line="240" w:lineRule="auto"/>
              <w:jc w:val="center"/>
              <w:rPr>
                <w:rFonts w:ascii="Times New Roman" w:eastAsia="Times New Roman" w:hAnsi="Times New Roman"/>
                <w:b/>
                <w:bCs/>
                <w:sz w:val="20"/>
                <w:szCs w:val="20"/>
              </w:rPr>
            </w:pPr>
            <w:r w:rsidRPr="00191C75">
              <w:rPr>
                <w:rFonts w:ascii="Times New Roman" w:eastAsia="Times New Roman" w:hAnsi="Times New Roman"/>
                <w:b/>
                <w:bCs/>
                <w:sz w:val="20"/>
                <w:szCs w:val="20"/>
              </w:rPr>
              <w:t>Ferrari e Minardi (2010)</w:t>
            </w:r>
          </w:p>
        </w:tc>
        <w:tc>
          <w:tcPr>
            <w:tcW w:w="850" w:type="dxa"/>
            <w:shd w:val="clear" w:color="auto" w:fill="auto"/>
          </w:tcPr>
          <w:p w14:paraId="1633E9F9"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Eller (2012)</w:t>
            </w:r>
          </w:p>
        </w:tc>
        <w:tc>
          <w:tcPr>
            <w:tcW w:w="851" w:type="dxa"/>
            <w:shd w:val="clear" w:color="auto" w:fill="auto"/>
          </w:tcPr>
          <w:p w14:paraId="60A3A290"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Araújo (2014)</w:t>
            </w:r>
          </w:p>
        </w:tc>
        <w:tc>
          <w:tcPr>
            <w:tcW w:w="992" w:type="dxa"/>
            <w:shd w:val="clear" w:color="auto" w:fill="auto"/>
          </w:tcPr>
          <w:p w14:paraId="00A0557E"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Testa e Lima (2014)</w:t>
            </w:r>
          </w:p>
        </w:tc>
        <w:tc>
          <w:tcPr>
            <w:tcW w:w="1134" w:type="dxa"/>
            <w:shd w:val="clear" w:color="auto" w:fill="auto"/>
          </w:tcPr>
          <w:p w14:paraId="21FC7AD2" w14:textId="77777777" w:rsidR="003E49D5" w:rsidRPr="00191C75" w:rsidRDefault="003E49D5" w:rsidP="00E31814">
            <w:pPr>
              <w:spacing w:after="0" w:line="240" w:lineRule="auto"/>
              <w:jc w:val="center"/>
              <w:rPr>
                <w:rFonts w:ascii="Times New Roman" w:eastAsia="SimSun" w:hAnsi="Times New Roman"/>
                <w:b/>
                <w:sz w:val="20"/>
                <w:szCs w:val="20"/>
              </w:rPr>
            </w:pPr>
            <w:proofErr w:type="spellStart"/>
            <w:r w:rsidRPr="00191C75">
              <w:rPr>
                <w:rFonts w:ascii="Times New Roman" w:eastAsia="SimSun" w:hAnsi="Times New Roman"/>
                <w:b/>
                <w:sz w:val="20"/>
                <w:szCs w:val="20"/>
              </w:rPr>
              <w:t>Kirkulak</w:t>
            </w:r>
            <w:proofErr w:type="spellEnd"/>
            <w:r w:rsidRPr="00191C75">
              <w:rPr>
                <w:rFonts w:ascii="Times New Roman" w:eastAsia="SimSun" w:hAnsi="Times New Roman"/>
                <w:b/>
                <w:sz w:val="20"/>
                <w:szCs w:val="20"/>
              </w:rPr>
              <w:t xml:space="preserve"> (2008)</w:t>
            </w:r>
          </w:p>
        </w:tc>
        <w:tc>
          <w:tcPr>
            <w:tcW w:w="1134" w:type="dxa"/>
            <w:shd w:val="clear" w:color="auto" w:fill="auto"/>
          </w:tcPr>
          <w:p w14:paraId="6E009F08"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Rossi (2012)</w:t>
            </w:r>
          </w:p>
        </w:tc>
        <w:tc>
          <w:tcPr>
            <w:tcW w:w="992" w:type="dxa"/>
            <w:shd w:val="clear" w:color="auto" w:fill="auto"/>
          </w:tcPr>
          <w:p w14:paraId="28E1EBF5" w14:textId="77777777" w:rsidR="003E49D5" w:rsidRPr="00191C75" w:rsidRDefault="003E49D5" w:rsidP="00E31814">
            <w:pPr>
              <w:spacing w:after="0" w:line="240" w:lineRule="auto"/>
              <w:jc w:val="center"/>
              <w:rPr>
                <w:rFonts w:ascii="Times New Roman" w:eastAsia="SimSun" w:hAnsi="Times New Roman"/>
                <w:b/>
                <w:sz w:val="20"/>
                <w:szCs w:val="20"/>
              </w:rPr>
            </w:pPr>
            <w:proofErr w:type="spellStart"/>
            <w:r w:rsidRPr="00191C75">
              <w:rPr>
                <w:rFonts w:ascii="Times New Roman" w:eastAsia="SimSun" w:hAnsi="Times New Roman"/>
                <w:b/>
                <w:sz w:val="20"/>
                <w:szCs w:val="20"/>
              </w:rPr>
              <w:t>Bourrat</w:t>
            </w:r>
            <w:proofErr w:type="spellEnd"/>
            <w:r w:rsidRPr="00191C75">
              <w:rPr>
                <w:rFonts w:ascii="Times New Roman" w:eastAsia="SimSun" w:hAnsi="Times New Roman"/>
                <w:b/>
                <w:sz w:val="20"/>
                <w:szCs w:val="20"/>
              </w:rPr>
              <w:t xml:space="preserve"> e Wolff (2013)</w:t>
            </w:r>
          </w:p>
        </w:tc>
        <w:tc>
          <w:tcPr>
            <w:tcW w:w="993" w:type="dxa"/>
            <w:shd w:val="clear" w:color="auto" w:fill="auto"/>
          </w:tcPr>
          <w:p w14:paraId="7E25E367" w14:textId="77777777" w:rsidR="003E49D5" w:rsidRPr="00191C75" w:rsidRDefault="003E49D5" w:rsidP="00E31814">
            <w:pPr>
              <w:spacing w:after="0" w:line="240" w:lineRule="auto"/>
              <w:jc w:val="center"/>
              <w:rPr>
                <w:rFonts w:ascii="Times New Roman" w:eastAsia="SimSun" w:hAnsi="Times New Roman"/>
                <w:b/>
                <w:sz w:val="20"/>
                <w:szCs w:val="20"/>
              </w:rPr>
            </w:pPr>
            <w:proofErr w:type="spellStart"/>
            <w:r w:rsidRPr="00191C75">
              <w:rPr>
                <w:rFonts w:ascii="Times New Roman" w:eastAsia="SimSun" w:hAnsi="Times New Roman"/>
                <w:b/>
                <w:sz w:val="20"/>
                <w:szCs w:val="20"/>
              </w:rPr>
              <w:t>Bergh</w:t>
            </w:r>
            <w:proofErr w:type="spellEnd"/>
            <w:r w:rsidRPr="00191C75">
              <w:rPr>
                <w:rFonts w:ascii="Times New Roman" w:eastAsia="SimSun" w:hAnsi="Times New Roman"/>
                <w:b/>
                <w:sz w:val="20"/>
                <w:szCs w:val="20"/>
              </w:rPr>
              <w:t xml:space="preserve"> e Larsson (2014)</w:t>
            </w:r>
          </w:p>
        </w:tc>
      </w:tr>
      <w:tr w:rsidR="003E49D5" w:rsidRPr="00191C75" w14:paraId="3DEF53A0" w14:textId="77777777" w:rsidTr="00B37D61">
        <w:trPr>
          <w:trHeight w:val="964"/>
          <w:jc w:val="center"/>
        </w:trPr>
        <w:tc>
          <w:tcPr>
            <w:tcW w:w="988" w:type="dxa"/>
            <w:shd w:val="clear" w:color="auto" w:fill="auto"/>
          </w:tcPr>
          <w:p w14:paraId="0C2FAB9F" w14:textId="77777777" w:rsidR="003E49D5" w:rsidRPr="00191C75" w:rsidRDefault="003E49D5" w:rsidP="008E7936">
            <w:pPr>
              <w:spacing w:after="0" w:line="240" w:lineRule="auto"/>
              <w:rPr>
                <w:rFonts w:ascii="Times New Roman" w:eastAsia="SimSun" w:hAnsi="Times New Roman"/>
                <w:sz w:val="20"/>
                <w:szCs w:val="20"/>
              </w:rPr>
            </w:pPr>
            <w:r w:rsidRPr="00191C75">
              <w:rPr>
                <w:rFonts w:ascii="Times New Roman" w:eastAsia="Times New Roman" w:hAnsi="Times New Roman"/>
                <w:sz w:val="20"/>
                <w:szCs w:val="20"/>
              </w:rPr>
              <w:t>Pós-evento (IPO)</w:t>
            </w:r>
          </w:p>
        </w:tc>
        <w:tc>
          <w:tcPr>
            <w:tcW w:w="992" w:type="dxa"/>
            <w:shd w:val="clear" w:color="auto" w:fill="auto"/>
          </w:tcPr>
          <w:p w14:paraId="1BD7A92A"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w:t>
            </w:r>
          </w:p>
          <w:p w14:paraId="3B815ECA"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 a 131</w:t>
            </w:r>
          </w:p>
          <w:p w14:paraId="6D1E3D80"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 a 262</w:t>
            </w:r>
          </w:p>
          <w:p w14:paraId="3C2A5AB3" w14:textId="77777777" w:rsidR="003E49D5" w:rsidRPr="00191C75" w:rsidRDefault="003E49D5" w:rsidP="00E31814">
            <w:pPr>
              <w:spacing w:after="0" w:line="240" w:lineRule="auto"/>
              <w:jc w:val="center"/>
              <w:rPr>
                <w:rFonts w:ascii="Times New Roman" w:eastAsia="SimSun" w:hAnsi="Times New Roman"/>
                <w:sz w:val="20"/>
                <w:szCs w:val="20"/>
              </w:rPr>
            </w:pPr>
          </w:p>
        </w:tc>
        <w:tc>
          <w:tcPr>
            <w:tcW w:w="850" w:type="dxa"/>
            <w:shd w:val="clear" w:color="auto" w:fill="auto"/>
          </w:tcPr>
          <w:p w14:paraId="3FE660F7"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 a 22</w:t>
            </w:r>
          </w:p>
          <w:p w14:paraId="0422B8B4"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 a 132</w:t>
            </w:r>
          </w:p>
          <w:p w14:paraId="4314841E"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 a 264</w:t>
            </w:r>
          </w:p>
          <w:p w14:paraId="051D4B9E"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 a 528</w:t>
            </w:r>
          </w:p>
          <w:p w14:paraId="4FEAA245"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 a 792</w:t>
            </w:r>
          </w:p>
        </w:tc>
        <w:tc>
          <w:tcPr>
            <w:tcW w:w="851" w:type="dxa"/>
            <w:shd w:val="clear" w:color="auto" w:fill="auto"/>
          </w:tcPr>
          <w:p w14:paraId="776021E8"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 a 21</w:t>
            </w:r>
          </w:p>
          <w:p w14:paraId="3E01B040"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 a 126</w:t>
            </w:r>
          </w:p>
          <w:p w14:paraId="61D36189"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 a 252</w:t>
            </w:r>
          </w:p>
          <w:p w14:paraId="0551C041"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 a 504</w:t>
            </w:r>
          </w:p>
          <w:p w14:paraId="2C493E47"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 a 756</w:t>
            </w:r>
          </w:p>
          <w:p w14:paraId="10E6FA45" w14:textId="77777777" w:rsidR="003E49D5" w:rsidRPr="00191C75" w:rsidRDefault="003E49D5" w:rsidP="00E31814">
            <w:pPr>
              <w:spacing w:after="0" w:line="240" w:lineRule="auto"/>
              <w:jc w:val="center"/>
              <w:rPr>
                <w:rFonts w:ascii="Times New Roman" w:eastAsia="SimSun" w:hAnsi="Times New Roman"/>
                <w:sz w:val="20"/>
                <w:szCs w:val="20"/>
              </w:rPr>
            </w:pPr>
          </w:p>
        </w:tc>
        <w:tc>
          <w:tcPr>
            <w:tcW w:w="992" w:type="dxa"/>
            <w:shd w:val="clear" w:color="auto" w:fill="auto"/>
          </w:tcPr>
          <w:p w14:paraId="081BDFB1"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 a 252</w:t>
            </w:r>
          </w:p>
          <w:p w14:paraId="30614CBD"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 a 756</w:t>
            </w:r>
          </w:p>
          <w:p w14:paraId="1FC9B46C"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 a 1.260</w:t>
            </w:r>
          </w:p>
          <w:p w14:paraId="181B4AD5" w14:textId="77777777" w:rsidR="003E49D5" w:rsidRPr="00191C75" w:rsidRDefault="003E49D5" w:rsidP="00E31814">
            <w:pPr>
              <w:spacing w:after="0" w:line="240" w:lineRule="auto"/>
              <w:jc w:val="center"/>
              <w:rPr>
                <w:rFonts w:ascii="Times New Roman" w:eastAsia="SimSun" w:hAnsi="Times New Roman"/>
                <w:sz w:val="20"/>
                <w:szCs w:val="20"/>
              </w:rPr>
            </w:pPr>
          </w:p>
        </w:tc>
        <w:tc>
          <w:tcPr>
            <w:tcW w:w="1134" w:type="dxa"/>
            <w:shd w:val="clear" w:color="auto" w:fill="auto"/>
          </w:tcPr>
          <w:p w14:paraId="6A129EAD"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 a 66</w:t>
            </w:r>
          </w:p>
          <w:p w14:paraId="675E2FC2"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 a 132</w:t>
            </w:r>
          </w:p>
          <w:p w14:paraId="235B084F"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 a 264</w:t>
            </w:r>
          </w:p>
          <w:p w14:paraId="765A8893"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 a 528</w:t>
            </w:r>
          </w:p>
          <w:p w14:paraId="0A36735B"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 a 792</w:t>
            </w:r>
          </w:p>
        </w:tc>
        <w:tc>
          <w:tcPr>
            <w:tcW w:w="1134" w:type="dxa"/>
            <w:shd w:val="clear" w:color="auto" w:fill="auto"/>
          </w:tcPr>
          <w:p w14:paraId="65F41896"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2 a 132</w:t>
            </w:r>
          </w:p>
          <w:p w14:paraId="60602AFA"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2 a 264</w:t>
            </w:r>
          </w:p>
          <w:p w14:paraId="645D95A8"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2 a 528</w:t>
            </w:r>
          </w:p>
          <w:p w14:paraId="754329E4"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550 a 792</w:t>
            </w:r>
          </w:p>
          <w:p w14:paraId="2CAB0431"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2 a 792</w:t>
            </w:r>
          </w:p>
          <w:p w14:paraId="37CCA916" w14:textId="77777777" w:rsidR="003E49D5" w:rsidRPr="00191C75" w:rsidRDefault="003E49D5" w:rsidP="00E31814">
            <w:pPr>
              <w:spacing w:after="0" w:line="240" w:lineRule="auto"/>
              <w:jc w:val="center"/>
              <w:rPr>
                <w:rFonts w:ascii="Times New Roman" w:eastAsia="SimSun" w:hAnsi="Times New Roman"/>
                <w:sz w:val="20"/>
                <w:szCs w:val="20"/>
              </w:rPr>
            </w:pPr>
          </w:p>
        </w:tc>
        <w:tc>
          <w:tcPr>
            <w:tcW w:w="992" w:type="dxa"/>
            <w:shd w:val="clear" w:color="auto" w:fill="auto"/>
          </w:tcPr>
          <w:p w14:paraId="417F904D"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 a 66</w:t>
            </w:r>
          </w:p>
          <w:p w14:paraId="55CFB59C"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 a 132</w:t>
            </w:r>
          </w:p>
          <w:p w14:paraId="1C770122"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 a 264</w:t>
            </w:r>
          </w:p>
          <w:p w14:paraId="1C733891"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 a 528</w:t>
            </w:r>
          </w:p>
          <w:p w14:paraId="0B4DC388"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 a 792</w:t>
            </w:r>
          </w:p>
          <w:p w14:paraId="4152FC5E"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 a 1056</w:t>
            </w:r>
          </w:p>
          <w:p w14:paraId="27A87253"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 a 1.320</w:t>
            </w:r>
          </w:p>
        </w:tc>
        <w:tc>
          <w:tcPr>
            <w:tcW w:w="993" w:type="dxa"/>
            <w:shd w:val="clear" w:color="auto" w:fill="auto"/>
          </w:tcPr>
          <w:p w14:paraId="04369B45"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 a 792</w:t>
            </w:r>
          </w:p>
        </w:tc>
      </w:tr>
      <w:bookmarkEnd w:id="11"/>
    </w:tbl>
    <w:p w14:paraId="2167E563" w14:textId="77777777" w:rsidR="003E49D5" w:rsidRPr="00191C75" w:rsidRDefault="003E49D5" w:rsidP="00B37D61">
      <w:pPr>
        <w:spacing w:after="0" w:line="240" w:lineRule="auto"/>
        <w:ind w:firstLine="567"/>
        <w:jc w:val="both"/>
        <w:rPr>
          <w:rFonts w:ascii="Times New Roman" w:eastAsia="Times New Roman" w:hAnsi="Times New Roman"/>
          <w:bCs/>
          <w:sz w:val="24"/>
          <w:szCs w:val="24"/>
        </w:rPr>
      </w:pPr>
    </w:p>
    <w:p w14:paraId="29D7CCA6" w14:textId="77777777" w:rsidR="003E49D5" w:rsidRPr="00191C75" w:rsidRDefault="003E49D5" w:rsidP="00265926">
      <w:pPr>
        <w:spacing w:after="0" w:line="240" w:lineRule="auto"/>
        <w:jc w:val="both"/>
        <w:rPr>
          <w:rFonts w:ascii="Times New Roman" w:eastAsia="Times New Roman" w:hAnsi="Times New Roman"/>
          <w:bCs/>
          <w:sz w:val="20"/>
          <w:szCs w:val="20"/>
        </w:rPr>
      </w:pPr>
      <w:r w:rsidRPr="00191C75">
        <w:rPr>
          <w:rFonts w:ascii="Times New Roman" w:eastAsia="Times New Roman" w:hAnsi="Times New Roman"/>
          <w:bCs/>
          <w:sz w:val="20"/>
          <w:szCs w:val="20"/>
        </w:rPr>
        <w:t>Notas: As janelas dos estudos internacionais são convertidas de dias corridos para dias úteis, tendo como base a noção de que cada mês corrido equivale a 22 dias úteis.</w:t>
      </w:r>
    </w:p>
    <w:p w14:paraId="56D2D34C" w14:textId="77777777" w:rsidR="003E49D5" w:rsidRPr="00191C75" w:rsidRDefault="003E49D5" w:rsidP="00B37D61">
      <w:pPr>
        <w:spacing w:after="0" w:line="240" w:lineRule="auto"/>
        <w:ind w:firstLine="567"/>
        <w:jc w:val="both"/>
        <w:rPr>
          <w:rFonts w:ascii="Times New Roman" w:eastAsia="Times New Roman" w:hAnsi="Times New Roman"/>
          <w:bCs/>
          <w:sz w:val="24"/>
          <w:szCs w:val="24"/>
        </w:rPr>
      </w:pPr>
    </w:p>
    <w:p w14:paraId="7100E006" w14:textId="4B48084C" w:rsidR="003E49D5" w:rsidRPr="00191C75" w:rsidRDefault="00FD5D4E" w:rsidP="00FD5D4E">
      <w:pPr>
        <w:pStyle w:val="Heading1"/>
        <w:spacing w:line="240" w:lineRule="auto"/>
        <w:jc w:val="both"/>
        <w:rPr>
          <w:color w:val="auto"/>
          <w:lang w:val="pt-BR"/>
        </w:rPr>
      </w:pPr>
      <w:bookmarkStart w:id="12" w:name="_Toc467344292"/>
      <w:bookmarkStart w:id="13" w:name="_Toc498228381"/>
      <w:r w:rsidRPr="00191C75">
        <w:rPr>
          <w:color w:val="auto"/>
          <w:lang w:val="pt-BR"/>
        </w:rPr>
        <w:t xml:space="preserve">3.      </w:t>
      </w:r>
      <w:r w:rsidR="003E49D5" w:rsidRPr="00191C75">
        <w:rPr>
          <w:color w:val="auto"/>
          <w:lang w:val="pt-BR"/>
        </w:rPr>
        <w:t>Metodologia</w:t>
      </w:r>
      <w:bookmarkEnd w:id="12"/>
      <w:bookmarkEnd w:id="13"/>
    </w:p>
    <w:p w14:paraId="499F4914" w14:textId="77777777" w:rsidR="003E49D5" w:rsidRPr="00191C75" w:rsidRDefault="003E49D5" w:rsidP="00B37D61">
      <w:pPr>
        <w:spacing w:after="0" w:line="240" w:lineRule="auto"/>
        <w:ind w:firstLine="567"/>
        <w:jc w:val="both"/>
        <w:rPr>
          <w:rFonts w:ascii="Times New Roman" w:eastAsia="Times New Roman" w:hAnsi="Times New Roman"/>
          <w:sz w:val="24"/>
          <w:szCs w:val="24"/>
        </w:rPr>
      </w:pPr>
    </w:p>
    <w:p w14:paraId="7EC36AB0" w14:textId="77777777" w:rsidR="003E49D5" w:rsidRPr="00191C75" w:rsidRDefault="003E49D5" w:rsidP="009D2A19">
      <w:pPr>
        <w:spacing w:after="0" w:line="240" w:lineRule="auto"/>
        <w:ind w:firstLine="709"/>
        <w:jc w:val="both"/>
        <w:rPr>
          <w:rFonts w:ascii="Times New Roman" w:eastAsia="Times New Roman" w:hAnsi="Times New Roman"/>
          <w:sz w:val="24"/>
          <w:szCs w:val="24"/>
        </w:rPr>
      </w:pPr>
      <w:r w:rsidRPr="00191C75">
        <w:rPr>
          <w:rFonts w:ascii="Times New Roman" w:eastAsia="Times New Roman" w:hAnsi="Times New Roman"/>
          <w:sz w:val="24"/>
          <w:szCs w:val="24"/>
        </w:rPr>
        <w:t xml:space="preserve">Esse trabalho tem como objetivo verificar se </w:t>
      </w:r>
      <w:r w:rsidRPr="00191C75">
        <w:rPr>
          <w:rFonts w:ascii="Times New Roman" w:hAnsi="Times New Roman"/>
          <w:sz w:val="24"/>
          <w:szCs w:val="24"/>
        </w:rPr>
        <w:t>a presença de fundos de VC/PE é um sinal certificador da qualidade da empresa emissoras, por meio da redução da assimetria informacional. Sua eventual confirmação corrobora a existência de</w:t>
      </w:r>
      <w:r w:rsidRPr="00191C75">
        <w:rPr>
          <w:rFonts w:ascii="Times New Roman" w:eastAsia="Times New Roman" w:hAnsi="Times New Roman"/>
          <w:sz w:val="24"/>
          <w:szCs w:val="24"/>
        </w:rPr>
        <w:t xml:space="preserve"> eficiência informacional na forma semiforte no mercado de capital brasileiro. As hipóteses decorrentes dessa afirmação são:</w:t>
      </w:r>
    </w:p>
    <w:p w14:paraId="29E0EDC1" w14:textId="77777777" w:rsidR="003E49D5" w:rsidRPr="00191C75" w:rsidRDefault="003E49D5" w:rsidP="009D2A19">
      <w:pPr>
        <w:spacing w:after="0" w:line="240" w:lineRule="auto"/>
        <w:ind w:firstLine="709"/>
        <w:jc w:val="both"/>
        <w:rPr>
          <w:rFonts w:ascii="Times New Roman" w:eastAsia="Times New Roman" w:hAnsi="Times New Roman"/>
          <w:b/>
          <w:sz w:val="24"/>
          <w:szCs w:val="24"/>
        </w:rPr>
      </w:pPr>
    </w:p>
    <w:p w14:paraId="350DDCDB" w14:textId="77777777" w:rsidR="003E49D5" w:rsidRPr="00191C75" w:rsidRDefault="003E49D5" w:rsidP="009D2A19">
      <w:pPr>
        <w:spacing w:after="0" w:line="240" w:lineRule="auto"/>
        <w:ind w:firstLine="709"/>
        <w:jc w:val="both"/>
        <w:rPr>
          <w:rFonts w:ascii="Times New Roman" w:eastAsia="Times New Roman" w:hAnsi="Times New Roman"/>
          <w:sz w:val="24"/>
          <w:szCs w:val="24"/>
        </w:rPr>
      </w:pPr>
      <w:r w:rsidRPr="00191C75">
        <w:rPr>
          <w:rFonts w:ascii="Times New Roman" w:eastAsia="Times New Roman" w:hAnsi="Times New Roman"/>
          <w:b/>
          <w:sz w:val="24"/>
          <w:szCs w:val="24"/>
        </w:rPr>
        <w:t>H1:</w:t>
      </w:r>
      <w:r w:rsidRPr="00191C75">
        <w:rPr>
          <w:rFonts w:ascii="Times New Roman" w:eastAsia="Times New Roman" w:hAnsi="Times New Roman"/>
          <w:sz w:val="24"/>
          <w:szCs w:val="24"/>
        </w:rPr>
        <w:t xml:space="preserve"> </w:t>
      </w:r>
      <w:r w:rsidRPr="00191C75">
        <w:rPr>
          <w:rFonts w:ascii="Times New Roman" w:hAnsi="Times New Roman"/>
          <w:sz w:val="24"/>
          <w:szCs w:val="24"/>
          <w:lang w:eastAsia="pt-BR"/>
        </w:rPr>
        <w:t>Companhias com participação prévia de fundos de VC/PE possuem retornos superiores àquelas sem tais participações</w:t>
      </w:r>
    </w:p>
    <w:p w14:paraId="6FDE8BEE" w14:textId="77777777" w:rsidR="003E49D5" w:rsidRPr="00191C75" w:rsidRDefault="003E49D5" w:rsidP="009D2A19">
      <w:pPr>
        <w:spacing w:after="0" w:line="240" w:lineRule="auto"/>
        <w:ind w:firstLine="709"/>
        <w:jc w:val="both"/>
        <w:rPr>
          <w:rFonts w:ascii="Times New Roman" w:eastAsia="Times New Roman" w:hAnsi="Times New Roman"/>
          <w:sz w:val="24"/>
          <w:szCs w:val="24"/>
        </w:rPr>
      </w:pPr>
      <w:r w:rsidRPr="00191C75">
        <w:rPr>
          <w:rFonts w:ascii="Times New Roman" w:eastAsia="Times New Roman" w:hAnsi="Times New Roman"/>
          <w:b/>
          <w:sz w:val="24"/>
          <w:szCs w:val="24"/>
        </w:rPr>
        <w:t xml:space="preserve">H2: </w:t>
      </w:r>
      <w:r w:rsidRPr="00191C75">
        <w:rPr>
          <w:rFonts w:ascii="Times New Roman" w:hAnsi="Times New Roman"/>
          <w:sz w:val="24"/>
          <w:szCs w:val="24"/>
          <w:lang w:eastAsia="pt-BR"/>
        </w:rPr>
        <w:t>Quanto maior a participação prévia dos fundos de VC/PE no capital dessas companhias, maior o retorno de suas ações</w:t>
      </w:r>
    </w:p>
    <w:p w14:paraId="47AB2983" w14:textId="77777777" w:rsidR="003E49D5" w:rsidRPr="00191C75" w:rsidRDefault="003E49D5" w:rsidP="009D2A19">
      <w:pPr>
        <w:spacing w:after="0" w:line="240" w:lineRule="auto"/>
        <w:ind w:firstLine="709"/>
        <w:jc w:val="both"/>
        <w:rPr>
          <w:rFonts w:ascii="Times New Roman" w:eastAsia="Times New Roman" w:hAnsi="Times New Roman"/>
          <w:sz w:val="24"/>
          <w:szCs w:val="24"/>
        </w:rPr>
      </w:pPr>
    </w:p>
    <w:p w14:paraId="0C6470C4" w14:textId="1AB50DC5" w:rsidR="003E49D5" w:rsidRPr="00191C75" w:rsidRDefault="003E49D5" w:rsidP="009D2A19">
      <w:pPr>
        <w:spacing w:after="0" w:line="240" w:lineRule="auto"/>
        <w:ind w:firstLine="709"/>
        <w:jc w:val="both"/>
        <w:rPr>
          <w:rFonts w:ascii="Times New Roman" w:hAnsi="Times New Roman"/>
          <w:sz w:val="24"/>
          <w:szCs w:val="24"/>
        </w:rPr>
      </w:pPr>
      <w:r w:rsidRPr="00191C75">
        <w:rPr>
          <w:rFonts w:ascii="Times New Roman" w:hAnsi="Times New Roman"/>
          <w:sz w:val="24"/>
          <w:szCs w:val="24"/>
        </w:rPr>
        <w:t xml:space="preserve">A verificação dessas hipóteses é feita por meio de um estudo de eventos </w:t>
      </w:r>
      <w:r w:rsidR="00070E2C" w:rsidRPr="00191C75">
        <w:rPr>
          <w:rFonts w:ascii="Times New Roman" w:hAnsi="Times New Roman"/>
          <w:noProof/>
          <w:sz w:val="24"/>
          <w:szCs w:val="24"/>
        </w:rPr>
        <w:t>(FAMA, 1970; 1991; 1998; ROSS; WESTERFIELD; JAFFE, 1995; CAMPBELL; LO; MACKINLEY, 1997;</w:t>
      </w:r>
      <w:r w:rsidR="00070E2C" w:rsidRPr="00191C75">
        <w:rPr>
          <w:noProof/>
        </w:rPr>
        <w:t xml:space="preserve"> </w:t>
      </w:r>
      <w:r w:rsidR="00070E2C" w:rsidRPr="00191C75">
        <w:rPr>
          <w:rFonts w:ascii="Times New Roman" w:hAnsi="Times New Roman"/>
          <w:noProof/>
          <w:sz w:val="24"/>
          <w:szCs w:val="24"/>
        </w:rPr>
        <w:t xml:space="preserve">MACKINLAY, 1997; MUSSA </w:t>
      </w:r>
      <w:r w:rsidR="00070E2C" w:rsidRPr="00191C75">
        <w:rPr>
          <w:rFonts w:ascii="Times New Roman" w:hAnsi="Times New Roman"/>
          <w:i/>
          <w:noProof/>
          <w:sz w:val="24"/>
          <w:szCs w:val="24"/>
        </w:rPr>
        <w:t>et al</w:t>
      </w:r>
      <w:r w:rsidR="00070E2C" w:rsidRPr="00191C75">
        <w:rPr>
          <w:rFonts w:ascii="Times New Roman" w:hAnsi="Times New Roman"/>
          <w:noProof/>
          <w:sz w:val="24"/>
          <w:szCs w:val="24"/>
        </w:rPr>
        <w:t>., 2008)</w:t>
      </w:r>
      <w:r w:rsidRPr="00191C75">
        <w:rPr>
          <w:rFonts w:ascii="Times New Roman" w:hAnsi="Times New Roman"/>
          <w:noProof/>
          <w:sz w:val="24"/>
          <w:szCs w:val="24"/>
        </w:rPr>
        <w:t>. A metodologia de estudo de evento é composta por sete etapas</w:t>
      </w:r>
      <w:r w:rsidRPr="00191C75">
        <w:rPr>
          <w:rFonts w:ascii="Times New Roman" w:hAnsi="Times New Roman"/>
          <w:sz w:val="24"/>
          <w:szCs w:val="24"/>
        </w:rPr>
        <w:t xml:space="preserve"> fundamentais em sua elaboração:</w:t>
      </w:r>
    </w:p>
    <w:p w14:paraId="0446D172" w14:textId="77777777" w:rsidR="003E49D5" w:rsidRPr="00191C75" w:rsidRDefault="003E49D5" w:rsidP="00B37D61">
      <w:pPr>
        <w:spacing w:after="0" w:line="240" w:lineRule="auto"/>
        <w:ind w:firstLine="567"/>
        <w:jc w:val="both"/>
        <w:rPr>
          <w:rFonts w:ascii="Times New Roman" w:eastAsia="Times New Roman" w:hAnsi="Times New Roman"/>
          <w:sz w:val="24"/>
          <w:szCs w:val="24"/>
        </w:rPr>
      </w:pPr>
    </w:p>
    <w:p w14:paraId="5ACAB0F1" w14:textId="77777777" w:rsidR="003E49D5" w:rsidRPr="00191C75" w:rsidRDefault="006D016D" w:rsidP="007B147D">
      <w:pPr>
        <w:spacing w:after="0" w:line="240" w:lineRule="auto"/>
        <w:jc w:val="center"/>
        <w:rPr>
          <w:rFonts w:ascii="Times New Roman" w:hAnsi="Times New Roman"/>
          <w:noProof/>
          <w:sz w:val="24"/>
          <w:szCs w:val="24"/>
        </w:rPr>
      </w:pPr>
      <w:r w:rsidRPr="00191C75">
        <w:rPr>
          <w:rFonts w:ascii="Times New Roman" w:hAnsi="Times New Roman"/>
          <w:noProof/>
          <w:sz w:val="24"/>
          <w:szCs w:val="24"/>
        </w:rPr>
        <w:drawing>
          <wp:inline distT="0" distB="0" distL="0" distR="0" wp14:anchorId="2458DB5B" wp14:editId="7FE3F677">
            <wp:extent cx="5819775" cy="495300"/>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495300"/>
                    </a:xfrm>
                    <a:prstGeom prst="rect">
                      <a:avLst/>
                    </a:prstGeom>
                    <a:noFill/>
                    <a:ln>
                      <a:noFill/>
                    </a:ln>
                  </pic:spPr>
                </pic:pic>
              </a:graphicData>
            </a:graphic>
          </wp:inline>
        </w:drawing>
      </w:r>
    </w:p>
    <w:p w14:paraId="2CF2FC85" w14:textId="4B5136E4" w:rsidR="003E49D5" w:rsidRPr="00191C75" w:rsidRDefault="003E49D5" w:rsidP="00B37D61">
      <w:pPr>
        <w:spacing w:after="0" w:line="240" w:lineRule="auto"/>
        <w:ind w:firstLine="567"/>
        <w:jc w:val="both"/>
        <w:rPr>
          <w:rFonts w:ascii="Times New Roman" w:eastAsia="Times New Roman" w:hAnsi="Times New Roman"/>
          <w:sz w:val="24"/>
          <w:szCs w:val="24"/>
        </w:rPr>
      </w:pPr>
    </w:p>
    <w:p w14:paraId="59209886" w14:textId="77777777" w:rsidR="00FD5D4E" w:rsidRPr="00191C75" w:rsidRDefault="00FD5D4E" w:rsidP="00FD5D4E">
      <w:pPr>
        <w:pStyle w:val="Caption"/>
        <w:keepNext/>
        <w:spacing w:after="0"/>
        <w:jc w:val="center"/>
        <w:rPr>
          <w:rFonts w:eastAsia="Times New Roman"/>
          <w:b/>
          <w:i w:val="0"/>
          <w:color w:val="auto"/>
          <w:sz w:val="20"/>
          <w:szCs w:val="24"/>
          <w:lang w:val="pt-BR"/>
        </w:rPr>
      </w:pPr>
      <w:bookmarkStart w:id="14" w:name="_Toc483380213"/>
      <w:r w:rsidRPr="00191C75">
        <w:rPr>
          <w:b/>
          <w:i w:val="0"/>
          <w:color w:val="auto"/>
          <w:sz w:val="20"/>
          <w:szCs w:val="24"/>
          <w:lang w:val="pt-BR"/>
        </w:rPr>
        <w:t xml:space="preserve">Figura </w:t>
      </w:r>
      <w:r w:rsidRPr="00191C75">
        <w:rPr>
          <w:b/>
          <w:i w:val="0"/>
          <w:color w:val="auto"/>
          <w:sz w:val="20"/>
          <w:szCs w:val="24"/>
        </w:rPr>
        <w:fldChar w:fldCharType="begin"/>
      </w:r>
      <w:r w:rsidRPr="00191C75">
        <w:rPr>
          <w:b/>
          <w:i w:val="0"/>
          <w:color w:val="auto"/>
          <w:sz w:val="20"/>
          <w:szCs w:val="24"/>
          <w:lang w:val="pt-BR"/>
        </w:rPr>
        <w:instrText xml:space="preserve"> SEQ Figura \* ARABIC </w:instrText>
      </w:r>
      <w:r w:rsidRPr="00191C75">
        <w:rPr>
          <w:b/>
          <w:i w:val="0"/>
          <w:color w:val="auto"/>
          <w:sz w:val="20"/>
          <w:szCs w:val="24"/>
        </w:rPr>
        <w:fldChar w:fldCharType="separate"/>
      </w:r>
      <w:r w:rsidRPr="00191C75">
        <w:rPr>
          <w:b/>
          <w:i w:val="0"/>
          <w:noProof/>
          <w:color w:val="auto"/>
          <w:sz w:val="20"/>
          <w:szCs w:val="24"/>
          <w:lang w:val="pt-BR"/>
        </w:rPr>
        <w:t>1</w:t>
      </w:r>
      <w:r w:rsidRPr="00191C75">
        <w:rPr>
          <w:b/>
          <w:i w:val="0"/>
          <w:color w:val="auto"/>
          <w:sz w:val="20"/>
          <w:szCs w:val="24"/>
        </w:rPr>
        <w:fldChar w:fldCharType="end"/>
      </w:r>
      <w:r w:rsidRPr="00191C75">
        <w:rPr>
          <w:b/>
          <w:i w:val="0"/>
          <w:color w:val="auto"/>
          <w:sz w:val="20"/>
          <w:szCs w:val="24"/>
          <w:lang w:val="pt-BR"/>
        </w:rPr>
        <w:t xml:space="preserve"> </w:t>
      </w:r>
      <w:r w:rsidRPr="00191C75">
        <w:rPr>
          <w:rFonts w:eastAsia="Times New Roman"/>
          <w:b/>
          <w:i w:val="0"/>
          <w:color w:val="auto"/>
          <w:sz w:val="20"/>
          <w:szCs w:val="24"/>
          <w:lang w:val="pt-BR"/>
        </w:rPr>
        <w:t>- Etapas do estudo de evento</w:t>
      </w:r>
      <w:bookmarkEnd w:id="14"/>
    </w:p>
    <w:p w14:paraId="05B3ADD6" w14:textId="77777777" w:rsidR="00FD5D4E" w:rsidRPr="00191C75" w:rsidRDefault="00FD5D4E" w:rsidP="00B37D61">
      <w:pPr>
        <w:spacing w:after="0" w:line="240" w:lineRule="auto"/>
        <w:ind w:firstLine="567"/>
        <w:jc w:val="both"/>
        <w:rPr>
          <w:rFonts w:ascii="Times New Roman" w:eastAsia="Times New Roman" w:hAnsi="Times New Roman"/>
          <w:sz w:val="24"/>
          <w:szCs w:val="24"/>
        </w:rPr>
      </w:pPr>
    </w:p>
    <w:p w14:paraId="00CE5489" w14:textId="77777777" w:rsidR="003E49D5" w:rsidRPr="00191C75" w:rsidRDefault="003E49D5" w:rsidP="00350564">
      <w:pPr>
        <w:spacing w:after="0" w:line="240" w:lineRule="auto"/>
        <w:jc w:val="both"/>
        <w:rPr>
          <w:rFonts w:ascii="Times New Roman" w:eastAsia="Times New Roman" w:hAnsi="Times New Roman"/>
          <w:sz w:val="20"/>
          <w:szCs w:val="20"/>
          <w:lang w:val="en-US"/>
        </w:rPr>
      </w:pPr>
      <w:r w:rsidRPr="00191C75">
        <w:rPr>
          <w:rFonts w:ascii="Times New Roman" w:eastAsia="Times New Roman" w:hAnsi="Times New Roman"/>
          <w:sz w:val="20"/>
          <w:szCs w:val="20"/>
          <w:lang w:val="en-US"/>
        </w:rPr>
        <w:t>Fonte: Campbell</w:t>
      </w:r>
      <w:r w:rsidR="00282ACA" w:rsidRPr="00191C75">
        <w:rPr>
          <w:rFonts w:ascii="Times New Roman" w:eastAsia="Times New Roman" w:hAnsi="Times New Roman"/>
          <w:sz w:val="20"/>
          <w:szCs w:val="20"/>
          <w:lang w:val="en-US"/>
        </w:rPr>
        <w:t xml:space="preserve"> </w:t>
      </w:r>
      <w:r w:rsidR="00282ACA" w:rsidRPr="00191C75">
        <w:rPr>
          <w:rFonts w:ascii="Times New Roman" w:eastAsia="Times New Roman" w:hAnsi="Times New Roman"/>
          <w:i/>
          <w:sz w:val="20"/>
          <w:szCs w:val="20"/>
          <w:lang w:val="en-US"/>
        </w:rPr>
        <w:t>et al</w:t>
      </w:r>
      <w:r w:rsidR="00282ACA" w:rsidRPr="00191C75">
        <w:rPr>
          <w:rFonts w:ascii="Times New Roman" w:eastAsia="Times New Roman" w:hAnsi="Times New Roman"/>
          <w:sz w:val="20"/>
          <w:szCs w:val="20"/>
          <w:lang w:val="en-US"/>
        </w:rPr>
        <w:t>. (</w:t>
      </w:r>
      <w:r w:rsidRPr="00191C75">
        <w:rPr>
          <w:rFonts w:ascii="Times New Roman" w:eastAsia="Times New Roman" w:hAnsi="Times New Roman"/>
          <w:sz w:val="20"/>
          <w:szCs w:val="20"/>
          <w:lang w:val="en-US"/>
        </w:rPr>
        <w:t>1997, p. 151).</w:t>
      </w:r>
    </w:p>
    <w:p w14:paraId="068DB38F" w14:textId="77777777" w:rsidR="003E49D5" w:rsidRPr="00191C75" w:rsidRDefault="003E49D5" w:rsidP="00B37D61">
      <w:pPr>
        <w:spacing w:after="0" w:line="240" w:lineRule="auto"/>
        <w:ind w:firstLine="567"/>
        <w:jc w:val="both"/>
        <w:rPr>
          <w:rFonts w:ascii="Times New Roman" w:hAnsi="Times New Roman"/>
          <w:sz w:val="20"/>
          <w:szCs w:val="20"/>
          <w:lang w:val="en-US"/>
        </w:rPr>
      </w:pPr>
    </w:p>
    <w:p w14:paraId="052E39BD" w14:textId="77777777" w:rsidR="003E49D5" w:rsidRPr="00191C75" w:rsidRDefault="003E49D5" w:rsidP="009D2A19">
      <w:pPr>
        <w:spacing w:after="0" w:line="240" w:lineRule="auto"/>
        <w:ind w:firstLine="709"/>
        <w:jc w:val="both"/>
        <w:rPr>
          <w:rFonts w:ascii="Times New Roman" w:hAnsi="Times New Roman"/>
          <w:sz w:val="24"/>
          <w:szCs w:val="24"/>
        </w:rPr>
      </w:pPr>
      <w:r w:rsidRPr="00191C75">
        <w:rPr>
          <w:rFonts w:ascii="Times New Roman" w:hAnsi="Times New Roman"/>
          <w:sz w:val="24"/>
          <w:szCs w:val="24"/>
        </w:rPr>
        <w:t>O processo de IPO no Brasil é realizado sob a égide da Instrução Normativa (IN) da CVM 400/03. De acordo com seu artigo 54, a subscrição ou aquisição de valores mobiliários objeto da oferta pública de distribuição somente poderão ser efetuadas após observadas, cumulativamente, as seguintes condições: “I - obtenção do registro da oferta na CVM; II - publicação do anúncio de início de distribuição; e III - disponibilidade do prospecto definitivo para os investidores”.</w:t>
      </w:r>
    </w:p>
    <w:p w14:paraId="5969BCE4" w14:textId="77777777" w:rsidR="002B63A2" w:rsidRPr="00191C75" w:rsidRDefault="002B63A2" w:rsidP="009D2A19">
      <w:pPr>
        <w:spacing w:after="0" w:line="240" w:lineRule="auto"/>
        <w:ind w:firstLine="709"/>
        <w:jc w:val="both"/>
        <w:rPr>
          <w:rFonts w:ascii="Times New Roman" w:hAnsi="Times New Roman"/>
          <w:sz w:val="24"/>
          <w:szCs w:val="24"/>
        </w:rPr>
      </w:pPr>
    </w:p>
    <w:p w14:paraId="48805E5B" w14:textId="77777777" w:rsidR="003E49D5" w:rsidRPr="00191C75" w:rsidRDefault="003E49D5" w:rsidP="009D2A19">
      <w:pPr>
        <w:spacing w:after="0" w:line="240" w:lineRule="auto"/>
        <w:ind w:firstLine="709"/>
        <w:jc w:val="both"/>
        <w:rPr>
          <w:rFonts w:ascii="Times New Roman" w:hAnsi="Times New Roman"/>
          <w:sz w:val="24"/>
          <w:szCs w:val="24"/>
        </w:rPr>
      </w:pPr>
      <w:r w:rsidRPr="00191C75">
        <w:rPr>
          <w:rFonts w:ascii="Times New Roman" w:hAnsi="Times New Roman"/>
          <w:sz w:val="24"/>
          <w:szCs w:val="24"/>
        </w:rPr>
        <w:t>Sendo assim, todo IPO deve ser anteriormente submetido a registro, perante a CVM, e somente pode ser efetuado com intermediação das instituições integrantes do sistema de distribuição de valores imobiliários (</w:t>
      </w:r>
      <w:proofErr w:type="spellStart"/>
      <w:r w:rsidRPr="00191C75">
        <w:rPr>
          <w:rFonts w:ascii="Times New Roman" w:hAnsi="Times New Roman"/>
          <w:i/>
          <w:sz w:val="24"/>
          <w:szCs w:val="24"/>
        </w:rPr>
        <w:t>underwriters</w:t>
      </w:r>
      <w:proofErr w:type="spellEnd"/>
      <w:r w:rsidRPr="00191C75">
        <w:rPr>
          <w:rFonts w:ascii="Times New Roman" w:hAnsi="Times New Roman"/>
          <w:sz w:val="24"/>
          <w:szCs w:val="24"/>
        </w:rPr>
        <w:t xml:space="preserve">). Além disso, o anexo IV da IN 400/03 </w:t>
      </w:r>
      <w:r w:rsidRPr="00191C75">
        <w:rPr>
          <w:rFonts w:ascii="Times New Roman" w:hAnsi="Times New Roman"/>
          <w:sz w:val="24"/>
          <w:szCs w:val="24"/>
        </w:rPr>
        <w:lastRenderedPageBreak/>
        <w:t>esclarece as informações necessárias para a realização desse anúncio, incluindo as características da oferta, tais como a data do início da distribuição dos valores mobiliários. Logo, o evento analisado nesse estudo é o primeiro dia de negociação das ações na B3.</w:t>
      </w:r>
    </w:p>
    <w:p w14:paraId="7FB0A42B" w14:textId="77777777" w:rsidR="003E49D5" w:rsidRPr="00191C75" w:rsidRDefault="003E49D5" w:rsidP="009D2A19">
      <w:pPr>
        <w:spacing w:after="0" w:line="240" w:lineRule="auto"/>
        <w:ind w:firstLine="709"/>
        <w:jc w:val="both"/>
        <w:rPr>
          <w:rFonts w:ascii="Times New Roman" w:hAnsi="Times New Roman"/>
          <w:sz w:val="24"/>
          <w:szCs w:val="24"/>
        </w:rPr>
      </w:pPr>
    </w:p>
    <w:p w14:paraId="36970107" w14:textId="77777777" w:rsidR="003E49D5" w:rsidRPr="00191C75" w:rsidRDefault="003E49D5" w:rsidP="009D2A19">
      <w:pPr>
        <w:spacing w:after="0" w:line="240" w:lineRule="auto"/>
        <w:ind w:firstLine="709"/>
        <w:jc w:val="both"/>
        <w:rPr>
          <w:rFonts w:ascii="Times New Roman" w:hAnsi="Times New Roman"/>
          <w:sz w:val="24"/>
          <w:szCs w:val="24"/>
        </w:rPr>
      </w:pPr>
      <w:r w:rsidRPr="00191C75">
        <w:rPr>
          <w:rFonts w:ascii="Times New Roman" w:hAnsi="Times New Roman"/>
          <w:sz w:val="24"/>
          <w:szCs w:val="24"/>
        </w:rPr>
        <w:t>Por sua vez, a IN da CVM 476/09 permite que as companhias promovam o IPO, direcionadas a um número restrito de investidores qualificados, por meio de fundos de investimentos, outras companhias de sociedade anônima, empresas limitadas, pessoas físicas e outras instituições financeiras.</w:t>
      </w:r>
    </w:p>
    <w:p w14:paraId="5A0F49AD" w14:textId="77777777" w:rsidR="003E49D5" w:rsidRPr="00191C75" w:rsidRDefault="003E49D5" w:rsidP="009D2A19">
      <w:pPr>
        <w:spacing w:after="0" w:line="240" w:lineRule="auto"/>
        <w:ind w:firstLine="709"/>
        <w:jc w:val="both"/>
        <w:rPr>
          <w:rFonts w:ascii="Times New Roman" w:hAnsi="Times New Roman"/>
          <w:sz w:val="24"/>
          <w:szCs w:val="24"/>
        </w:rPr>
      </w:pPr>
    </w:p>
    <w:p w14:paraId="178A4D6A" w14:textId="6447ED0A" w:rsidR="00126878" w:rsidRPr="00191C75" w:rsidRDefault="003E49D5" w:rsidP="009D2A19">
      <w:pPr>
        <w:spacing w:after="0" w:line="240" w:lineRule="auto"/>
        <w:ind w:firstLine="709"/>
        <w:jc w:val="both"/>
        <w:rPr>
          <w:rFonts w:ascii="Times New Roman" w:hAnsi="Times New Roman"/>
          <w:sz w:val="24"/>
          <w:szCs w:val="24"/>
          <w:lang w:eastAsia="pt-BR"/>
        </w:rPr>
      </w:pPr>
      <w:r w:rsidRPr="00191C75">
        <w:rPr>
          <w:rFonts w:ascii="Times New Roman" w:hAnsi="Times New Roman"/>
          <w:sz w:val="24"/>
          <w:szCs w:val="24"/>
          <w:shd w:val="clear" w:color="auto" w:fill="FFFFFF"/>
        </w:rPr>
        <w:t xml:space="preserve">São selecionadas companhias cujo IPO ocorre entre o período de janeiro de 2005 e dezembro de 2016. </w:t>
      </w:r>
      <w:r w:rsidRPr="00191C75">
        <w:rPr>
          <w:rFonts w:ascii="Times New Roman" w:hAnsi="Times New Roman"/>
          <w:sz w:val="24"/>
          <w:szCs w:val="24"/>
          <w:lang w:eastAsia="pt-BR"/>
        </w:rPr>
        <w:t xml:space="preserve">Os dados sobre os preços dos ativos e IPOs realizados no período são obtidos na base de dados Bloomberg, enquanto que os prospectos via </w:t>
      </w:r>
      <w:r w:rsidRPr="00191C75">
        <w:rPr>
          <w:rFonts w:ascii="Times New Roman" w:hAnsi="Times New Roman"/>
          <w:i/>
          <w:sz w:val="24"/>
          <w:szCs w:val="24"/>
          <w:lang w:eastAsia="pt-BR"/>
        </w:rPr>
        <w:t>site</w:t>
      </w:r>
      <w:r w:rsidRPr="00191C75">
        <w:rPr>
          <w:rFonts w:ascii="Times New Roman" w:hAnsi="Times New Roman"/>
          <w:sz w:val="24"/>
          <w:szCs w:val="24"/>
          <w:lang w:eastAsia="pt-BR"/>
        </w:rPr>
        <w:t xml:space="preserve"> da CVM. A </w:t>
      </w:r>
      <w:r w:rsidR="00C61155" w:rsidRPr="00191C75">
        <w:rPr>
          <w:rFonts w:ascii="Times New Roman" w:hAnsi="Times New Roman"/>
          <w:sz w:val="24"/>
          <w:szCs w:val="24"/>
          <w:lang w:eastAsia="pt-BR"/>
        </w:rPr>
        <w:t>t</w:t>
      </w:r>
      <w:r w:rsidRPr="00191C75">
        <w:rPr>
          <w:rFonts w:ascii="Times New Roman" w:hAnsi="Times New Roman"/>
          <w:sz w:val="24"/>
          <w:szCs w:val="24"/>
          <w:lang w:eastAsia="pt-BR"/>
        </w:rPr>
        <w:t xml:space="preserve">abela 4 apresenta a evolução da amostra. </w:t>
      </w:r>
      <w:r w:rsidRPr="00191C75">
        <w:rPr>
          <w:rFonts w:ascii="Times New Roman" w:hAnsi="Times New Roman"/>
          <w:sz w:val="24"/>
          <w:szCs w:val="24"/>
          <w:shd w:val="clear" w:color="auto" w:fill="FFFFFF"/>
        </w:rPr>
        <w:t>A amostra final de 83 companhias/ações é segregada em dois grupos, sendo</w:t>
      </w:r>
      <w:r w:rsidRPr="00191C75">
        <w:rPr>
          <w:rFonts w:ascii="Times New Roman" w:hAnsi="Times New Roman"/>
          <w:sz w:val="24"/>
          <w:szCs w:val="24"/>
          <w:lang w:eastAsia="pt-BR"/>
        </w:rPr>
        <w:t xml:space="preserve"> um com (36) e outro sem (47) a participação prévia de investidores relacionados aos fundos de investimento em VC/PE.</w:t>
      </w:r>
    </w:p>
    <w:p w14:paraId="365D96DA" w14:textId="528825D8" w:rsidR="00126878" w:rsidRPr="00191C75" w:rsidRDefault="00126878">
      <w:pPr>
        <w:spacing w:after="0" w:line="240" w:lineRule="auto"/>
        <w:rPr>
          <w:rFonts w:ascii="Times New Roman" w:hAnsi="Times New Roman"/>
          <w:sz w:val="24"/>
          <w:szCs w:val="24"/>
          <w:lang w:eastAsia="pt-BR"/>
        </w:rPr>
      </w:pPr>
    </w:p>
    <w:p w14:paraId="3BEE6D8C" w14:textId="77777777" w:rsidR="003E49D5" w:rsidRPr="00191C75" w:rsidRDefault="003E49D5" w:rsidP="009A1BA3">
      <w:pPr>
        <w:pStyle w:val="Caption"/>
        <w:keepNext/>
        <w:spacing w:after="0"/>
        <w:jc w:val="center"/>
        <w:rPr>
          <w:b/>
          <w:i w:val="0"/>
          <w:color w:val="auto"/>
          <w:sz w:val="20"/>
          <w:szCs w:val="24"/>
        </w:rPr>
      </w:pPr>
      <w:proofErr w:type="spellStart"/>
      <w:r w:rsidRPr="00191C75">
        <w:rPr>
          <w:b/>
          <w:i w:val="0"/>
          <w:color w:val="auto"/>
          <w:sz w:val="20"/>
          <w:szCs w:val="24"/>
        </w:rPr>
        <w:t>Tabela</w:t>
      </w:r>
      <w:proofErr w:type="spellEnd"/>
      <w:r w:rsidRPr="00191C75">
        <w:rPr>
          <w:b/>
          <w:i w:val="0"/>
          <w:color w:val="auto"/>
          <w:sz w:val="20"/>
          <w:szCs w:val="24"/>
        </w:rPr>
        <w:t xml:space="preserve"> 4 – </w:t>
      </w:r>
      <w:proofErr w:type="spellStart"/>
      <w:r w:rsidRPr="00191C75">
        <w:rPr>
          <w:b/>
          <w:i w:val="0"/>
          <w:color w:val="auto"/>
          <w:sz w:val="20"/>
          <w:szCs w:val="24"/>
        </w:rPr>
        <w:t>Evolução</w:t>
      </w:r>
      <w:proofErr w:type="spellEnd"/>
      <w:r w:rsidRPr="00191C75">
        <w:rPr>
          <w:b/>
          <w:i w:val="0"/>
          <w:color w:val="auto"/>
          <w:sz w:val="20"/>
          <w:szCs w:val="24"/>
        </w:rPr>
        <w:t xml:space="preserve"> da </w:t>
      </w:r>
      <w:proofErr w:type="spellStart"/>
      <w:r w:rsidRPr="00191C75">
        <w:rPr>
          <w:b/>
          <w:i w:val="0"/>
          <w:color w:val="auto"/>
          <w:sz w:val="20"/>
          <w:szCs w:val="24"/>
        </w:rPr>
        <w:t>amostra</w:t>
      </w:r>
      <w:proofErr w:type="spellEnd"/>
    </w:p>
    <w:p w14:paraId="44ED6AB4" w14:textId="77777777" w:rsidR="003E49D5" w:rsidRPr="00191C75" w:rsidRDefault="003E49D5" w:rsidP="00B37D61">
      <w:pPr>
        <w:spacing w:after="0" w:line="240" w:lineRule="auto"/>
        <w:ind w:firstLine="567"/>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105"/>
      </w:tblGrid>
      <w:tr w:rsidR="00191C75" w:rsidRPr="00191C75" w14:paraId="7720AFFC" w14:textId="77777777" w:rsidTr="00B37D61">
        <w:trPr>
          <w:jc w:val="center"/>
        </w:trPr>
        <w:tc>
          <w:tcPr>
            <w:tcW w:w="4957" w:type="dxa"/>
            <w:shd w:val="clear" w:color="auto" w:fill="auto"/>
          </w:tcPr>
          <w:p w14:paraId="632342DF" w14:textId="77777777" w:rsidR="003E49D5" w:rsidRPr="00191C75" w:rsidRDefault="003E49D5" w:rsidP="00FD5D4E">
            <w:pPr>
              <w:spacing w:after="0" w:line="240" w:lineRule="auto"/>
              <w:rPr>
                <w:rFonts w:ascii="Times New Roman" w:eastAsia="SimSun" w:hAnsi="Times New Roman"/>
                <w:b/>
                <w:sz w:val="20"/>
                <w:szCs w:val="20"/>
              </w:rPr>
            </w:pPr>
            <w:r w:rsidRPr="00191C75">
              <w:rPr>
                <w:rFonts w:ascii="Times New Roman" w:eastAsia="SimSun" w:hAnsi="Times New Roman"/>
                <w:b/>
                <w:sz w:val="20"/>
                <w:szCs w:val="20"/>
              </w:rPr>
              <w:br w:type="page"/>
            </w:r>
            <w:r w:rsidRPr="00191C75">
              <w:rPr>
                <w:rFonts w:ascii="Times New Roman" w:eastAsia="SimSun" w:hAnsi="Times New Roman"/>
                <w:b/>
                <w:sz w:val="20"/>
                <w:szCs w:val="20"/>
              </w:rPr>
              <w:br w:type="page"/>
              <w:t>Descrição</w:t>
            </w:r>
          </w:p>
        </w:tc>
        <w:tc>
          <w:tcPr>
            <w:tcW w:w="4105" w:type="dxa"/>
            <w:shd w:val="clear" w:color="auto" w:fill="auto"/>
            <w:vAlign w:val="center"/>
          </w:tcPr>
          <w:p w14:paraId="5AC949CA"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Quantidade de companhias/ações</w:t>
            </w:r>
          </w:p>
        </w:tc>
      </w:tr>
      <w:tr w:rsidR="00191C75" w:rsidRPr="00191C75" w14:paraId="36E8086B" w14:textId="77777777" w:rsidTr="00B37D61">
        <w:trPr>
          <w:jc w:val="center"/>
        </w:trPr>
        <w:tc>
          <w:tcPr>
            <w:tcW w:w="4957" w:type="dxa"/>
            <w:shd w:val="clear" w:color="auto" w:fill="auto"/>
          </w:tcPr>
          <w:p w14:paraId="3C0C3C13" w14:textId="77777777" w:rsidR="003E49D5" w:rsidRPr="00191C75" w:rsidRDefault="003E49D5" w:rsidP="00FD5D4E">
            <w:pPr>
              <w:spacing w:after="0" w:line="240" w:lineRule="auto"/>
              <w:rPr>
                <w:rFonts w:ascii="Times New Roman" w:eastAsia="SimSun" w:hAnsi="Times New Roman"/>
                <w:sz w:val="20"/>
                <w:szCs w:val="20"/>
              </w:rPr>
            </w:pPr>
            <w:r w:rsidRPr="00191C75">
              <w:rPr>
                <w:rFonts w:ascii="Times New Roman" w:eastAsia="SimSun" w:hAnsi="Times New Roman"/>
                <w:sz w:val="20"/>
                <w:szCs w:val="20"/>
              </w:rPr>
              <w:t>Amostra inicial</w:t>
            </w:r>
          </w:p>
        </w:tc>
        <w:tc>
          <w:tcPr>
            <w:tcW w:w="4105" w:type="dxa"/>
            <w:shd w:val="clear" w:color="auto" w:fill="auto"/>
            <w:vAlign w:val="center"/>
          </w:tcPr>
          <w:p w14:paraId="3C69838A"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100</w:t>
            </w:r>
          </w:p>
        </w:tc>
      </w:tr>
      <w:tr w:rsidR="00191C75" w:rsidRPr="00191C75" w14:paraId="1369116F" w14:textId="77777777" w:rsidTr="00B37D61">
        <w:trPr>
          <w:jc w:val="center"/>
        </w:trPr>
        <w:tc>
          <w:tcPr>
            <w:tcW w:w="4957" w:type="dxa"/>
            <w:shd w:val="clear" w:color="auto" w:fill="auto"/>
          </w:tcPr>
          <w:p w14:paraId="7E97CF0D" w14:textId="77777777" w:rsidR="003E49D5" w:rsidRPr="00191C75" w:rsidRDefault="003E49D5" w:rsidP="00FD5D4E">
            <w:pPr>
              <w:spacing w:after="0" w:line="240" w:lineRule="auto"/>
              <w:rPr>
                <w:rFonts w:ascii="Times New Roman" w:eastAsia="SimSun" w:hAnsi="Times New Roman"/>
                <w:sz w:val="20"/>
                <w:szCs w:val="20"/>
              </w:rPr>
            </w:pPr>
            <w:r w:rsidRPr="00191C75">
              <w:rPr>
                <w:rFonts w:ascii="Times New Roman" w:eastAsia="SimSun" w:hAnsi="Times New Roman"/>
                <w:sz w:val="20"/>
                <w:szCs w:val="20"/>
              </w:rPr>
              <w:t>(-) Companhias fundidas ou adquiridas</w:t>
            </w:r>
          </w:p>
        </w:tc>
        <w:tc>
          <w:tcPr>
            <w:tcW w:w="4105" w:type="dxa"/>
            <w:shd w:val="clear" w:color="auto" w:fill="auto"/>
            <w:vAlign w:val="center"/>
          </w:tcPr>
          <w:p w14:paraId="20EF324A"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5</w:t>
            </w:r>
          </w:p>
        </w:tc>
      </w:tr>
      <w:tr w:rsidR="00191C75" w:rsidRPr="00191C75" w14:paraId="6D9F7011" w14:textId="77777777" w:rsidTr="00B37D61">
        <w:trPr>
          <w:jc w:val="center"/>
        </w:trPr>
        <w:tc>
          <w:tcPr>
            <w:tcW w:w="4957" w:type="dxa"/>
            <w:shd w:val="clear" w:color="auto" w:fill="auto"/>
          </w:tcPr>
          <w:p w14:paraId="40CE8CEA" w14:textId="77777777" w:rsidR="003E49D5" w:rsidRPr="00191C75" w:rsidRDefault="003E49D5" w:rsidP="00FD5D4E">
            <w:pPr>
              <w:spacing w:after="0" w:line="240" w:lineRule="auto"/>
              <w:rPr>
                <w:rFonts w:ascii="Times New Roman" w:eastAsia="SimSun" w:hAnsi="Times New Roman"/>
                <w:sz w:val="20"/>
                <w:szCs w:val="20"/>
              </w:rPr>
            </w:pPr>
            <w:r w:rsidRPr="00191C75">
              <w:rPr>
                <w:rFonts w:ascii="Times New Roman" w:eastAsia="SimSun" w:hAnsi="Times New Roman"/>
                <w:sz w:val="20"/>
                <w:szCs w:val="20"/>
              </w:rPr>
              <w:t>(-) Companhias que participam do Bovespa Mais</w:t>
            </w:r>
          </w:p>
        </w:tc>
        <w:tc>
          <w:tcPr>
            <w:tcW w:w="4105" w:type="dxa"/>
            <w:shd w:val="clear" w:color="auto" w:fill="auto"/>
            <w:vAlign w:val="center"/>
          </w:tcPr>
          <w:p w14:paraId="4F00D2AF"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w:t>
            </w:r>
          </w:p>
        </w:tc>
      </w:tr>
      <w:tr w:rsidR="00191C75" w:rsidRPr="00191C75" w14:paraId="26DFC108" w14:textId="77777777" w:rsidTr="00B37D61">
        <w:trPr>
          <w:jc w:val="center"/>
        </w:trPr>
        <w:tc>
          <w:tcPr>
            <w:tcW w:w="4957" w:type="dxa"/>
            <w:shd w:val="clear" w:color="auto" w:fill="auto"/>
          </w:tcPr>
          <w:p w14:paraId="189B3CFB" w14:textId="77777777" w:rsidR="003E49D5" w:rsidRPr="00191C75" w:rsidRDefault="003E49D5" w:rsidP="00FD5D4E">
            <w:pPr>
              <w:spacing w:after="0" w:line="240" w:lineRule="auto"/>
              <w:rPr>
                <w:rFonts w:ascii="Times New Roman" w:eastAsia="SimSun" w:hAnsi="Times New Roman"/>
                <w:sz w:val="20"/>
                <w:szCs w:val="20"/>
              </w:rPr>
            </w:pPr>
            <w:r w:rsidRPr="00191C75">
              <w:rPr>
                <w:rFonts w:ascii="Times New Roman" w:eastAsia="SimSun" w:hAnsi="Times New Roman"/>
                <w:sz w:val="20"/>
                <w:szCs w:val="20"/>
              </w:rPr>
              <w:t>(-) Ações preferenciais</w:t>
            </w:r>
          </w:p>
        </w:tc>
        <w:tc>
          <w:tcPr>
            <w:tcW w:w="4105" w:type="dxa"/>
            <w:shd w:val="clear" w:color="auto" w:fill="auto"/>
            <w:vAlign w:val="center"/>
          </w:tcPr>
          <w:p w14:paraId="167F25F4"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7</w:t>
            </w:r>
          </w:p>
        </w:tc>
      </w:tr>
      <w:tr w:rsidR="00191C75" w:rsidRPr="00191C75" w14:paraId="1A2B056E" w14:textId="77777777" w:rsidTr="00B37D61">
        <w:trPr>
          <w:jc w:val="center"/>
        </w:trPr>
        <w:tc>
          <w:tcPr>
            <w:tcW w:w="4957" w:type="dxa"/>
            <w:shd w:val="clear" w:color="auto" w:fill="auto"/>
          </w:tcPr>
          <w:p w14:paraId="70FD1D01" w14:textId="77777777" w:rsidR="003E49D5" w:rsidRPr="00191C75" w:rsidRDefault="003E49D5" w:rsidP="00FD5D4E">
            <w:pPr>
              <w:spacing w:after="0" w:line="240" w:lineRule="auto"/>
              <w:rPr>
                <w:rFonts w:ascii="Times New Roman" w:eastAsia="SimSun" w:hAnsi="Times New Roman"/>
                <w:sz w:val="20"/>
                <w:szCs w:val="20"/>
              </w:rPr>
            </w:pPr>
            <w:r w:rsidRPr="00191C75">
              <w:rPr>
                <w:rFonts w:ascii="Times New Roman" w:eastAsia="SimSun" w:hAnsi="Times New Roman"/>
                <w:sz w:val="20"/>
                <w:szCs w:val="20"/>
              </w:rPr>
              <w:t xml:space="preserve">(-) </w:t>
            </w:r>
            <w:proofErr w:type="spellStart"/>
            <w:r w:rsidRPr="00191C75">
              <w:rPr>
                <w:rFonts w:ascii="Times New Roman" w:eastAsia="SimSun" w:hAnsi="Times New Roman"/>
                <w:sz w:val="20"/>
                <w:szCs w:val="20"/>
              </w:rPr>
              <w:t>BDRs</w:t>
            </w:r>
            <w:proofErr w:type="spellEnd"/>
            <w:r w:rsidRPr="00191C75">
              <w:rPr>
                <w:rFonts w:ascii="Times New Roman" w:eastAsia="SimSun" w:hAnsi="Times New Roman"/>
                <w:sz w:val="20"/>
                <w:szCs w:val="20"/>
              </w:rPr>
              <w:t xml:space="preserve">, </w:t>
            </w:r>
            <w:proofErr w:type="spellStart"/>
            <w:r w:rsidRPr="00191C75">
              <w:rPr>
                <w:rFonts w:ascii="Times New Roman" w:eastAsia="SimSun" w:hAnsi="Times New Roman"/>
                <w:sz w:val="20"/>
                <w:szCs w:val="20"/>
              </w:rPr>
              <w:t>ETFs</w:t>
            </w:r>
            <w:proofErr w:type="spellEnd"/>
            <w:r w:rsidRPr="00191C75">
              <w:rPr>
                <w:rFonts w:ascii="Times New Roman" w:eastAsia="SimSun" w:hAnsi="Times New Roman"/>
                <w:sz w:val="20"/>
                <w:szCs w:val="20"/>
              </w:rPr>
              <w:t xml:space="preserve"> ou </w:t>
            </w:r>
            <w:proofErr w:type="spellStart"/>
            <w:r w:rsidRPr="00191C75">
              <w:rPr>
                <w:rFonts w:ascii="Times New Roman" w:eastAsia="SimSun" w:hAnsi="Times New Roman"/>
                <w:sz w:val="20"/>
                <w:szCs w:val="20"/>
              </w:rPr>
              <w:t>Units</w:t>
            </w:r>
            <w:proofErr w:type="spellEnd"/>
          </w:p>
        </w:tc>
        <w:tc>
          <w:tcPr>
            <w:tcW w:w="4105" w:type="dxa"/>
            <w:shd w:val="clear" w:color="auto" w:fill="auto"/>
            <w:vAlign w:val="center"/>
          </w:tcPr>
          <w:p w14:paraId="394EAC0B"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w:t>
            </w:r>
          </w:p>
        </w:tc>
      </w:tr>
      <w:tr w:rsidR="00191C75" w:rsidRPr="00191C75" w14:paraId="2D4D70CF" w14:textId="77777777" w:rsidTr="00B37D61">
        <w:trPr>
          <w:jc w:val="center"/>
        </w:trPr>
        <w:tc>
          <w:tcPr>
            <w:tcW w:w="4957" w:type="dxa"/>
            <w:shd w:val="clear" w:color="auto" w:fill="auto"/>
          </w:tcPr>
          <w:p w14:paraId="7F7C01DB" w14:textId="77777777" w:rsidR="003E49D5" w:rsidRPr="00191C75" w:rsidRDefault="003E49D5" w:rsidP="00FD5D4E">
            <w:pPr>
              <w:spacing w:after="0" w:line="240" w:lineRule="auto"/>
              <w:rPr>
                <w:rFonts w:ascii="Times New Roman" w:eastAsia="SimSun" w:hAnsi="Times New Roman"/>
                <w:sz w:val="20"/>
                <w:szCs w:val="20"/>
              </w:rPr>
            </w:pPr>
            <w:r w:rsidRPr="00191C75">
              <w:rPr>
                <w:rFonts w:ascii="Times New Roman" w:eastAsia="SimSun" w:hAnsi="Times New Roman"/>
                <w:sz w:val="20"/>
                <w:szCs w:val="20"/>
              </w:rPr>
              <w:t>(-) Companhias com menos de 264 pregões</w:t>
            </w:r>
          </w:p>
        </w:tc>
        <w:tc>
          <w:tcPr>
            <w:tcW w:w="4105" w:type="dxa"/>
            <w:shd w:val="clear" w:color="auto" w:fill="auto"/>
            <w:vAlign w:val="center"/>
          </w:tcPr>
          <w:p w14:paraId="536037E7"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w:t>
            </w:r>
          </w:p>
        </w:tc>
      </w:tr>
      <w:tr w:rsidR="003E49D5" w:rsidRPr="00191C75" w14:paraId="127DE41F" w14:textId="77777777" w:rsidTr="00B37D61">
        <w:trPr>
          <w:jc w:val="center"/>
        </w:trPr>
        <w:tc>
          <w:tcPr>
            <w:tcW w:w="4957" w:type="dxa"/>
            <w:shd w:val="clear" w:color="auto" w:fill="auto"/>
          </w:tcPr>
          <w:p w14:paraId="0EED9184" w14:textId="77777777" w:rsidR="003E49D5" w:rsidRPr="00191C75" w:rsidRDefault="003E49D5" w:rsidP="00FD5D4E">
            <w:pPr>
              <w:spacing w:after="0" w:line="240" w:lineRule="auto"/>
              <w:rPr>
                <w:rFonts w:ascii="Times New Roman" w:eastAsia="SimSun" w:hAnsi="Times New Roman"/>
                <w:sz w:val="20"/>
                <w:szCs w:val="20"/>
              </w:rPr>
            </w:pPr>
            <w:r w:rsidRPr="00191C75">
              <w:rPr>
                <w:rFonts w:ascii="Times New Roman" w:eastAsia="SimSun" w:hAnsi="Times New Roman"/>
                <w:sz w:val="20"/>
                <w:szCs w:val="20"/>
              </w:rPr>
              <w:t>(=) Amostra final</w:t>
            </w:r>
          </w:p>
        </w:tc>
        <w:tc>
          <w:tcPr>
            <w:tcW w:w="4105" w:type="dxa"/>
            <w:shd w:val="clear" w:color="auto" w:fill="auto"/>
            <w:vAlign w:val="center"/>
          </w:tcPr>
          <w:p w14:paraId="4AF42009"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83</w:t>
            </w:r>
          </w:p>
        </w:tc>
      </w:tr>
    </w:tbl>
    <w:p w14:paraId="02A52D7E" w14:textId="77777777" w:rsidR="003E49D5" w:rsidRPr="00191C75" w:rsidRDefault="003E49D5" w:rsidP="00B37D61">
      <w:pPr>
        <w:spacing w:after="0" w:line="240" w:lineRule="auto"/>
        <w:ind w:firstLine="567"/>
        <w:jc w:val="both"/>
        <w:rPr>
          <w:rFonts w:ascii="Times New Roman" w:eastAsia="Times New Roman" w:hAnsi="Times New Roman"/>
          <w:bCs/>
          <w:sz w:val="24"/>
          <w:szCs w:val="24"/>
        </w:rPr>
      </w:pPr>
    </w:p>
    <w:p w14:paraId="15CEDF0B" w14:textId="77777777" w:rsidR="003E49D5" w:rsidRPr="00191C75" w:rsidRDefault="003E49D5" w:rsidP="00C61155">
      <w:pPr>
        <w:spacing w:after="0" w:line="240" w:lineRule="auto"/>
        <w:jc w:val="both"/>
        <w:rPr>
          <w:rFonts w:ascii="Times New Roman" w:eastAsia="Times New Roman" w:hAnsi="Times New Roman"/>
          <w:bCs/>
          <w:sz w:val="20"/>
          <w:szCs w:val="20"/>
        </w:rPr>
      </w:pPr>
      <w:proofErr w:type="spellStart"/>
      <w:r w:rsidRPr="00191C75">
        <w:rPr>
          <w:rFonts w:ascii="Times New Roman" w:eastAsia="Times New Roman" w:hAnsi="Times New Roman"/>
          <w:bCs/>
          <w:sz w:val="20"/>
          <w:szCs w:val="20"/>
        </w:rPr>
        <w:t>Obs</w:t>
      </w:r>
      <w:proofErr w:type="spellEnd"/>
      <w:r w:rsidRPr="00191C75">
        <w:rPr>
          <w:rFonts w:ascii="Times New Roman" w:eastAsia="Times New Roman" w:hAnsi="Times New Roman"/>
          <w:bCs/>
          <w:sz w:val="20"/>
          <w:szCs w:val="20"/>
        </w:rPr>
        <w:t xml:space="preserve">: </w:t>
      </w:r>
      <w:proofErr w:type="spellStart"/>
      <w:r w:rsidRPr="00191C75">
        <w:rPr>
          <w:rFonts w:ascii="Times New Roman" w:eastAsia="Times New Roman" w:hAnsi="Times New Roman"/>
          <w:bCs/>
          <w:i/>
          <w:sz w:val="20"/>
          <w:szCs w:val="20"/>
        </w:rPr>
        <w:t>Brazilian</w:t>
      </w:r>
      <w:proofErr w:type="spellEnd"/>
      <w:r w:rsidRPr="00191C75">
        <w:rPr>
          <w:rFonts w:ascii="Times New Roman" w:eastAsia="Times New Roman" w:hAnsi="Times New Roman"/>
          <w:bCs/>
          <w:i/>
          <w:sz w:val="20"/>
          <w:szCs w:val="20"/>
        </w:rPr>
        <w:t xml:space="preserve"> </w:t>
      </w:r>
      <w:proofErr w:type="spellStart"/>
      <w:r w:rsidRPr="00191C75">
        <w:rPr>
          <w:rFonts w:ascii="Times New Roman" w:eastAsia="Times New Roman" w:hAnsi="Times New Roman"/>
          <w:bCs/>
          <w:i/>
          <w:sz w:val="20"/>
          <w:szCs w:val="20"/>
        </w:rPr>
        <w:t>Depositary</w:t>
      </w:r>
      <w:proofErr w:type="spellEnd"/>
      <w:r w:rsidRPr="00191C75">
        <w:rPr>
          <w:rFonts w:ascii="Times New Roman" w:eastAsia="Times New Roman" w:hAnsi="Times New Roman"/>
          <w:bCs/>
          <w:i/>
          <w:sz w:val="20"/>
          <w:szCs w:val="20"/>
        </w:rPr>
        <w:t xml:space="preserve"> </w:t>
      </w:r>
      <w:proofErr w:type="spellStart"/>
      <w:r w:rsidRPr="00191C75">
        <w:rPr>
          <w:rFonts w:ascii="Times New Roman" w:eastAsia="Times New Roman" w:hAnsi="Times New Roman"/>
          <w:bCs/>
          <w:i/>
          <w:sz w:val="20"/>
          <w:szCs w:val="20"/>
        </w:rPr>
        <w:t>Receipts</w:t>
      </w:r>
      <w:proofErr w:type="spellEnd"/>
      <w:r w:rsidR="00CA298D" w:rsidRPr="00191C75">
        <w:rPr>
          <w:rFonts w:ascii="Times New Roman" w:eastAsia="Times New Roman" w:hAnsi="Times New Roman"/>
          <w:bCs/>
          <w:sz w:val="20"/>
          <w:szCs w:val="20"/>
        </w:rPr>
        <w:t xml:space="preserve"> (</w:t>
      </w:r>
      <w:proofErr w:type="spellStart"/>
      <w:r w:rsidR="00CA298D" w:rsidRPr="00191C75">
        <w:rPr>
          <w:rFonts w:ascii="Times New Roman" w:eastAsia="Times New Roman" w:hAnsi="Times New Roman"/>
          <w:bCs/>
          <w:sz w:val="20"/>
          <w:szCs w:val="20"/>
        </w:rPr>
        <w:t>BDR</w:t>
      </w:r>
      <w:proofErr w:type="spellEnd"/>
      <w:r w:rsidR="00CA298D" w:rsidRPr="00191C75">
        <w:rPr>
          <w:rFonts w:ascii="Times New Roman" w:eastAsia="Times New Roman" w:hAnsi="Times New Roman"/>
          <w:bCs/>
          <w:sz w:val="20"/>
          <w:szCs w:val="20"/>
        </w:rPr>
        <w:t>)</w:t>
      </w:r>
      <w:r w:rsidR="00CA298D" w:rsidRPr="00191C75">
        <w:rPr>
          <w:rFonts w:ascii="Times New Roman" w:eastAsia="Times New Roman" w:hAnsi="Times New Roman"/>
          <w:bCs/>
          <w:i/>
          <w:sz w:val="20"/>
          <w:szCs w:val="20"/>
        </w:rPr>
        <w:t xml:space="preserve">, </w:t>
      </w:r>
      <w:r w:rsidRPr="00191C75">
        <w:rPr>
          <w:rFonts w:ascii="Times New Roman" w:eastAsia="Times New Roman" w:hAnsi="Times New Roman"/>
          <w:bCs/>
          <w:i/>
          <w:sz w:val="20"/>
          <w:szCs w:val="20"/>
        </w:rPr>
        <w:t xml:space="preserve">Exchange </w:t>
      </w:r>
      <w:proofErr w:type="spellStart"/>
      <w:r w:rsidRPr="00191C75">
        <w:rPr>
          <w:rFonts w:ascii="Times New Roman" w:eastAsia="Times New Roman" w:hAnsi="Times New Roman"/>
          <w:bCs/>
          <w:i/>
          <w:sz w:val="20"/>
          <w:szCs w:val="20"/>
        </w:rPr>
        <w:t>Traded</w:t>
      </w:r>
      <w:proofErr w:type="spellEnd"/>
      <w:r w:rsidRPr="00191C75">
        <w:rPr>
          <w:rFonts w:ascii="Times New Roman" w:eastAsia="Times New Roman" w:hAnsi="Times New Roman"/>
          <w:bCs/>
          <w:i/>
          <w:sz w:val="20"/>
          <w:szCs w:val="20"/>
        </w:rPr>
        <w:t xml:space="preserve"> </w:t>
      </w:r>
      <w:proofErr w:type="spellStart"/>
      <w:r w:rsidRPr="00191C75">
        <w:rPr>
          <w:rFonts w:ascii="Times New Roman" w:eastAsia="Times New Roman" w:hAnsi="Times New Roman"/>
          <w:bCs/>
          <w:i/>
          <w:sz w:val="20"/>
          <w:szCs w:val="20"/>
        </w:rPr>
        <w:t>Funds</w:t>
      </w:r>
      <w:proofErr w:type="spellEnd"/>
      <w:r w:rsidR="00CA298D" w:rsidRPr="00191C75">
        <w:rPr>
          <w:rFonts w:ascii="Times New Roman" w:eastAsia="Times New Roman" w:hAnsi="Times New Roman"/>
          <w:bCs/>
          <w:sz w:val="20"/>
          <w:szCs w:val="20"/>
        </w:rPr>
        <w:t xml:space="preserve"> (</w:t>
      </w:r>
      <w:proofErr w:type="spellStart"/>
      <w:r w:rsidR="00CA298D" w:rsidRPr="00191C75">
        <w:rPr>
          <w:rFonts w:ascii="Times New Roman" w:eastAsia="Times New Roman" w:hAnsi="Times New Roman"/>
          <w:bCs/>
          <w:sz w:val="20"/>
          <w:szCs w:val="20"/>
        </w:rPr>
        <w:t>ETF</w:t>
      </w:r>
      <w:proofErr w:type="spellEnd"/>
      <w:r w:rsidR="00CA298D" w:rsidRPr="00191C75">
        <w:rPr>
          <w:rFonts w:ascii="Times New Roman" w:eastAsia="Times New Roman" w:hAnsi="Times New Roman"/>
          <w:bCs/>
          <w:sz w:val="20"/>
          <w:szCs w:val="20"/>
        </w:rPr>
        <w:t>)</w:t>
      </w:r>
      <w:r w:rsidRPr="00191C75">
        <w:rPr>
          <w:rFonts w:ascii="Times New Roman" w:eastAsia="Times New Roman" w:hAnsi="Times New Roman"/>
          <w:bCs/>
          <w:sz w:val="20"/>
          <w:szCs w:val="20"/>
        </w:rPr>
        <w:t xml:space="preserve">, </w:t>
      </w:r>
      <w:proofErr w:type="spellStart"/>
      <w:r w:rsidRPr="00191C75">
        <w:rPr>
          <w:rFonts w:ascii="Times New Roman" w:eastAsia="Times New Roman" w:hAnsi="Times New Roman"/>
          <w:bCs/>
          <w:sz w:val="20"/>
          <w:szCs w:val="20"/>
        </w:rPr>
        <w:t>Units</w:t>
      </w:r>
      <w:proofErr w:type="spellEnd"/>
      <w:r w:rsidRPr="00191C75">
        <w:rPr>
          <w:rFonts w:ascii="Times New Roman" w:eastAsia="Times New Roman" w:hAnsi="Times New Roman"/>
          <w:bCs/>
          <w:sz w:val="20"/>
          <w:szCs w:val="20"/>
        </w:rPr>
        <w:t xml:space="preserve"> - ativos compostos por mais de uma classe de valores mobiliários.</w:t>
      </w:r>
    </w:p>
    <w:p w14:paraId="3C4F592E" w14:textId="77777777" w:rsidR="003E49D5" w:rsidRPr="00191C75" w:rsidRDefault="003E49D5" w:rsidP="00B37D61">
      <w:pPr>
        <w:spacing w:after="0" w:line="240" w:lineRule="auto"/>
        <w:ind w:firstLine="567"/>
        <w:jc w:val="both"/>
        <w:rPr>
          <w:rFonts w:ascii="Times New Roman" w:hAnsi="Times New Roman"/>
          <w:sz w:val="24"/>
          <w:szCs w:val="24"/>
        </w:rPr>
      </w:pPr>
    </w:p>
    <w:p w14:paraId="4B1CFC52" w14:textId="77777777" w:rsidR="003E49D5" w:rsidRPr="00191C75" w:rsidRDefault="003E49D5" w:rsidP="009D2A19">
      <w:pPr>
        <w:spacing w:after="0" w:line="240" w:lineRule="auto"/>
        <w:ind w:firstLine="709"/>
        <w:jc w:val="both"/>
        <w:rPr>
          <w:rFonts w:ascii="Times New Roman" w:hAnsi="Times New Roman"/>
          <w:sz w:val="24"/>
          <w:szCs w:val="24"/>
        </w:rPr>
      </w:pPr>
      <w:r w:rsidRPr="00191C75">
        <w:rPr>
          <w:rFonts w:ascii="Times New Roman" w:hAnsi="Times New Roman"/>
          <w:sz w:val="24"/>
          <w:szCs w:val="24"/>
        </w:rPr>
        <w:t>Campbell</w:t>
      </w:r>
      <w:r w:rsidR="002737A6" w:rsidRPr="00191C75">
        <w:rPr>
          <w:rFonts w:ascii="Times New Roman" w:hAnsi="Times New Roman"/>
          <w:sz w:val="24"/>
          <w:szCs w:val="24"/>
        </w:rPr>
        <w:t xml:space="preserve"> </w:t>
      </w:r>
      <w:r w:rsidR="002737A6" w:rsidRPr="00191C75">
        <w:rPr>
          <w:rFonts w:ascii="Times New Roman" w:hAnsi="Times New Roman"/>
          <w:i/>
          <w:sz w:val="24"/>
          <w:szCs w:val="24"/>
        </w:rPr>
        <w:t>et al.</w:t>
      </w:r>
      <w:r w:rsidRPr="00191C75">
        <w:rPr>
          <w:rFonts w:ascii="Times New Roman" w:hAnsi="Times New Roman"/>
          <w:sz w:val="24"/>
          <w:szCs w:val="24"/>
        </w:rPr>
        <w:t xml:space="preserve"> (1997) atestam a existência de retornos anormais como o ponto mais importante para deduzir algo sobre a influência do evento nos preços das ações da empresa. Sendo assim, o retorno anormal é dado pela equação 1:</w:t>
      </w:r>
    </w:p>
    <w:p w14:paraId="3208C1FD" w14:textId="77777777" w:rsidR="003E49D5" w:rsidRPr="00191C75" w:rsidRDefault="003E49D5" w:rsidP="00B37D61">
      <w:pPr>
        <w:spacing w:after="0" w:line="240" w:lineRule="auto"/>
        <w:ind w:firstLine="567"/>
        <w:jc w:val="both"/>
        <w:rPr>
          <w:rFonts w:ascii="Times New Roman" w:hAnsi="Times New Roman"/>
          <w:sz w:val="24"/>
          <w:szCs w:val="24"/>
        </w:rPr>
      </w:pPr>
    </w:p>
    <w:tbl>
      <w:tblPr>
        <w:tblW w:w="9211" w:type="dxa"/>
        <w:tblInd w:w="-108" w:type="dxa"/>
        <w:tblLook w:val="04A0" w:firstRow="1" w:lastRow="0" w:firstColumn="1" w:lastColumn="0" w:noHBand="0" w:noVBand="1"/>
      </w:tblPr>
      <w:tblGrid>
        <w:gridCol w:w="4605"/>
        <w:gridCol w:w="4606"/>
      </w:tblGrid>
      <w:tr w:rsidR="00191C75" w:rsidRPr="00191C75" w14:paraId="0F4A336D" w14:textId="77777777" w:rsidTr="00B37D61">
        <w:tc>
          <w:tcPr>
            <w:tcW w:w="4605" w:type="dxa"/>
            <w:vAlign w:val="center"/>
          </w:tcPr>
          <w:p w14:paraId="1506C57A" w14:textId="77777777" w:rsidR="003E49D5" w:rsidRPr="00191C75" w:rsidRDefault="003E49D5" w:rsidP="00F416A4">
            <w:pPr>
              <w:spacing w:after="0" w:line="240" w:lineRule="auto"/>
              <w:jc w:val="both"/>
              <w:rPr>
                <w:rFonts w:ascii="Times New Roman" w:eastAsia="Times New Roman" w:hAnsi="Times New Roman"/>
                <w:sz w:val="24"/>
                <w:szCs w:val="24"/>
                <w:vertAlign w:val="superscript"/>
              </w:rPr>
            </w:pPr>
            <w:proofErr w:type="spellStart"/>
            <w:r w:rsidRPr="00191C75">
              <w:rPr>
                <w:rFonts w:ascii="Times New Roman" w:eastAsia="Times New Roman" w:hAnsi="Times New Roman"/>
                <w:sz w:val="24"/>
                <w:szCs w:val="24"/>
              </w:rPr>
              <w:t>AR</w:t>
            </w:r>
            <w:r w:rsidRPr="00191C75">
              <w:rPr>
                <w:rFonts w:ascii="Times New Roman" w:eastAsia="Times New Roman" w:hAnsi="Times New Roman"/>
                <w:sz w:val="24"/>
                <w:szCs w:val="24"/>
                <w:vertAlign w:val="subscript"/>
              </w:rPr>
              <w:t>it</w:t>
            </w:r>
            <w:proofErr w:type="spellEnd"/>
            <w:r w:rsidRPr="00191C75">
              <w:rPr>
                <w:rFonts w:ascii="Times New Roman" w:eastAsia="Times New Roman" w:hAnsi="Times New Roman"/>
                <w:sz w:val="24"/>
                <w:szCs w:val="24"/>
              </w:rPr>
              <w:t xml:space="preserve"> = </w:t>
            </w:r>
            <w:proofErr w:type="spellStart"/>
            <w:r w:rsidRPr="00191C75">
              <w:rPr>
                <w:rFonts w:ascii="Times New Roman" w:eastAsia="Times New Roman" w:hAnsi="Times New Roman"/>
                <w:sz w:val="24"/>
                <w:szCs w:val="24"/>
              </w:rPr>
              <w:t>R</w:t>
            </w:r>
            <w:r w:rsidRPr="00191C75">
              <w:rPr>
                <w:rFonts w:ascii="Times New Roman" w:eastAsia="Times New Roman" w:hAnsi="Times New Roman"/>
                <w:sz w:val="24"/>
                <w:szCs w:val="24"/>
                <w:vertAlign w:val="subscript"/>
              </w:rPr>
              <w:t>it</w:t>
            </w:r>
            <w:proofErr w:type="spellEnd"/>
            <w:r w:rsidRPr="00191C75">
              <w:rPr>
                <w:rFonts w:ascii="Times New Roman" w:eastAsia="Times New Roman" w:hAnsi="Times New Roman"/>
                <w:sz w:val="24"/>
                <w:szCs w:val="24"/>
              </w:rPr>
              <w:t xml:space="preserve"> – E (</w:t>
            </w:r>
            <w:proofErr w:type="spellStart"/>
            <w:r w:rsidRPr="00191C75">
              <w:rPr>
                <w:rFonts w:ascii="Times New Roman" w:eastAsia="Times New Roman" w:hAnsi="Times New Roman"/>
                <w:sz w:val="24"/>
                <w:szCs w:val="24"/>
              </w:rPr>
              <w:t>R</w:t>
            </w:r>
            <w:r w:rsidRPr="00191C75">
              <w:rPr>
                <w:rFonts w:ascii="Times New Roman" w:eastAsia="Times New Roman" w:hAnsi="Times New Roman"/>
                <w:sz w:val="24"/>
                <w:szCs w:val="24"/>
                <w:vertAlign w:val="subscript"/>
              </w:rPr>
              <w:t>mt</w:t>
            </w:r>
            <w:proofErr w:type="spellEnd"/>
            <w:r w:rsidRPr="00191C75">
              <w:rPr>
                <w:rFonts w:ascii="Times New Roman" w:eastAsia="Times New Roman" w:hAnsi="Times New Roman"/>
                <w:sz w:val="24"/>
                <w:szCs w:val="24"/>
              </w:rPr>
              <w:t>)</w:t>
            </w:r>
          </w:p>
        </w:tc>
        <w:tc>
          <w:tcPr>
            <w:tcW w:w="4606" w:type="dxa"/>
            <w:vAlign w:val="center"/>
          </w:tcPr>
          <w:p w14:paraId="3FD2A67F" w14:textId="77777777" w:rsidR="003E49D5" w:rsidRPr="00191C75" w:rsidRDefault="003E49D5" w:rsidP="00B37D61">
            <w:pPr>
              <w:spacing w:after="0" w:line="240" w:lineRule="auto"/>
              <w:ind w:firstLine="567"/>
              <w:jc w:val="right"/>
              <w:rPr>
                <w:rFonts w:ascii="Times New Roman" w:eastAsia="Times New Roman" w:hAnsi="Times New Roman"/>
                <w:sz w:val="24"/>
                <w:szCs w:val="24"/>
              </w:rPr>
            </w:pPr>
            <w:r w:rsidRPr="00191C75">
              <w:rPr>
                <w:rFonts w:ascii="Times New Roman" w:eastAsia="Times New Roman" w:hAnsi="Times New Roman"/>
                <w:sz w:val="24"/>
                <w:szCs w:val="24"/>
              </w:rPr>
              <w:t>(1)</w:t>
            </w:r>
          </w:p>
        </w:tc>
      </w:tr>
    </w:tbl>
    <w:p w14:paraId="2CA3958B" w14:textId="77777777" w:rsidR="003E49D5" w:rsidRPr="00191C75" w:rsidRDefault="003E49D5" w:rsidP="00B37D61">
      <w:pPr>
        <w:spacing w:after="0" w:line="240" w:lineRule="auto"/>
        <w:ind w:firstLine="567"/>
        <w:jc w:val="both"/>
        <w:rPr>
          <w:rFonts w:ascii="Times New Roman" w:hAnsi="Times New Roman"/>
          <w:sz w:val="24"/>
          <w:szCs w:val="24"/>
        </w:rPr>
      </w:pPr>
    </w:p>
    <w:p w14:paraId="1AACD123" w14:textId="7E0965F7" w:rsidR="003E49D5" w:rsidRPr="00191C75" w:rsidRDefault="003E49D5" w:rsidP="009D2A19">
      <w:pPr>
        <w:spacing w:after="0" w:line="240" w:lineRule="auto"/>
        <w:ind w:firstLine="709"/>
        <w:jc w:val="both"/>
        <w:rPr>
          <w:rFonts w:ascii="Times New Roman" w:hAnsi="Times New Roman"/>
          <w:sz w:val="24"/>
          <w:szCs w:val="24"/>
        </w:rPr>
      </w:pPr>
      <w:r w:rsidRPr="00191C75">
        <w:rPr>
          <w:rFonts w:ascii="Times New Roman" w:hAnsi="Times New Roman"/>
          <w:sz w:val="24"/>
          <w:szCs w:val="24"/>
        </w:rPr>
        <w:t xml:space="preserve">Na qual: </w:t>
      </w:r>
      <w:proofErr w:type="spellStart"/>
      <w:r w:rsidRPr="00191C75">
        <w:rPr>
          <w:rFonts w:ascii="Times New Roman" w:hAnsi="Times New Roman"/>
          <w:sz w:val="24"/>
          <w:szCs w:val="24"/>
        </w:rPr>
        <w:t>AR</w:t>
      </w:r>
      <w:r w:rsidRPr="00191C75">
        <w:rPr>
          <w:rFonts w:ascii="Times New Roman" w:hAnsi="Times New Roman"/>
          <w:sz w:val="24"/>
          <w:szCs w:val="24"/>
          <w:vertAlign w:val="subscript"/>
        </w:rPr>
        <w:t>it</w:t>
      </w:r>
      <w:proofErr w:type="spellEnd"/>
      <w:r w:rsidRPr="00191C75">
        <w:rPr>
          <w:rFonts w:ascii="Times New Roman" w:hAnsi="Times New Roman"/>
          <w:sz w:val="24"/>
          <w:szCs w:val="24"/>
          <w:lang w:eastAsia="pt-BR"/>
        </w:rPr>
        <w:t xml:space="preserve"> é o retorno anormal da ação “i” no tempo “t”, </w:t>
      </w:r>
      <w:proofErr w:type="spellStart"/>
      <w:r w:rsidRPr="00191C75">
        <w:rPr>
          <w:rFonts w:ascii="Times New Roman" w:hAnsi="Times New Roman"/>
          <w:sz w:val="24"/>
          <w:szCs w:val="24"/>
          <w:lang w:eastAsia="pt-BR"/>
        </w:rPr>
        <w:t>R</w:t>
      </w:r>
      <w:r w:rsidRPr="00191C75">
        <w:rPr>
          <w:rFonts w:ascii="Times New Roman" w:hAnsi="Times New Roman"/>
          <w:sz w:val="24"/>
          <w:szCs w:val="24"/>
          <w:vertAlign w:val="subscript"/>
          <w:lang w:eastAsia="pt-BR"/>
        </w:rPr>
        <w:t>it</w:t>
      </w:r>
      <w:proofErr w:type="spellEnd"/>
      <w:r w:rsidRPr="00191C75">
        <w:rPr>
          <w:rFonts w:ascii="Times New Roman" w:hAnsi="Times New Roman"/>
          <w:sz w:val="24"/>
          <w:szCs w:val="24"/>
          <w:lang w:eastAsia="pt-BR"/>
        </w:rPr>
        <w:t xml:space="preserve"> é o retorno observado da ação “i” no tempo “t” e </w:t>
      </w:r>
      <w:proofErr w:type="spellStart"/>
      <w:r w:rsidRPr="00191C75">
        <w:rPr>
          <w:rFonts w:ascii="Times New Roman" w:hAnsi="Times New Roman"/>
          <w:sz w:val="24"/>
          <w:szCs w:val="24"/>
          <w:lang w:eastAsia="pt-BR"/>
        </w:rPr>
        <w:t>R</w:t>
      </w:r>
      <w:r w:rsidRPr="00191C75">
        <w:rPr>
          <w:rFonts w:ascii="Times New Roman" w:hAnsi="Times New Roman"/>
          <w:sz w:val="24"/>
          <w:szCs w:val="24"/>
          <w:vertAlign w:val="subscript"/>
          <w:lang w:eastAsia="pt-BR"/>
        </w:rPr>
        <w:t>mt</w:t>
      </w:r>
      <w:proofErr w:type="spellEnd"/>
      <w:r w:rsidRPr="00191C75">
        <w:rPr>
          <w:rFonts w:ascii="Times New Roman" w:hAnsi="Times New Roman"/>
          <w:sz w:val="24"/>
          <w:szCs w:val="24"/>
          <w:lang w:eastAsia="pt-BR"/>
        </w:rPr>
        <w:t xml:space="preserve"> é o retorno observado da carteira utilizada como </w:t>
      </w:r>
      <w:r w:rsidRPr="00191C75">
        <w:rPr>
          <w:rFonts w:ascii="Times New Roman" w:hAnsi="Times New Roman"/>
          <w:i/>
          <w:sz w:val="24"/>
          <w:szCs w:val="24"/>
          <w:lang w:eastAsia="pt-BR"/>
        </w:rPr>
        <w:t>benchmarking</w:t>
      </w:r>
      <w:r w:rsidRPr="00191C75">
        <w:rPr>
          <w:rFonts w:ascii="Times New Roman" w:hAnsi="Times New Roman"/>
          <w:sz w:val="24"/>
          <w:szCs w:val="24"/>
          <w:lang w:eastAsia="pt-BR"/>
        </w:rPr>
        <w:t xml:space="preserve"> do mercado, sendo Ibovespa ou </w:t>
      </w:r>
      <w:proofErr w:type="spellStart"/>
      <w:r w:rsidRPr="00191C75">
        <w:rPr>
          <w:rFonts w:ascii="Times New Roman" w:hAnsi="Times New Roman"/>
          <w:sz w:val="24"/>
          <w:szCs w:val="24"/>
          <w:lang w:eastAsia="pt-BR"/>
        </w:rPr>
        <w:t>IBrX</w:t>
      </w:r>
      <w:proofErr w:type="spellEnd"/>
      <w:r w:rsidRPr="00191C75">
        <w:rPr>
          <w:rFonts w:ascii="Times New Roman" w:hAnsi="Times New Roman"/>
          <w:sz w:val="24"/>
          <w:szCs w:val="24"/>
          <w:lang w:eastAsia="pt-BR"/>
        </w:rPr>
        <w:t xml:space="preserve">. </w:t>
      </w:r>
      <w:r w:rsidRPr="00191C75">
        <w:rPr>
          <w:rFonts w:ascii="Times New Roman" w:hAnsi="Times New Roman"/>
          <w:sz w:val="24"/>
          <w:szCs w:val="24"/>
        </w:rPr>
        <w:t xml:space="preserve">A metodologia de retornos normais possui duas formas de medição de retornos, a tradicional e a logarítmica </w:t>
      </w:r>
      <w:r w:rsidR="00167A4D" w:rsidRPr="00191C75">
        <w:rPr>
          <w:rFonts w:ascii="Times New Roman" w:hAnsi="Times New Roman"/>
          <w:noProof/>
          <w:sz w:val="24"/>
          <w:szCs w:val="24"/>
        </w:rPr>
        <w:t xml:space="preserve">(FAMA, 1970; CAMPBELL </w:t>
      </w:r>
      <w:r w:rsidR="00167A4D" w:rsidRPr="00191C75">
        <w:rPr>
          <w:rFonts w:ascii="Times New Roman" w:hAnsi="Times New Roman"/>
          <w:i/>
          <w:noProof/>
          <w:sz w:val="24"/>
          <w:szCs w:val="24"/>
        </w:rPr>
        <w:t>et al.</w:t>
      </w:r>
      <w:r w:rsidR="00167A4D" w:rsidRPr="00191C75">
        <w:rPr>
          <w:rFonts w:ascii="Times New Roman" w:hAnsi="Times New Roman"/>
          <w:noProof/>
          <w:sz w:val="24"/>
          <w:szCs w:val="24"/>
        </w:rPr>
        <w:t>, 1997; SOARES; ROSTAGNO; SOARES, 2002</w:t>
      </w:r>
      <w:r w:rsidRPr="00191C75">
        <w:rPr>
          <w:rFonts w:ascii="Times New Roman" w:hAnsi="Times New Roman"/>
          <w:noProof/>
          <w:sz w:val="24"/>
          <w:szCs w:val="24"/>
        </w:rPr>
        <w:t>)</w:t>
      </w:r>
      <w:r w:rsidRPr="00191C75">
        <w:rPr>
          <w:rFonts w:ascii="Times New Roman" w:hAnsi="Times New Roman"/>
          <w:sz w:val="24"/>
          <w:szCs w:val="24"/>
        </w:rPr>
        <w:t>. A metodologia mais utilizada é a logarítmica. Segundo Camargos e Barbosa (2003), essa é a mais adequada porque ela é capaz de proporcionar uma composição melhor arranjada na distribuição normal dos retornos, perante o procedimento de testes paramétricos.</w:t>
      </w:r>
    </w:p>
    <w:p w14:paraId="72DFE4CF" w14:textId="77777777" w:rsidR="003E49D5" w:rsidRPr="00191C75" w:rsidRDefault="003E49D5" w:rsidP="009D2A19">
      <w:pPr>
        <w:spacing w:after="0" w:line="240" w:lineRule="auto"/>
        <w:ind w:firstLine="709"/>
        <w:jc w:val="both"/>
        <w:rPr>
          <w:rFonts w:ascii="Times New Roman" w:hAnsi="Times New Roman"/>
          <w:sz w:val="24"/>
          <w:szCs w:val="24"/>
        </w:rPr>
      </w:pPr>
    </w:p>
    <w:p w14:paraId="1259C2C7" w14:textId="77777777" w:rsidR="003E49D5" w:rsidRPr="00191C75" w:rsidRDefault="003E49D5" w:rsidP="009D2A19">
      <w:pPr>
        <w:spacing w:after="0" w:line="240" w:lineRule="auto"/>
        <w:ind w:firstLine="709"/>
        <w:jc w:val="both"/>
        <w:rPr>
          <w:rFonts w:ascii="Times New Roman" w:hAnsi="Times New Roman"/>
          <w:sz w:val="24"/>
          <w:szCs w:val="24"/>
        </w:rPr>
      </w:pPr>
      <w:r w:rsidRPr="00191C75">
        <w:rPr>
          <w:rFonts w:ascii="Times New Roman" w:hAnsi="Times New Roman"/>
          <w:sz w:val="24"/>
          <w:szCs w:val="24"/>
        </w:rPr>
        <w:t>Além disso, ela implica que as informações de mercado acontecem a todo o momento e que as ações reagem de forma contínua a essas informações. O cálculo do retorno pode ser obtido por meio da equação 2:</w:t>
      </w:r>
    </w:p>
    <w:p w14:paraId="1891FD39" w14:textId="77777777" w:rsidR="003E49D5" w:rsidRPr="00191C75" w:rsidRDefault="003E49D5" w:rsidP="00B37D61">
      <w:pPr>
        <w:spacing w:after="0" w:line="240" w:lineRule="auto"/>
        <w:ind w:firstLine="567"/>
        <w:jc w:val="both"/>
        <w:rPr>
          <w:rFonts w:ascii="Times New Roman" w:hAnsi="Times New Roman"/>
          <w:sz w:val="24"/>
          <w:szCs w:val="24"/>
        </w:rPr>
      </w:pPr>
    </w:p>
    <w:tbl>
      <w:tblPr>
        <w:tblW w:w="9211" w:type="dxa"/>
        <w:tblInd w:w="-108" w:type="dxa"/>
        <w:tblLook w:val="04A0" w:firstRow="1" w:lastRow="0" w:firstColumn="1" w:lastColumn="0" w:noHBand="0" w:noVBand="1"/>
      </w:tblPr>
      <w:tblGrid>
        <w:gridCol w:w="4605"/>
        <w:gridCol w:w="4606"/>
      </w:tblGrid>
      <w:tr w:rsidR="00191C75" w:rsidRPr="00191C75" w14:paraId="7C157B8D" w14:textId="77777777" w:rsidTr="00B37D61">
        <w:tc>
          <w:tcPr>
            <w:tcW w:w="4605" w:type="dxa"/>
            <w:vAlign w:val="center"/>
          </w:tcPr>
          <w:p w14:paraId="33AC3EA3" w14:textId="77777777" w:rsidR="003E49D5" w:rsidRPr="00191C75" w:rsidRDefault="003E49D5" w:rsidP="00F416A4">
            <w:pPr>
              <w:spacing w:after="0" w:line="240" w:lineRule="auto"/>
              <w:jc w:val="both"/>
              <w:rPr>
                <w:rFonts w:ascii="Times New Roman" w:eastAsia="Times New Roman" w:hAnsi="Times New Roman"/>
                <w:sz w:val="24"/>
                <w:szCs w:val="24"/>
              </w:rPr>
            </w:pPr>
            <w:r w:rsidRPr="00191C75">
              <w:rPr>
                <w:rFonts w:ascii="Times New Roman" w:eastAsia="Times New Roman" w:hAnsi="Times New Roman"/>
                <w:sz w:val="24"/>
                <w:szCs w:val="24"/>
              </w:rPr>
              <w:t>P</w:t>
            </w:r>
            <w:r w:rsidRPr="00191C75">
              <w:rPr>
                <w:rFonts w:ascii="Times New Roman" w:eastAsia="Times New Roman" w:hAnsi="Times New Roman"/>
                <w:sz w:val="24"/>
                <w:szCs w:val="24"/>
                <w:vertAlign w:val="subscript"/>
              </w:rPr>
              <w:t xml:space="preserve">it </w:t>
            </w:r>
            <w:r w:rsidRPr="00191C75">
              <w:rPr>
                <w:rFonts w:ascii="Times New Roman" w:eastAsia="Times New Roman" w:hAnsi="Times New Roman"/>
                <w:sz w:val="24"/>
                <w:szCs w:val="24"/>
              </w:rPr>
              <w:t xml:space="preserve">= </w:t>
            </w:r>
            <w:proofErr w:type="spellStart"/>
            <w:proofErr w:type="gramStart"/>
            <w:r w:rsidRPr="00191C75">
              <w:rPr>
                <w:rFonts w:ascii="Times New Roman" w:eastAsia="Times New Roman" w:hAnsi="Times New Roman"/>
                <w:sz w:val="24"/>
                <w:szCs w:val="24"/>
              </w:rPr>
              <w:t>P</w:t>
            </w:r>
            <w:r w:rsidRPr="00191C75">
              <w:rPr>
                <w:rFonts w:ascii="Times New Roman" w:eastAsia="Times New Roman" w:hAnsi="Times New Roman"/>
                <w:sz w:val="24"/>
                <w:szCs w:val="24"/>
                <w:vertAlign w:val="subscript"/>
              </w:rPr>
              <w:t>i,t</w:t>
            </w:r>
            <w:proofErr w:type="spellEnd"/>
            <w:proofErr w:type="gramEnd"/>
            <w:r w:rsidRPr="00191C75">
              <w:rPr>
                <w:rFonts w:ascii="Times New Roman" w:eastAsia="Times New Roman" w:hAnsi="Times New Roman"/>
                <w:sz w:val="24"/>
                <w:szCs w:val="24"/>
                <w:vertAlign w:val="subscript"/>
              </w:rPr>
              <w:t xml:space="preserve">-1 </w:t>
            </w:r>
            <w:proofErr w:type="spellStart"/>
            <w:r w:rsidRPr="00191C75">
              <w:rPr>
                <w:rFonts w:ascii="Times New Roman" w:eastAsia="Times New Roman" w:hAnsi="Times New Roman"/>
                <w:sz w:val="24"/>
                <w:szCs w:val="24"/>
              </w:rPr>
              <w:t>e</w:t>
            </w:r>
            <w:r w:rsidRPr="00191C75">
              <w:rPr>
                <w:rFonts w:ascii="Times New Roman" w:eastAsia="Times New Roman" w:hAnsi="Times New Roman"/>
                <w:sz w:val="24"/>
                <w:szCs w:val="24"/>
                <w:vertAlign w:val="superscript"/>
              </w:rPr>
              <w:t>r</w:t>
            </w:r>
            <w:proofErr w:type="spellEnd"/>
          </w:p>
        </w:tc>
        <w:tc>
          <w:tcPr>
            <w:tcW w:w="4606" w:type="dxa"/>
            <w:vAlign w:val="center"/>
          </w:tcPr>
          <w:p w14:paraId="71EBBF44" w14:textId="77777777" w:rsidR="003E49D5" w:rsidRPr="00191C75" w:rsidRDefault="003E49D5" w:rsidP="00B37D61">
            <w:pPr>
              <w:spacing w:after="0" w:line="240" w:lineRule="auto"/>
              <w:ind w:firstLine="567"/>
              <w:jc w:val="right"/>
              <w:rPr>
                <w:rFonts w:ascii="Times New Roman" w:eastAsia="Times New Roman" w:hAnsi="Times New Roman"/>
                <w:sz w:val="24"/>
                <w:szCs w:val="24"/>
              </w:rPr>
            </w:pPr>
            <w:r w:rsidRPr="00191C75">
              <w:rPr>
                <w:rFonts w:ascii="Times New Roman" w:eastAsia="Times New Roman" w:hAnsi="Times New Roman"/>
                <w:sz w:val="24"/>
                <w:szCs w:val="24"/>
              </w:rPr>
              <w:t>(2)</w:t>
            </w:r>
          </w:p>
        </w:tc>
      </w:tr>
    </w:tbl>
    <w:p w14:paraId="5F31C722" w14:textId="77777777" w:rsidR="003E49D5" w:rsidRPr="00191C75" w:rsidRDefault="003E49D5" w:rsidP="00B37D61">
      <w:pPr>
        <w:spacing w:after="0" w:line="240" w:lineRule="auto"/>
        <w:ind w:firstLine="567"/>
        <w:jc w:val="both"/>
        <w:rPr>
          <w:rFonts w:ascii="Times New Roman" w:hAnsi="Times New Roman"/>
          <w:b/>
          <w:sz w:val="24"/>
          <w:szCs w:val="24"/>
        </w:rPr>
      </w:pPr>
    </w:p>
    <w:p w14:paraId="13B14762" w14:textId="77777777" w:rsidR="003E49D5" w:rsidRPr="00191C75" w:rsidRDefault="003E49D5" w:rsidP="009D2A19">
      <w:pPr>
        <w:spacing w:after="0" w:line="240" w:lineRule="auto"/>
        <w:ind w:firstLine="709"/>
        <w:jc w:val="both"/>
        <w:rPr>
          <w:rFonts w:ascii="Times New Roman" w:hAnsi="Times New Roman"/>
          <w:sz w:val="24"/>
          <w:szCs w:val="24"/>
        </w:rPr>
      </w:pPr>
      <w:r w:rsidRPr="00191C75">
        <w:rPr>
          <w:rFonts w:ascii="Times New Roman" w:hAnsi="Times New Roman"/>
          <w:sz w:val="24"/>
          <w:szCs w:val="24"/>
        </w:rPr>
        <w:lastRenderedPageBreak/>
        <w:t>Na qual: “r” é a taxa de retorno, P</w:t>
      </w:r>
      <w:r w:rsidRPr="00191C75">
        <w:rPr>
          <w:rFonts w:ascii="Times New Roman" w:hAnsi="Times New Roman"/>
          <w:sz w:val="24"/>
          <w:szCs w:val="24"/>
          <w:vertAlign w:val="subscript"/>
        </w:rPr>
        <w:t>it</w:t>
      </w:r>
      <w:r w:rsidRPr="00191C75">
        <w:rPr>
          <w:rFonts w:ascii="Times New Roman" w:hAnsi="Times New Roman"/>
          <w:sz w:val="24"/>
          <w:szCs w:val="24"/>
          <w:lang w:eastAsia="pt-BR"/>
        </w:rPr>
        <w:t xml:space="preserve"> é o preço da ação ou ativo no período “t”, e </w:t>
      </w:r>
      <w:proofErr w:type="gramStart"/>
      <w:r w:rsidRPr="00191C75">
        <w:rPr>
          <w:rFonts w:ascii="Times New Roman" w:hAnsi="Times New Roman"/>
          <w:sz w:val="24"/>
          <w:szCs w:val="24"/>
          <w:lang w:eastAsia="pt-BR"/>
        </w:rPr>
        <w:t>P</w:t>
      </w:r>
      <w:r w:rsidRPr="00191C75">
        <w:rPr>
          <w:rFonts w:ascii="Times New Roman" w:hAnsi="Times New Roman"/>
          <w:sz w:val="24"/>
          <w:szCs w:val="24"/>
          <w:vertAlign w:val="subscript"/>
          <w:lang w:eastAsia="pt-BR"/>
        </w:rPr>
        <w:t>i,t</w:t>
      </w:r>
      <w:proofErr w:type="gramEnd"/>
      <w:r w:rsidRPr="00191C75">
        <w:rPr>
          <w:rFonts w:ascii="Times New Roman" w:hAnsi="Times New Roman"/>
          <w:sz w:val="24"/>
          <w:szCs w:val="24"/>
          <w:vertAlign w:val="subscript"/>
          <w:lang w:eastAsia="pt-BR"/>
        </w:rPr>
        <w:t xml:space="preserve">-1 </w:t>
      </w:r>
      <w:r w:rsidRPr="00191C75">
        <w:rPr>
          <w:rFonts w:ascii="Times New Roman" w:hAnsi="Times New Roman"/>
          <w:sz w:val="24"/>
          <w:szCs w:val="24"/>
          <w:lang w:eastAsia="pt-BR"/>
        </w:rPr>
        <w:t xml:space="preserve">é o preço da ação ou ativo no período anterior. </w:t>
      </w:r>
      <w:r w:rsidRPr="00191C75">
        <w:rPr>
          <w:rFonts w:ascii="Times New Roman" w:hAnsi="Times New Roman"/>
          <w:sz w:val="24"/>
          <w:szCs w:val="24"/>
        </w:rPr>
        <w:t>Logo, o cálculo do retorno real observado é dado pela equação 3:</w:t>
      </w:r>
    </w:p>
    <w:p w14:paraId="130C40E3" w14:textId="77777777" w:rsidR="00385B56" w:rsidRPr="00191C75" w:rsidRDefault="00385B56" w:rsidP="00385B56">
      <w:pPr>
        <w:spacing w:after="0" w:line="240" w:lineRule="auto"/>
        <w:jc w:val="both"/>
        <w:rPr>
          <w:rFonts w:ascii="Times New Roman" w:hAnsi="Times New Roman"/>
          <w:sz w:val="24"/>
          <w:szCs w:val="24"/>
        </w:rPr>
      </w:pPr>
    </w:p>
    <w:tbl>
      <w:tblPr>
        <w:tblW w:w="9211" w:type="dxa"/>
        <w:tblInd w:w="-108" w:type="dxa"/>
        <w:tblLook w:val="04A0" w:firstRow="1" w:lastRow="0" w:firstColumn="1" w:lastColumn="0" w:noHBand="0" w:noVBand="1"/>
      </w:tblPr>
      <w:tblGrid>
        <w:gridCol w:w="4605"/>
        <w:gridCol w:w="4606"/>
      </w:tblGrid>
      <w:tr w:rsidR="00191C75" w:rsidRPr="00191C75" w14:paraId="400322A5" w14:textId="77777777" w:rsidTr="00944F46">
        <w:tc>
          <w:tcPr>
            <w:tcW w:w="4605" w:type="dxa"/>
            <w:vAlign w:val="center"/>
          </w:tcPr>
          <w:p w14:paraId="5822067A" w14:textId="77777777" w:rsidR="00385B56" w:rsidRPr="00191C75" w:rsidRDefault="0054141F" w:rsidP="00385B56">
            <w:pPr>
              <w:spacing w:after="0" w:line="240" w:lineRule="auto"/>
              <w:jc w:val="both"/>
              <w:rPr>
                <w:rFonts w:ascii="Times New Roman" w:hAnsi="Times New Roman"/>
                <w:sz w:val="24"/>
                <w:szCs w:val="24"/>
                <w:lang w:val="en-US"/>
              </w:rPr>
            </w:pPr>
            <m:oMathPara>
              <m:oMathParaPr>
                <m:jc m:val="left"/>
              </m:oMathParaPr>
              <m:oMath>
                <m:sSub>
                  <m:sSubPr>
                    <m:ctrlPr>
                      <w:rPr>
                        <w:rFonts w:ascii="Cambria Math" w:hAnsi="Cambria Math"/>
                        <w:sz w:val="24"/>
                        <w:szCs w:val="24"/>
                      </w:rPr>
                    </m:ctrlPr>
                  </m:sSubPr>
                  <m:e>
                    <m:r>
                      <m:rPr>
                        <m:nor/>
                      </m:rPr>
                      <w:rPr>
                        <w:rFonts w:ascii="Times New Roman" w:hAnsi="Times New Roman"/>
                        <w:iCs/>
                        <w:sz w:val="24"/>
                        <w:szCs w:val="24"/>
                        <w:lang w:val="en-US"/>
                      </w:rPr>
                      <m:t>R</m:t>
                    </m:r>
                  </m:e>
                  <m:sub>
                    <m:r>
                      <m:rPr>
                        <m:nor/>
                      </m:rPr>
                      <w:rPr>
                        <w:rFonts w:ascii="Times New Roman" w:hAnsi="Times New Roman"/>
                        <w:iCs/>
                        <w:sz w:val="24"/>
                        <w:szCs w:val="24"/>
                        <w:lang w:val="en-US"/>
                      </w:rPr>
                      <m:t>it</m:t>
                    </m:r>
                  </m:sub>
                </m:sSub>
                <m:r>
                  <m:rPr>
                    <m:nor/>
                  </m:rPr>
                  <w:rPr>
                    <w:rFonts w:ascii="Times New Roman" w:hAnsi="Times New Roman"/>
                    <w:sz w:val="24"/>
                    <w:szCs w:val="24"/>
                    <w:lang w:val="en-US"/>
                  </w:rPr>
                  <m:t xml:space="preserve">= </m:t>
                </m:r>
                <m:func>
                  <m:funcPr>
                    <m:ctrlPr>
                      <w:rPr>
                        <w:rFonts w:ascii="Cambria Math" w:hAnsi="Cambria Math"/>
                        <w:sz w:val="24"/>
                        <w:szCs w:val="24"/>
                      </w:rPr>
                    </m:ctrlPr>
                  </m:funcPr>
                  <m:fName>
                    <m:r>
                      <m:rPr>
                        <m:nor/>
                      </m:rPr>
                      <w:rPr>
                        <w:rFonts w:ascii="Times New Roman" w:hAnsi="Times New Roman"/>
                        <w:sz w:val="24"/>
                        <w:szCs w:val="24"/>
                        <w:lang w:val="en-US"/>
                      </w:rPr>
                      <m:t>ln</m:t>
                    </m:r>
                  </m:fName>
                  <m:e>
                    <m:d>
                      <m:dPr>
                        <m:ctrlPr>
                          <w:rPr>
                            <w:rFonts w:ascii="Cambria Math" w:hAnsi="Cambria Math"/>
                            <w:sz w:val="24"/>
                            <w:szCs w:val="24"/>
                          </w:rPr>
                        </m:ctrlPr>
                      </m:dPr>
                      <m:e>
                        <m:f>
                          <m:fPr>
                            <m:ctrlPr>
                              <w:rPr>
                                <w:rFonts w:ascii="Cambria Math" w:hAnsi="Cambria Math"/>
                                <w:sz w:val="24"/>
                                <w:szCs w:val="24"/>
                              </w:rPr>
                            </m:ctrlPr>
                          </m:fPr>
                          <m:num>
                            <m:sSub>
                              <m:sSubPr>
                                <m:ctrlPr>
                                  <w:rPr>
                                    <w:rFonts w:ascii="Cambria Math" w:hAnsi="Cambria Math"/>
                                    <w:sz w:val="24"/>
                                    <w:szCs w:val="24"/>
                                  </w:rPr>
                                </m:ctrlPr>
                              </m:sSubPr>
                              <m:e>
                                <m:r>
                                  <m:rPr>
                                    <m:nor/>
                                  </m:rPr>
                                  <w:rPr>
                                    <w:rFonts w:ascii="Times New Roman" w:hAnsi="Times New Roman"/>
                                    <w:iCs/>
                                    <w:sz w:val="24"/>
                                    <w:szCs w:val="24"/>
                                    <w:lang w:val="en-US"/>
                                  </w:rPr>
                                  <m:t>P</m:t>
                                </m:r>
                              </m:e>
                              <m:sub>
                                <m:r>
                                  <m:rPr>
                                    <m:nor/>
                                  </m:rPr>
                                  <w:rPr>
                                    <w:rFonts w:ascii="Times New Roman" w:hAnsi="Times New Roman"/>
                                    <w:iCs/>
                                    <w:sz w:val="24"/>
                                    <w:szCs w:val="24"/>
                                    <w:lang w:val="en-US"/>
                                  </w:rPr>
                                  <m:t>it</m:t>
                                </m:r>
                              </m:sub>
                            </m:sSub>
                          </m:num>
                          <m:den>
                            <m:sSub>
                              <m:sSubPr>
                                <m:ctrlPr>
                                  <w:rPr>
                                    <w:rFonts w:ascii="Cambria Math" w:hAnsi="Cambria Math"/>
                                    <w:sz w:val="24"/>
                                    <w:szCs w:val="24"/>
                                  </w:rPr>
                                </m:ctrlPr>
                              </m:sSubPr>
                              <m:e>
                                <m:r>
                                  <m:rPr>
                                    <m:nor/>
                                  </m:rPr>
                                  <w:rPr>
                                    <w:rFonts w:ascii="Times New Roman" w:hAnsi="Times New Roman"/>
                                    <w:iCs/>
                                    <w:sz w:val="24"/>
                                    <w:szCs w:val="24"/>
                                    <w:lang w:val="en-US"/>
                                  </w:rPr>
                                  <m:t>P</m:t>
                                </m:r>
                              </m:e>
                              <m:sub>
                                <m:r>
                                  <m:rPr>
                                    <m:nor/>
                                  </m:rPr>
                                  <w:rPr>
                                    <w:rFonts w:ascii="Times New Roman" w:hAnsi="Times New Roman"/>
                                    <w:iCs/>
                                    <w:sz w:val="24"/>
                                    <w:szCs w:val="24"/>
                                    <w:lang w:val="en-US"/>
                                  </w:rPr>
                                  <m:t>i</m:t>
                                </m:r>
                                <m:r>
                                  <m:rPr>
                                    <m:nor/>
                                  </m:rPr>
                                  <w:rPr>
                                    <w:rFonts w:ascii="Times New Roman" w:hAnsi="Times New Roman"/>
                                    <w:sz w:val="24"/>
                                    <w:szCs w:val="24"/>
                                    <w:lang w:val="en-US"/>
                                  </w:rPr>
                                  <m:t>,</m:t>
                                </m:r>
                                <m:r>
                                  <m:rPr>
                                    <m:nor/>
                                  </m:rPr>
                                  <w:rPr>
                                    <w:rFonts w:ascii="Times New Roman" w:hAnsi="Times New Roman"/>
                                    <w:iCs/>
                                    <w:sz w:val="24"/>
                                    <w:szCs w:val="24"/>
                                    <w:lang w:val="en-US"/>
                                  </w:rPr>
                                  <m:t>t</m:t>
                                </m:r>
                                <m:r>
                                  <m:rPr>
                                    <m:nor/>
                                  </m:rPr>
                                  <w:rPr>
                                    <w:rFonts w:ascii="Times New Roman" w:hAnsi="Times New Roman"/>
                                    <w:sz w:val="24"/>
                                    <w:szCs w:val="24"/>
                                    <w:lang w:val="en-US"/>
                                  </w:rPr>
                                  <m:t>-1</m:t>
                                </m:r>
                              </m:sub>
                            </m:sSub>
                          </m:den>
                        </m:f>
                      </m:e>
                    </m:d>
                  </m:e>
                </m:func>
              </m:oMath>
            </m:oMathPara>
          </w:p>
          <w:p w14:paraId="2C5F5123" w14:textId="77777777" w:rsidR="00385B56" w:rsidRPr="00191C75" w:rsidRDefault="00385B56" w:rsidP="00944F46">
            <w:pPr>
              <w:spacing w:after="0" w:line="240" w:lineRule="auto"/>
              <w:jc w:val="both"/>
              <w:rPr>
                <w:rFonts w:ascii="Times New Roman" w:eastAsia="Times New Roman" w:hAnsi="Times New Roman"/>
                <w:sz w:val="24"/>
                <w:szCs w:val="24"/>
                <w:lang w:val="en-US"/>
              </w:rPr>
            </w:pPr>
          </w:p>
        </w:tc>
        <w:tc>
          <w:tcPr>
            <w:tcW w:w="4606" w:type="dxa"/>
            <w:vAlign w:val="center"/>
          </w:tcPr>
          <w:p w14:paraId="5FB864E2" w14:textId="77777777" w:rsidR="00385B56" w:rsidRPr="00191C75" w:rsidRDefault="00385B56" w:rsidP="00944F46">
            <w:pPr>
              <w:spacing w:after="0" w:line="240" w:lineRule="auto"/>
              <w:ind w:firstLine="567"/>
              <w:jc w:val="right"/>
              <w:rPr>
                <w:rFonts w:ascii="Times New Roman" w:eastAsia="Times New Roman" w:hAnsi="Times New Roman"/>
                <w:sz w:val="24"/>
                <w:szCs w:val="24"/>
              </w:rPr>
            </w:pPr>
            <w:r w:rsidRPr="00191C75">
              <w:rPr>
                <w:rFonts w:ascii="Times New Roman" w:eastAsia="Times New Roman" w:hAnsi="Times New Roman"/>
                <w:sz w:val="24"/>
                <w:szCs w:val="24"/>
              </w:rPr>
              <w:t>(3)</w:t>
            </w:r>
          </w:p>
        </w:tc>
      </w:tr>
    </w:tbl>
    <w:p w14:paraId="5354E709" w14:textId="77777777" w:rsidR="003E49D5" w:rsidRPr="00191C75" w:rsidRDefault="003E49D5" w:rsidP="009D2A19">
      <w:pPr>
        <w:spacing w:after="0" w:line="240" w:lineRule="auto"/>
        <w:ind w:firstLine="709"/>
        <w:jc w:val="both"/>
        <w:rPr>
          <w:rFonts w:ascii="Times New Roman" w:hAnsi="Times New Roman"/>
          <w:sz w:val="24"/>
          <w:szCs w:val="24"/>
          <w:lang w:eastAsia="pt-BR"/>
        </w:rPr>
      </w:pPr>
      <w:r w:rsidRPr="00191C75">
        <w:rPr>
          <w:rFonts w:ascii="Times New Roman" w:hAnsi="Times New Roman"/>
          <w:sz w:val="24"/>
          <w:szCs w:val="24"/>
        </w:rPr>
        <w:t xml:space="preserve">Na qual: </w:t>
      </w:r>
      <w:proofErr w:type="spellStart"/>
      <w:r w:rsidRPr="00191C75">
        <w:rPr>
          <w:rFonts w:ascii="Times New Roman" w:hAnsi="Times New Roman"/>
          <w:sz w:val="24"/>
          <w:szCs w:val="24"/>
        </w:rPr>
        <w:t>R</w:t>
      </w:r>
      <w:r w:rsidRPr="00191C75">
        <w:rPr>
          <w:rFonts w:ascii="Times New Roman" w:hAnsi="Times New Roman"/>
          <w:sz w:val="24"/>
          <w:szCs w:val="24"/>
          <w:vertAlign w:val="subscript"/>
        </w:rPr>
        <w:t>it</w:t>
      </w:r>
      <w:proofErr w:type="spellEnd"/>
      <w:r w:rsidRPr="00191C75">
        <w:rPr>
          <w:rFonts w:ascii="Times New Roman" w:hAnsi="Times New Roman"/>
          <w:sz w:val="24"/>
          <w:szCs w:val="24"/>
          <w:lang w:eastAsia="pt-BR"/>
        </w:rPr>
        <w:t xml:space="preserve"> é o retorno do ativo “i” no período “t”, transformada pelo logaritmo neperiano (</w:t>
      </w:r>
      <w:proofErr w:type="spellStart"/>
      <w:r w:rsidRPr="00191C75">
        <w:rPr>
          <w:rFonts w:ascii="Times New Roman" w:hAnsi="Times New Roman"/>
          <w:sz w:val="24"/>
          <w:szCs w:val="24"/>
          <w:lang w:eastAsia="pt-BR"/>
        </w:rPr>
        <w:t>ln</w:t>
      </w:r>
      <w:proofErr w:type="spellEnd"/>
      <w:r w:rsidRPr="00191C75">
        <w:rPr>
          <w:rFonts w:ascii="Times New Roman" w:hAnsi="Times New Roman"/>
          <w:sz w:val="24"/>
          <w:szCs w:val="24"/>
          <w:lang w:eastAsia="pt-BR"/>
        </w:rPr>
        <w:t>), P</w:t>
      </w:r>
      <w:r w:rsidRPr="00191C75">
        <w:rPr>
          <w:rFonts w:ascii="Times New Roman" w:hAnsi="Times New Roman"/>
          <w:sz w:val="24"/>
          <w:szCs w:val="24"/>
          <w:vertAlign w:val="subscript"/>
          <w:lang w:eastAsia="pt-BR"/>
        </w:rPr>
        <w:t>it</w:t>
      </w:r>
      <w:r w:rsidRPr="00191C75">
        <w:rPr>
          <w:rFonts w:ascii="Times New Roman" w:hAnsi="Times New Roman"/>
          <w:sz w:val="24"/>
          <w:szCs w:val="24"/>
          <w:lang w:eastAsia="pt-BR"/>
        </w:rPr>
        <w:t xml:space="preserve"> é a cotação nominal de fechamento do ativo “i”</w:t>
      </w:r>
      <w:r w:rsidRPr="00191C75">
        <w:rPr>
          <w:rFonts w:ascii="Times New Roman" w:hAnsi="Times New Roman"/>
          <w:i/>
          <w:sz w:val="24"/>
          <w:szCs w:val="24"/>
          <w:lang w:eastAsia="pt-BR"/>
        </w:rPr>
        <w:t xml:space="preserve"> </w:t>
      </w:r>
      <w:r w:rsidRPr="00191C75">
        <w:rPr>
          <w:rFonts w:ascii="Times New Roman" w:hAnsi="Times New Roman"/>
          <w:sz w:val="24"/>
          <w:szCs w:val="24"/>
          <w:lang w:eastAsia="pt-BR"/>
        </w:rPr>
        <w:t xml:space="preserve">no período “t”, e </w:t>
      </w:r>
      <w:proofErr w:type="gramStart"/>
      <w:r w:rsidRPr="00191C75">
        <w:rPr>
          <w:rFonts w:ascii="Times New Roman" w:hAnsi="Times New Roman"/>
          <w:sz w:val="24"/>
          <w:szCs w:val="24"/>
          <w:lang w:eastAsia="pt-BR"/>
        </w:rPr>
        <w:t>P</w:t>
      </w:r>
      <w:r w:rsidRPr="00191C75">
        <w:rPr>
          <w:rFonts w:ascii="Times New Roman" w:hAnsi="Times New Roman"/>
          <w:sz w:val="24"/>
          <w:szCs w:val="24"/>
          <w:vertAlign w:val="subscript"/>
          <w:lang w:eastAsia="pt-BR"/>
        </w:rPr>
        <w:t>i,t</w:t>
      </w:r>
      <w:proofErr w:type="gramEnd"/>
      <w:r w:rsidRPr="00191C75">
        <w:rPr>
          <w:rFonts w:ascii="Times New Roman" w:hAnsi="Times New Roman"/>
          <w:sz w:val="24"/>
          <w:szCs w:val="24"/>
          <w:vertAlign w:val="subscript"/>
          <w:lang w:eastAsia="pt-BR"/>
        </w:rPr>
        <w:t xml:space="preserve">-1 </w:t>
      </w:r>
      <w:r w:rsidRPr="00191C75">
        <w:rPr>
          <w:rFonts w:ascii="Times New Roman" w:hAnsi="Times New Roman"/>
          <w:sz w:val="24"/>
          <w:szCs w:val="24"/>
          <w:lang w:eastAsia="pt-BR"/>
        </w:rPr>
        <w:t>é a cotação nominal de fechamento do ativo “i” no período anterior. Para os dias em que não há informação de preço, após o lançamento (dias sem negociação do ativo), considera-se que o preço do ativo do dia anterior ou do dia em que ocorre a última negociação.</w:t>
      </w:r>
    </w:p>
    <w:p w14:paraId="7B302EF7" w14:textId="77777777" w:rsidR="003E49D5" w:rsidRPr="00191C75" w:rsidRDefault="003E49D5" w:rsidP="009D2A19">
      <w:pPr>
        <w:spacing w:after="0" w:line="240" w:lineRule="auto"/>
        <w:ind w:firstLine="709"/>
        <w:jc w:val="both"/>
        <w:rPr>
          <w:rFonts w:ascii="Times New Roman" w:hAnsi="Times New Roman"/>
          <w:sz w:val="24"/>
          <w:szCs w:val="24"/>
        </w:rPr>
      </w:pPr>
    </w:p>
    <w:p w14:paraId="0286ACC0" w14:textId="77777777" w:rsidR="003E49D5" w:rsidRPr="00191C75" w:rsidRDefault="003E49D5" w:rsidP="009D2A19">
      <w:pPr>
        <w:spacing w:after="0" w:line="240" w:lineRule="auto"/>
        <w:ind w:firstLine="709"/>
        <w:jc w:val="both"/>
        <w:rPr>
          <w:rFonts w:ascii="Times New Roman" w:hAnsi="Times New Roman"/>
          <w:sz w:val="24"/>
          <w:szCs w:val="24"/>
        </w:rPr>
      </w:pPr>
      <w:r w:rsidRPr="00191C75">
        <w:rPr>
          <w:rFonts w:ascii="Times New Roman" w:hAnsi="Times New Roman"/>
          <w:sz w:val="24"/>
          <w:szCs w:val="24"/>
        </w:rPr>
        <w:t>Contudo, Camargos e Barbosa (2003), Araújo (2014)</w:t>
      </w:r>
      <w:r w:rsidR="00A263FD" w:rsidRPr="00191C75">
        <w:rPr>
          <w:rFonts w:ascii="Times New Roman" w:hAnsi="Times New Roman"/>
          <w:sz w:val="24"/>
          <w:szCs w:val="24"/>
        </w:rPr>
        <w:t xml:space="preserve"> e Testa e Lima (2014)</w:t>
      </w:r>
      <w:r w:rsidRPr="00191C75">
        <w:rPr>
          <w:rFonts w:ascii="Times New Roman" w:hAnsi="Times New Roman"/>
          <w:sz w:val="24"/>
          <w:szCs w:val="24"/>
        </w:rPr>
        <w:t xml:space="preserve"> expõem as dificuldades para determinar a data em que o mercado recebe a informação do evento em estudo. A reação do mercado pode se difundir nos dias seguintes. Para superar esses fatos, calcula-se a acumulação dos retornos anormais (CAR). Segundo Ferrari e Minardi (2010), Eller (2012), </w:t>
      </w:r>
      <w:r w:rsidR="00E82A51" w:rsidRPr="00191C75">
        <w:rPr>
          <w:rFonts w:ascii="Times New Roman" w:hAnsi="Times New Roman"/>
          <w:sz w:val="24"/>
          <w:szCs w:val="24"/>
        </w:rPr>
        <w:t xml:space="preserve">Araújo (2014) e </w:t>
      </w:r>
      <w:r w:rsidRPr="00191C75">
        <w:rPr>
          <w:rFonts w:ascii="Times New Roman" w:hAnsi="Times New Roman"/>
          <w:sz w:val="24"/>
          <w:szCs w:val="24"/>
        </w:rPr>
        <w:t>Testa e Lima (2014) o modelo CAR é obtido pela soma simples de todos os retornos anormais contidos na janela de comparação, conforme equação 4:</w:t>
      </w:r>
    </w:p>
    <w:p w14:paraId="039DEE56" w14:textId="77777777" w:rsidR="00385B56" w:rsidRPr="00191C75" w:rsidRDefault="00385B56" w:rsidP="00B37D61">
      <w:pPr>
        <w:spacing w:after="0" w:line="240" w:lineRule="auto"/>
        <w:ind w:firstLine="567"/>
        <w:jc w:val="both"/>
        <w:rPr>
          <w:rFonts w:ascii="Times New Roman" w:hAnsi="Times New Roman"/>
          <w:sz w:val="24"/>
          <w:szCs w:val="24"/>
        </w:rPr>
      </w:pPr>
    </w:p>
    <w:tbl>
      <w:tblPr>
        <w:tblW w:w="9211" w:type="dxa"/>
        <w:tblInd w:w="-108" w:type="dxa"/>
        <w:tblLook w:val="04A0" w:firstRow="1" w:lastRow="0" w:firstColumn="1" w:lastColumn="0" w:noHBand="0" w:noVBand="1"/>
      </w:tblPr>
      <w:tblGrid>
        <w:gridCol w:w="4605"/>
        <w:gridCol w:w="4606"/>
      </w:tblGrid>
      <w:tr w:rsidR="00191C75" w:rsidRPr="00191C75" w14:paraId="7AAB9F5C" w14:textId="77777777" w:rsidTr="00B37D61">
        <w:tc>
          <w:tcPr>
            <w:tcW w:w="4605" w:type="dxa"/>
            <w:vAlign w:val="center"/>
          </w:tcPr>
          <w:p w14:paraId="5CCD0FA4" w14:textId="77777777" w:rsidR="003E49D5" w:rsidRPr="00191C75" w:rsidRDefault="00B246D9" w:rsidP="00766924">
            <w:pPr>
              <w:spacing w:after="0" w:line="240" w:lineRule="auto"/>
              <w:jc w:val="both"/>
              <w:rPr>
                <w:rFonts w:ascii="Times New Roman" w:eastAsia="Times New Roman" w:hAnsi="Times New Roman"/>
                <w:sz w:val="24"/>
                <w:szCs w:val="24"/>
              </w:rPr>
            </w:pPr>
            <m:oMathPara>
              <m:oMathParaPr>
                <m:jc m:val="left"/>
              </m:oMathParaPr>
              <m:oMath>
                <m:r>
                  <m:rPr>
                    <m:nor/>
                  </m:rPr>
                  <w:rPr>
                    <w:rFonts w:ascii="Times New Roman" w:hAnsi="Times New Roman"/>
                    <w:sz w:val="24"/>
                  </w:rPr>
                  <m:t>CA</m:t>
                </m:r>
                <m:sSub>
                  <m:sSubPr>
                    <m:ctrlPr>
                      <w:rPr>
                        <w:rFonts w:ascii="Cambria Math" w:hAnsi="Cambria Math"/>
                        <w:i/>
                        <w:sz w:val="24"/>
                      </w:rPr>
                    </m:ctrlPr>
                  </m:sSubPr>
                  <m:e>
                    <m:r>
                      <m:rPr>
                        <m:nor/>
                      </m:rPr>
                      <w:rPr>
                        <w:rFonts w:ascii="Times New Roman" w:hAnsi="Times New Roman"/>
                        <w:sz w:val="24"/>
                      </w:rPr>
                      <m:t>R</m:t>
                    </m:r>
                  </m:e>
                  <m:sub>
                    <m:r>
                      <m:rPr>
                        <m:nor/>
                      </m:rPr>
                      <w:rPr>
                        <w:rFonts w:ascii="Times New Roman" w:hAnsi="Times New Roman"/>
                        <w:sz w:val="24"/>
                      </w:rPr>
                      <m:t>i</m:t>
                    </m:r>
                  </m:sub>
                </m:sSub>
                <m:d>
                  <m:dPr>
                    <m:ctrlPr>
                      <w:rPr>
                        <w:rFonts w:ascii="Cambria Math" w:hAnsi="Cambria Math"/>
                        <w:i/>
                        <w:sz w:val="24"/>
                      </w:rPr>
                    </m:ctrlPr>
                  </m:dPr>
                  <m:e>
                    <m:sSub>
                      <m:sSubPr>
                        <m:ctrlPr>
                          <w:rPr>
                            <w:rFonts w:ascii="Cambria Math" w:hAnsi="Cambria Math"/>
                            <w:i/>
                            <w:sz w:val="24"/>
                          </w:rPr>
                        </m:ctrlPr>
                      </m:sSubPr>
                      <m:e>
                        <m:r>
                          <m:rPr>
                            <m:nor/>
                          </m:rPr>
                          <w:rPr>
                            <w:rFonts w:ascii="Times New Roman" w:hAnsi="Times New Roman"/>
                            <w:sz w:val="24"/>
                          </w:rPr>
                          <m:t>t</m:t>
                        </m:r>
                      </m:e>
                      <m:sub>
                        <m:r>
                          <m:rPr>
                            <m:nor/>
                          </m:rPr>
                          <w:rPr>
                            <w:rFonts w:ascii="Times New Roman" w:hAnsi="Times New Roman"/>
                            <w:sz w:val="24"/>
                          </w:rPr>
                          <m:t>1</m:t>
                        </m:r>
                      </m:sub>
                    </m:sSub>
                    <m:r>
                      <m:rPr>
                        <m:nor/>
                      </m:rPr>
                      <w:rPr>
                        <w:rFonts w:ascii="Times New Roman" w:hAnsi="Times New Roman"/>
                        <w:sz w:val="24"/>
                      </w:rPr>
                      <m:t>,</m:t>
                    </m:r>
                    <m:sSub>
                      <m:sSubPr>
                        <m:ctrlPr>
                          <w:rPr>
                            <w:rFonts w:ascii="Cambria Math" w:hAnsi="Cambria Math"/>
                            <w:i/>
                            <w:sz w:val="24"/>
                          </w:rPr>
                        </m:ctrlPr>
                      </m:sSubPr>
                      <m:e>
                        <m:r>
                          <m:rPr>
                            <m:nor/>
                          </m:rPr>
                          <w:rPr>
                            <w:rFonts w:ascii="Times New Roman" w:hAnsi="Times New Roman"/>
                            <w:sz w:val="24"/>
                          </w:rPr>
                          <m:t>t</m:t>
                        </m:r>
                      </m:e>
                      <m:sub>
                        <m:r>
                          <m:rPr>
                            <m:nor/>
                          </m:rPr>
                          <w:rPr>
                            <w:rFonts w:ascii="Times New Roman" w:hAnsi="Times New Roman"/>
                            <w:sz w:val="24"/>
                          </w:rPr>
                          <m:t>2</m:t>
                        </m:r>
                      </m:sub>
                    </m:sSub>
                  </m:e>
                </m:d>
                <m:r>
                  <m:rPr>
                    <m:nor/>
                  </m:rPr>
                  <w:rPr>
                    <w:rFonts w:ascii="Times New Roman" w:hAnsi="Times New Roman"/>
                    <w:sz w:val="24"/>
                  </w:rPr>
                  <m:t>=</m:t>
                </m:r>
                <m:nary>
                  <m:naryPr>
                    <m:chr m:val="∑"/>
                    <m:limLoc m:val="undOvr"/>
                    <m:grow m:val="1"/>
                    <m:ctrlPr>
                      <w:rPr>
                        <w:rFonts w:ascii="Cambria Math" w:hAnsi="Cambria Math"/>
                        <w:i/>
                        <w:sz w:val="24"/>
                      </w:rPr>
                    </m:ctrlPr>
                  </m:naryPr>
                  <m:sub>
                    <m:r>
                      <m:rPr>
                        <m:nor/>
                      </m:rPr>
                      <w:rPr>
                        <w:rFonts w:ascii="Times New Roman" w:hAnsi="Times New Roman"/>
                        <w:sz w:val="24"/>
                      </w:rPr>
                      <m:t>t=</m:t>
                    </m:r>
                    <m:sSub>
                      <m:sSubPr>
                        <m:ctrlPr>
                          <w:rPr>
                            <w:rFonts w:ascii="Cambria Math" w:hAnsi="Cambria Math"/>
                            <w:i/>
                            <w:sz w:val="24"/>
                          </w:rPr>
                        </m:ctrlPr>
                      </m:sSubPr>
                      <m:e>
                        <m:r>
                          <m:rPr>
                            <m:nor/>
                          </m:rPr>
                          <w:rPr>
                            <w:rFonts w:ascii="Times New Roman" w:hAnsi="Times New Roman"/>
                            <w:sz w:val="24"/>
                          </w:rPr>
                          <m:t>t</m:t>
                        </m:r>
                      </m:e>
                      <m:sub>
                        <m:r>
                          <m:rPr>
                            <m:nor/>
                          </m:rPr>
                          <w:rPr>
                            <w:rFonts w:ascii="Times New Roman" w:hAnsi="Times New Roman"/>
                            <w:sz w:val="24"/>
                          </w:rPr>
                          <m:t>1</m:t>
                        </m:r>
                      </m:sub>
                    </m:sSub>
                  </m:sub>
                  <m:sup>
                    <m:sSub>
                      <m:sSubPr>
                        <m:ctrlPr>
                          <w:rPr>
                            <w:rFonts w:ascii="Cambria Math" w:hAnsi="Cambria Math"/>
                            <w:i/>
                            <w:sz w:val="24"/>
                          </w:rPr>
                        </m:ctrlPr>
                      </m:sSubPr>
                      <m:e>
                        <m:r>
                          <m:rPr>
                            <m:nor/>
                          </m:rPr>
                          <w:rPr>
                            <w:rFonts w:ascii="Times New Roman" w:hAnsi="Times New Roman"/>
                            <w:sz w:val="24"/>
                          </w:rPr>
                          <m:t>t</m:t>
                        </m:r>
                      </m:e>
                      <m:sub>
                        <m:r>
                          <m:rPr>
                            <m:nor/>
                          </m:rPr>
                          <w:rPr>
                            <w:rFonts w:ascii="Times New Roman" w:hAnsi="Times New Roman"/>
                            <w:sz w:val="24"/>
                          </w:rPr>
                          <m:t>2</m:t>
                        </m:r>
                      </m:sub>
                    </m:sSub>
                  </m:sup>
                  <m:e>
                    <m:r>
                      <m:rPr>
                        <m:nor/>
                      </m:rPr>
                      <w:rPr>
                        <w:rFonts w:ascii="Times New Roman" w:hAnsi="Times New Roman"/>
                        <w:sz w:val="24"/>
                      </w:rPr>
                      <m:t>A</m:t>
                    </m:r>
                    <m:sSub>
                      <m:sSubPr>
                        <m:ctrlPr>
                          <w:rPr>
                            <w:rFonts w:ascii="Cambria Math" w:hAnsi="Cambria Math"/>
                            <w:i/>
                            <w:sz w:val="24"/>
                          </w:rPr>
                        </m:ctrlPr>
                      </m:sSubPr>
                      <m:e>
                        <m:r>
                          <m:rPr>
                            <m:nor/>
                          </m:rPr>
                          <w:rPr>
                            <w:rFonts w:ascii="Times New Roman" w:hAnsi="Times New Roman"/>
                            <w:sz w:val="24"/>
                          </w:rPr>
                          <m:t>R</m:t>
                        </m:r>
                      </m:e>
                      <m:sub>
                        <m:r>
                          <m:rPr>
                            <m:nor/>
                          </m:rPr>
                          <w:rPr>
                            <w:rFonts w:ascii="Times New Roman" w:hAnsi="Times New Roman"/>
                            <w:sz w:val="24"/>
                          </w:rPr>
                          <m:t>it</m:t>
                        </m:r>
                      </m:sub>
                    </m:sSub>
                  </m:e>
                </m:nary>
              </m:oMath>
            </m:oMathPara>
          </w:p>
        </w:tc>
        <w:tc>
          <w:tcPr>
            <w:tcW w:w="4606" w:type="dxa"/>
            <w:vAlign w:val="center"/>
          </w:tcPr>
          <w:p w14:paraId="41DDF277" w14:textId="77777777" w:rsidR="003E49D5" w:rsidRPr="00191C75" w:rsidRDefault="003E49D5" w:rsidP="00B37D61">
            <w:pPr>
              <w:spacing w:after="0" w:line="240" w:lineRule="auto"/>
              <w:ind w:firstLine="567"/>
              <w:jc w:val="right"/>
              <w:rPr>
                <w:rFonts w:ascii="Times New Roman" w:eastAsia="Times New Roman" w:hAnsi="Times New Roman"/>
                <w:sz w:val="24"/>
                <w:szCs w:val="24"/>
              </w:rPr>
            </w:pPr>
            <w:r w:rsidRPr="00191C75">
              <w:rPr>
                <w:rFonts w:ascii="Times New Roman" w:eastAsia="Times New Roman" w:hAnsi="Times New Roman"/>
                <w:sz w:val="24"/>
                <w:szCs w:val="24"/>
              </w:rPr>
              <w:t>(4)</w:t>
            </w:r>
          </w:p>
        </w:tc>
      </w:tr>
    </w:tbl>
    <w:p w14:paraId="250D8E59" w14:textId="77777777" w:rsidR="003E49D5" w:rsidRPr="00191C75" w:rsidRDefault="003E49D5" w:rsidP="00B37D61">
      <w:pPr>
        <w:spacing w:after="0" w:line="240" w:lineRule="auto"/>
        <w:ind w:firstLine="567"/>
        <w:jc w:val="both"/>
        <w:rPr>
          <w:rFonts w:ascii="Times New Roman" w:hAnsi="Times New Roman"/>
          <w:sz w:val="24"/>
          <w:szCs w:val="24"/>
        </w:rPr>
      </w:pPr>
    </w:p>
    <w:p w14:paraId="141AC4FA" w14:textId="77777777" w:rsidR="003E49D5" w:rsidRPr="00191C75" w:rsidRDefault="003E49D5" w:rsidP="009D2A19">
      <w:pPr>
        <w:spacing w:after="0" w:line="240" w:lineRule="auto"/>
        <w:ind w:firstLine="709"/>
        <w:jc w:val="both"/>
        <w:rPr>
          <w:rFonts w:ascii="Times New Roman" w:hAnsi="Times New Roman"/>
          <w:sz w:val="24"/>
          <w:szCs w:val="24"/>
          <w:lang w:eastAsia="pt-BR"/>
        </w:rPr>
      </w:pPr>
      <w:r w:rsidRPr="00191C75">
        <w:rPr>
          <w:rFonts w:ascii="Times New Roman" w:hAnsi="Times New Roman"/>
          <w:sz w:val="24"/>
          <w:szCs w:val="24"/>
        </w:rPr>
        <w:t xml:space="preserve">Na qual: </w:t>
      </w:r>
      <w:proofErr w:type="spellStart"/>
      <w:r w:rsidRPr="00191C75">
        <w:rPr>
          <w:rFonts w:ascii="Times New Roman" w:hAnsi="Times New Roman"/>
          <w:sz w:val="24"/>
          <w:szCs w:val="24"/>
        </w:rPr>
        <w:t>CAR</w:t>
      </w:r>
      <w:r w:rsidRPr="00191C75">
        <w:rPr>
          <w:rFonts w:ascii="Times New Roman" w:hAnsi="Times New Roman"/>
          <w:sz w:val="24"/>
          <w:szCs w:val="24"/>
          <w:vertAlign w:val="subscript"/>
        </w:rPr>
        <w:t>i</w:t>
      </w:r>
      <w:proofErr w:type="spellEnd"/>
      <w:r w:rsidRPr="00191C75">
        <w:rPr>
          <w:rFonts w:ascii="Times New Roman" w:hAnsi="Times New Roman"/>
          <w:sz w:val="24"/>
          <w:szCs w:val="24"/>
          <w:lang w:eastAsia="pt-BR"/>
        </w:rPr>
        <w:t xml:space="preserve"> é o retorno anormal acumulado do ativo “i”, (t</w:t>
      </w:r>
      <w:r w:rsidRPr="00191C75">
        <w:rPr>
          <w:rFonts w:ascii="Times New Roman" w:hAnsi="Times New Roman"/>
          <w:sz w:val="24"/>
          <w:szCs w:val="24"/>
          <w:vertAlign w:val="subscript"/>
          <w:lang w:eastAsia="pt-BR"/>
        </w:rPr>
        <w:t>1</w:t>
      </w:r>
      <w:r w:rsidRPr="00191C75">
        <w:rPr>
          <w:rFonts w:ascii="Times New Roman" w:hAnsi="Times New Roman"/>
          <w:sz w:val="24"/>
          <w:szCs w:val="24"/>
          <w:lang w:eastAsia="pt-BR"/>
        </w:rPr>
        <w:t>, t</w:t>
      </w:r>
      <w:r w:rsidRPr="00191C75">
        <w:rPr>
          <w:rFonts w:ascii="Times New Roman" w:hAnsi="Times New Roman"/>
          <w:sz w:val="24"/>
          <w:szCs w:val="24"/>
          <w:vertAlign w:val="subscript"/>
          <w:lang w:eastAsia="pt-BR"/>
        </w:rPr>
        <w:t>2</w:t>
      </w:r>
      <w:r w:rsidRPr="00191C75">
        <w:rPr>
          <w:rFonts w:ascii="Times New Roman" w:hAnsi="Times New Roman"/>
          <w:sz w:val="24"/>
          <w:szCs w:val="24"/>
          <w:lang w:eastAsia="pt-BR"/>
        </w:rPr>
        <w:t>) são, respectivamente, o primeiro e último dia da janela de comparação.</w:t>
      </w:r>
    </w:p>
    <w:p w14:paraId="620359B9" w14:textId="77777777" w:rsidR="003E49D5" w:rsidRPr="00191C75" w:rsidRDefault="003E49D5" w:rsidP="009D2A19">
      <w:pPr>
        <w:spacing w:after="0" w:line="240" w:lineRule="auto"/>
        <w:ind w:firstLine="709"/>
        <w:jc w:val="both"/>
        <w:rPr>
          <w:rFonts w:ascii="Times New Roman" w:hAnsi="Times New Roman"/>
          <w:sz w:val="24"/>
          <w:szCs w:val="24"/>
        </w:rPr>
      </w:pPr>
    </w:p>
    <w:p w14:paraId="3596032C" w14:textId="77777777" w:rsidR="003E49D5" w:rsidRPr="00191C75" w:rsidRDefault="003E49D5" w:rsidP="009D2A19">
      <w:pPr>
        <w:spacing w:after="0" w:line="240" w:lineRule="auto"/>
        <w:ind w:firstLine="709"/>
        <w:jc w:val="both"/>
        <w:rPr>
          <w:rFonts w:ascii="Times New Roman" w:hAnsi="Times New Roman"/>
          <w:sz w:val="24"/>
          <w:szCs w:val="24"/>
          <w:shd w:val="clear" w:color="auto" w:fill="FFFFFF"/>
        </w:rPr>
      </w:pPr>
      <w:r w:rsidRPr="00191C75">
        <w:rPr>
          <w:rFonts w:ascii="Times New Roman" w:hAnsi="Times New Roman"/>
          <w:sz w:val="24"/>
          <w:szCs w:val="24"/>
          <w:shd w:val="clear" w:color="auto" w:fill="FFFFFF"/>
        </w:rPr>
        <w:t>Em um estudo de evento, são consideradas as janelas de estimação, do evento e de comparação – figura 2. No caso desse estudo, como o evento de interesse é um IPO, não há como analisar o preço das ações antes dele. Logo, o estudo limita-se à verificação dos retornos anormais (</w:t>
      </w:r>
      <w:proofErr w:type="spellStart"/>
      <w:r w:rsidRPr="00191C75">
        <w:rPr>
          <w:rFonts w:ascii="Times New Roman" w:hAnsi="Times New Roman"/>
          <w:sz w:val="24"/>
          <w:szCs w:val="24"/>
          <w:shd w:val="clear" w:color="auto" w:fill="FFFFFF"/>
        </w:rPr>
        <w:t>ARs</w:t>
      </w:r>
      <w:proofErr w:type="spellEnd"/>
      <w:r w:rsidRPr="00191C75">
        <w:rPr>
          <w:rFonts w:ascii="Times New Roman" w:hAnsi="Times New Roman"/>
          <w:sz w:val="24"/>
          <w:szCs w:val="24"/>
          <w:shd w:val="clear" w:color="auto" w:fill="FFFFFF"/>
        </w:rPr>
        <w:t>) e acumulados (</w:t>
      </w:r>
      <w:proofErr w:type="spellStart"/>
      <w:r w:rsidRPr="00191C75">
        <w:rPr>
          <w:rFonts w:ascii="Times New Roman" w:hAnsi="Times New Roman"/>
          <w:sz w:val="24"/>
          <w:szCs w:val="24"/>
          <w:shd w:val="clear" w:color="auto" w:fill="FFFFFF"/>
        </w:rPr>
        <w:t>CARs</w:t>
      </w:r>
      <w:proofErr w:type="spellEnd"/>
      <w:r w:rsidRPr="00191C75">
        <w:rPr>
          <w:rFonts w:ascii="Times New Roman" w:hAnsi="Times New Roman"/>
          <w:sz w:val="24"/>
          <w:szCs w:val="24"/>
          <w:shd w:val="clear" w:color="auto" w:fill="FFFFFF"/>
        </w:rPr>
        <w:t xml:space="preserve">) durante a janela de comparação. </w:t>
      </w:r>
    </w:p>
    <w:p w14:paraId="57047737" w14:textId="77777777" w:rsidR="003E49D5" w:rsidRPr="00191C75" w:rsidRDefault="003E49D5" w:rsidP="00A46C57">
      <w:pPr>
        <w:spacing w:after="0" w:line="240" w:lineRule="auto"/>
        <w:ind w:firstLine="567"/>
        <w:jc w:val="both"/>
        <w:rPr>
          <w:rFonts w:ascii="Times New Roman" w:hAnsi="Times New Roman"/>
          <w:sz w:val="24"/>
          <w:szCs w:val="24"/>
          <w:shd w:val="clear" w:color="auto" w:fill="FFFFFF"/>
        </w:rPr>
      </w:pPr>
    </w:p>
    <w:p w14:paraId="7B318D3C" w14:textId="77777777" w:rsidR="00A46C57" w:rsidRPr="00191C75" w:rsidRDefault="00A46C57" w:rsidP="00A46C57">
      <w:pPr>
        <w:spacing w:after="0" w:line="240" w:lineRule="auto"/>
        <w:rPr>
          <w:lang w:eastAsia="ja-JP"/>
        </w:rPr>
      </w:pPr>
    </w:p>
    <w:p w14:paraId="37042012" w14:textId="77777777" w:rsidR="003E49D5" w:rsidRPr="00191C75" w:rsidRDefault="006D016D" w:rsidP="009A1BA3">
      <w:pPr>
        <w:spacing w:after="0" w:line="240" w:lineRule="auto"/>
        <w:rPr>
          <w:rFonts w:ascii="Times New Roman" w:eastAsia="Times New Roman" w:hAnsi="Times New Roman"/>
          <w:sz w:val="24"/>
          <w:szCs w:val="24"/>
        </w:rPr>
      </w:pPr>
      <w:r w:rsidRPr="00191C75">
        <w:rPr>
          <w:rFonts w:ascii="Times New Roman" w:eastAsia="Times New Roman" w:hAnsi="Times New Roman"/>
          <w:noProof/>
          <w:sz w:val="24"/>
          <w:szCs w:val="24"/>
        </w:rPr>
        <w:drawing>
          <wp:inline distT="0" distB="0" distL="0" distR="0" wp14:anchorId="67732D36" wp14:editId="489A65BB">
            <wp:extent cx="5295900" cy="1085850"/>
            <wp:effectExtent l="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5900" cy="1085850"/>
                    </a:xfrm>
                    <a:prstGeom prst="rect">
                      <a:avLst/>
                    </a:prstGeom>
                    <a:noFill/>
                    <a:ln>
                      <a:noFill/>
                    </a:ln>
                  </pic:spPr>
                </pic:pic>
              </a:graphicData>
            </a:graphic>
          </wp:inline>
        </w:drawing>
      </w:r>
    </w:p>
    <w:p w14:paraId="474582ED" w14:textId="77777777" w:rsidR="00D77D09" w:rsidRPr="00191C75" w:rsidRDefault="00D77D09" w:rsidP="00D77D09">
      <w:pPr>
        <w:pStyle w:val="Caption"/>
        <w:keepNext/>
        <w:spacing w:after="0"/>
        <w:jc w:val="center"/>
        <w:rPr>
          <w:b/>
          <w:i w:val="0"/>
          <w:color w:val="auto"/>
          <w:sz w:val="20"/>
          <w:szCs w:val="24"/>
          <w:shd w:val="clear" w:color="auto" w:fill="FFFFFF"/>
          <w:lang w:val="pt-BR"/>
        </w:rPr>
      </w:pPr>
      <w:bookmarkStart w:id="15" w:name="_Toc483380214"/>
      <w:r w:rsidRPr="00191C75">
        <w:rPr>
          <w:b/>
          <w:i w:val="0"/>
          <w:color w:val="auto"/>
          <w:sz w:val="20"/>
          <w:szCs w:val="24"/>
          <w:lang w:val="pt-BR"/>
        </w:rPr>
        <w:t xml:space="preserve">Figura </w:t>
      </w:r>
      <w:r w:rsidRPr="00191C75">
        <w:rPr>
          <w:b/>
          <w:i w:val="0"/>
          <w:color w:val="auto"/>
          <w:sz w:val="20"/>
          <w:szCs w:val="24"/>
        </w:rPr>
        <w:fldChar w:fldCharType="begin"/>
      </w:r>
      <w:r w:rsidRPr="00191C75">
        <w:rPr>
          <w:b/>
          <w:i w:val="0"/>
          <w:color w:val="auto"/>
          <w:sz w:val="20"/>
          <w:szCs w:val="24"/>
          <w:lang w:val="pt-BR"/>
        </w:rPr>
        <w:instrText xml:space="preserve"> SEQ Figura \* ARABIC </w:instrText>
      </w:r>
      <w:r w:rsidRPr="00191C75">
        <w:rPr>
          <w:b/>
          <w:i w:val="0"/>
          <w:color w:val="auto"/>
          <w:sz w:val="20"/>
          <w:szCs w:val="24"/>
        </w:rPr>
        <w:fldChar w:fldCharType="separate"/>
      </w:r>
      <w:r w:rsidRPr="00191C75">
        <w:rPr>
          <w:b/>
          <w:i w:val="0"/>
          <w:noProof/>
          <w:color w:val="auto"/>
          <w:sz w:val="20"/>
          <w:szCs w:val="24"/>
          <w:lang w:val="pt-BR"/>
        </w:rPr>
        <w:t>2</w:t>
      </w:r>
      <w:r w:rsidRPr="00191C75">
        <w:rPr>
          <w:b/>
          <w:i w:val="0"/>
          <w:color w:val="auto"/>
          <w:sz w:val="20"/>
          <w:szCs w:val="24"/>
        </w:rPr>
        <w:fldChar w:fldCharType="end"/>
      </w:r>
      <w:r w:rsidRPr="00191C75">
        <w:rPr>
          <w:b/>
          <w:i w:val="0"/>
          <w:color w:val="auto"/>
          <w:sz w:val="20"/>
          <w:szCs w:val="24"/>
          <w:lang w:val="pt-BR"/>
        </w:rPr>
        <w:t xml:space="preserve"> </w:t>
      </w:r>
      <w:r w:rsidRPr="00191C75">
        <w:rPr>
          <w:b/>
          <w:i w:val="0"/>
          <w:color w:val="auto"/>
          <w:sz w:val="20"/>
          <w:szCs w:val="24"/>
          <w:shd w:val="clear" w:color="auto" w:fill="FFFFFF"/>
          <w:lang w:val="pt-BR"/>
        </w:rPr>
        <w:t>– Janelas do estudo de evento</w:t>
      </w:r>
      <w:bookmarkEnd w:id="15"/>
    </w:p>
    <w:p w14:paraId="344F3452" w14:textId="4D18995D" w:rsidR="00A46C57" w:rsidRPr="00191C75" w:rsidRDefault="00A46C57" w:rsidP="00A46C57">
      <w:pPr>
        <w:spacing w:after="0" w:line="240" w:lineRule="auto"/>
        <w:jc w:val="both"/>
        <w:rPr>
          <w:rFonts w:ascii="Times New Roman" w:eastAsia="Times New Roman" w:hAnsi="Times New Roman"/>
          <w:sz w:val="20"/>
          <w:szCs w:val="20"/>
        </w:rPr>
      </w:pPr>
    </w:p>
    <w:p w14:paraId="43C0673E" w14:textId="77777777" w:rsidR="00D77D09" w:rsidRPr="00191C75" w:rsidRDefault="00D77D09" w:rsidP="00A46C57">
      <w:pPr>
        <w:spacing w:after="0" w:line="240" w:lineRule="auto"/>
        <w:jc w:val="both"/>
        <w:rPr>
          <w:rFonts w:ascii="Times New Roman" w:eastAsia="Times New Roman" w:hAnsi="Times New Roman"/>
          <w:sz w:val="20"/>
          <w:szCs w:val="20"/>
        </w:rPr>
      </w:pPr>
    </w:p>
    <w:p w14:paraId="5D970933" w14:textId="77777777" w:rsidR="003E49D5" w:rsidRPr="00191C75" w:rsidRDefault="003E49D5" w:rsidP="00A46C57">
      <w:pPr>
        <w:spacing w:after="0" w:line="240" w:lineRule="auto"/>
        <w:jc w:val="both"/>
        <w:rPr>
          <w:rFonts w:ascii="Times New Roman" w:eastAsia="Times New Roman" w:hAnsi="Times New Roman"/>
          <w:sz w:val="20"/>
          <w:szCs w:val="20"/>
        </w:rPr>
      </w:pPr>
      <w:r w:rsidRPr="00191C75">
        <w:rPr>
          <w:rFonts w:ascii="Times New Roman" w:eastAsia="Times New Roman" w:hAnsi="Times New Roman"/>
          <w:sz w:val="20"/>
          <w:szCs w:val="20"/>
        </w:rPr>
        <w:t>Fonte: Campbell</w:t>
      </w:r>
      <w:r w:rsidR="002737A6" w:rsidRPr="00191C75">
        <w:rPr>
          <w:rFonts w:ascii="Times New Roman" w:eastAsia="Times New Roman" w:hAnsi="Times New Roman"/>
          <w:sz w:val="20"/>
          <w:szCs w:val="20"/>
        </w:rPr>
        <w:t xml:space="preserve"> </w:t>
      </w:r>
      <w:r w:rsidR="002737A6" w:rsidRPr="00191C75">
        <w:rPr>
          <w:rFonts w:ascii="Times New Roman" w:eastAsia="Times New Roman" w:hAnsi="Times New Roman"/>
          <w:i/>
          <w:sz w:val="20"/>
          <w:szCs w:val="20"/>
        </w:rPr>
        <w:t>et al.</w:t>
      </w:r>
      <w:r w:rsidRPr="00191C75">
        <w:rPr>
          <w:rFonts w:ascii="Times New Roman" w:eastAsia="Times New Roman" w:hAnsi="Times New Roman"/>
          <w:sz w:val="20"/>
          <w:szCs w:val="20"/>
        </w:rPr>
        <w:t xml:space="preserve"> (1997, p.157), adaptado pelos autores.</w:t>
      </w:r>
    </w:p>
    <w:p w14:paraId="0648DA73" w14:textId="77777777" w:rsidR="003E49D5" w:rsidRPr="00191C75" w:rsidRDefault="003E49D5" w:rsidP="00A46C57">
      <w:pPr>
        <w:spacing w:after="0" w:line="240" w:lineRule="auto"/>
        <w:ind w:firstLine="567"/>
        <w:jc w:val="both"/>
        <w:rPr>
          <w:rFonts w:ascii="Times New Roman" w:hAnsi="Times New Roman"/>
          <w:sz w:val="20"/>
          <w:szCs w:val="20"/>
        </w:rPr>
      </w:pPr>
    </w:p>
    <w:p w14:paraId="33F116FD" w14:textId="77777777" w:rsidR="003E49D5" w:rsidRPr="00191C75" w:rsidRDefault="003E49D5" w:rsidP="009D2A19">
      <w:pPr>
        <w:spacing w:after="0" w:line="240" w:lineRule="auto"/>
        <w:ind w:firstLine="709"/>
        <w:jc w:val="both"/>
        <w:rPr>
          <w:rFonts w:ascii="Times New Roman" w:hAnsi="Times New Roman"/>
          <w:sz w:val="24"/>
          <w:szCs w:val="24"/>
        </w:rPr>
      </w:pPr>
      <w:r w:rsidRPr="00191C75">
        <w:rPr>
          <w:rFonts w:ascii="Times New Roman" w:hAnsi="Times New Roman"/>
          <w:sz w:val="24"/>
          <w:szCs w:val="24"/>
        </w:rPr>
        <w:t xml:space="preserve">De toda forma, para fins metodológicos, esclarece-se que a janela de estimação é o período para a realização do cálculo dos retornos esperados ou normais das ações, antes da janela de evento. A janela de estimação não deve ser justaposta à janela de evento, uma vez que pode influenciar os parâmetros. Ela deve ser extensa o bastante para que possíveis aversões nos retornos possam ser diluídas, sem causar alterações em sua distribuição de frequência </w:t>
      </w:r>
      <w:r w:rsidRPr="00191C75">
        <w:rPr>
          <w:rFonts w:ascii="Times New Roman" w:hAnsi="Times New Roman"/>
          <w:noProof/>
          <w:sz w:val="24"/>
          <w:szCs w:val="24"/>
        </w:rPr>
        <w:lastRenderedPageBreak/>
        <w:t>(Campbell</w:t>
      </w:r>
      <w:r w:rsidR="002737A6" w:rsidRPr="00191C75">
        <w:rPr>
          <w:rFonts w:ascii="Times New Roman" w:hAnsi="Times New Roman"/>
          <w:noProof/>
          <w:sz w:val="24"/>
          <w:szCs w:val="24"/>
        </w:rPr>
        <w:t xml:space="preserve"> </w:t>
      </w:r>
      <w:r w:rsidR="002737A6" w:rsidRPr="00191C75">
        <w:rPr>
          <w:rFonts w:ascii="Times New Roman" w:hAnsi="Times New Roman"/>
          <w:i/>
          <w:noProof/>
          <w:sz w:val="24"/>
          <w:szCs w:val="24"/>
        </w:rPr>
        <w:t>et al.</w:t>
      </w:r>
      <w:r w:rsidRPr="00191C75">
        <w:rPr>
          <w:rFonts w:ascii="Times New Roman" w:hAnsi="Times New Roman"/>
          <w:noProof/>
          <w:sz w:val="24"/>
          <w:szCs w:val="24"/>
        </w:rPr>
        <w:t xml:space="preserve"> 1997)</w:t>
      </w:r>
      <w:r w:rsidRPr="00191C75">
        <w:rPr>
          <w:rFonts w:ascii="Times New Roman" w:eastAsia="Times New Roman" w:hAnsi="Times New Roman"/>
          <w:sz w:val="24"/>
          <w:szCs w:val="24"/>
        </w:rPr>
        <w:t xml:space="preserve">. </w:t>
      </w:r>
      <w:r w:rsidRPr="00191C75">
        <w:rPr>
          <w:rFonts w:ascii="Times New Roman" w:hAnsi="Times New Roman"/>
          <w:sz w:val="24"/>
          <w:szCs w:val="24"/>
        </w:rPr>
        <w:t xml:space="preserve">Por sua vez, a janela de evento é quando o estudo passa de uma avaliação prévia dos dados coletados para a comparação de dados posteriores ao evento. </w:t>
      </w:r>
    </w:p>
    <w:p w14:paraId="430BBE01" w14:textId="77777777" w:rsidR="003E49D5" w:rsidRPr="00191C75" w:rsidRDefault="003E49D5" w:rsidP="00B37D61">
      <w:pPr>
        <w:spacing w:after="0" w:line="240" w:lineRule="auto"/>
        <w:ind w:firstLine="567"/>
        <w:jc w:val="both"/>
        <w:rPr>
          <w:rFonts w:ascii="Times New Roman" w:hAnsi="Times New Roman"/>
          <w:sz w:val="24"/>
          <w:szCs w:val="24"/>
          <w:shd w:val="clear" w:color="auto" w:fill="FFFFFF"/>
        </w:rPr>
      </w:pPr>
    </w:p>
    <w:p w14:paraId="3484FAE4" w14:textId="77777777" w:rsidR="003E49D5" w:rsidRPr="00191C75" w:rsidRDefault="003E49D5" w:rsidP="009D2A19">
      <w:pPr>
        <w:spacing w:after="0" w:line="240" w:lineRule="auto"/>
        <w:ind w:firstLine="709"/>
        <w:jc w:val="both"/>
        <w:rPr>
          <w:rFonts w:ascii="Times New Roman" w:hAnsi="Times New Roman"/>
          <w:sz w:val="24"/>
          <w:szCs w:val="24"/>
        </w:rPr>
      </w:pPr>
      <w:r w:rsidRPr="00191C75">
        <w:rPr>
          <w:rFonts w:ascii="Times New Roman" w:hAnsi="Times New Roman"/>
          <w:sz w:val="24"/>
          <w:szCs w:val="24"/>
          <w:shd w:val="clear" w:color="auto" w:fill="FFFFFF"/>
        </w:rPr>
        <w:t xml:space="preserve">Assim, para verificação das hipóteses mencionadas, considera-se a janela de comparação, sendo constituída pelos períodos de </w:t>
      </w:r>
      <w:r w:rsidRPr="00191C75">
        <w:rPr>
          <w:rFonts w:ascii="Times New Roman" w:hAnsi="Times New Roman"/>
          <w:sz w:val="24"/>
          <w:szCs w:val="24"/>
          <w:lang w:eastAsia="pt-BR"/>
        </w:rPr>
        <w:t>22 (1 mês), 132 (6 meses) e 264 (1 ano) dias úteis</w:t>
      </w:r>
      <w:r w:rsidRPr="00191C75">
        <w:rPr>
          <w:rFonts w:ascii="Times New Roman" w:hAnsi="Times New Roman"/>
          <w:sz w:val="24"/>
          <w:szCs w:val="24"/>
          <w:shd w:val="clear" w:color="auto" w:fill="FFFFFF"/>
        </w:rPr>
        <w:t>, conforme maior frequência observada nos estudos empíricos semelhantes (</w:t>
      </w:r>
      <w:proofErr w:type="spellStart"/>
      <w:r w:rsidRPr="00191C75">
        <w:rPr>
          <w:rFonts w:ascii="Times New Roman" w:hAnsi="Times New Roman"/>
          <w:sz w:val="24"/>
          <w:szCs w:val="24"/>
          <w:shd w:val="clear" w:color="auto" w:fill="FFFFFF"/>
        </w:rPr>
        <w:t>inter</w:t>
      </w:r>
      <w:proofErr w:type="spellEnd"/>
      <w:r w:rsidRPr="00191C75">
        <w:rPr>
          <w:rFonts w:ascii="Times New Roman" w:hAnsi="Times New Roman"/>
          <w:sz w:val="24"/>
          <w:szCs w:val="24"/>
          <w:shd w:val="clear" w:color="auto" w:fill="FFFFFF"/>
        </w:rPr>
        <w:t xml:space="preserve">) nacionais da Tabela 3. </w:t>
      </w:r>
      <w:r w:rsidRPr="00191C75">
        <w:rPr>
          <w:rFonts w:ascii="Times New Roman" w:eastAsia="Times New Roman" w:hAnsi="Times New Roman"/>
          <w:sz w:val="24"/>
          <w:szCs w:val="24"/>
        </w:rPr>
        <w:t xml:space="preserve">Seu objetivo é verificar se, durante esse período, os retornos das duas amostras - com e sem participação prévia dos fundos de VC/PE – apresentam ou não comportamento anormal. </w:t>
      </w:r>
      <w:r w:rsidRPr="00191C75">
        <w:rPr>
          <w:rFonts w:ascii="Times New Roman" w:hAnsi="Times New Roman"/>
          <w:sz w:val="24"/>
          <w:szCs w:val="24"/>
        </w:rPr>
        <w:t xml:space="preserve">O procedimento de teste considera as seguintes etapas: </w:t>
      </w:r>
    </w:p>
    <w:p w14:paraId="6C99BE17" w14:textId="77777777" w:rsidR="003E49D5" w:rsidRPr="00191C75" w:rsidRDefault="003E49D5" w:rsidP="00B37D61">
      <w:pPr>
        <w:spacing w:after="0" w:line="240" w:lineRule="auto"/>
        <w:ind w:firstLine="567"/>
        <w:jc w:val="both"/>
        <w:rPr>
          <w:rFonts w:ascii="Times New Roman" w:hAnsi="Times New Roman"/>
          <w:b/>
          <w:sz w:val="24"/>
          <w:szCs w:val="24"/>
        </w:rPr>
      </w:pPr>
    </w:p>
    <w:p w14:paraId="611E5A36" w14:textId="77777777" w:rsidR="003E49D5" w:rsidRPr="00191C75" w:rsidRDefault="003E49D5" w:rsidP="0014300D">
      <w:pPr>
        <w:spacing w:after="0" w:line="240" w:lineRule="auto"/>
        <w:jc w:val="both"/>
        <w:rPr>
          <w:rFonts w:ascii="Times New Roman" w:hAnsi="Times New Roman"/>
          <w:b/>
          <w:sz w:val="24"/>
          <w:szCs w:val="24"/>
        </w:rPr>
      </w:pPr>
      <w:r w:rsidRPr="00191C75">
        <w:rPr>
          <w:rFonts w:ascii="Times New Roman" w:hAnsi="Times New Roman"/>
          <w:b/>
          <w:sz w:val="24"/>
          <w:szCs w:val="24"/>
        </w:rPr>
        <w:t xml:space="preserve">Etapa 1 – Cálculo dos </w:t>
      </w:r>
      <w:proofErr w:type="spellStart"/>
      <w:r w:rsidRPr="00191C75">
        <w:rPr>
          <w:rFonts w:ascii="Times New Roman" w:hAnsi="Times New Roman"/>
          <w:b/>
          <w:sz w:val="24"/>
          <w:szCs w:val="24"/>
        </w:rPr>
        <w:t>ARs</w:t>
      </w:r>
      <w:proofErr w:type="spellEnd"/>
      <w:r w:rsidRPr="00191C75">
        <w:rPr>
          <w:rFonts w:ascii="Times New Roman" w:hAnsi="Times New Roman"/>
          <w:b/>
          <w:sz w:val="24"/>
          <w:szCs w:val="24"/>
        </w:rPr>
        <w:t xml:space="preserve"> e </w:t>
      </w:r>
      <w:proofErr w:type="spellStart"/>
      <w:r w:rsidRPr="00191C75">
        <w:rPr>
          <w:rFonts w:ascii="Times New Roman" w:hAnsi="Times New Roman"/>
          <w:b/>
          <w:sz w:val="24"/>
          <w:szCs w:val="24"/>
        </w:rPr>
        <w:t>CARs</w:t>
      </w:r>
      <w:proofErr w:type="spellEnd"/>
      <w:r w:rsidRPr="00191C75">
        <w:rPr>
          <w:rFonts w:ascii="Times New Roman" w:hAnsi="Times New Roman"/>
          <w:b/>
          <w:sz w:val="24"/>
          <w:szCs w:val="24"/>
        </w:rPr>
        <w:t xml:space="preserve"> da amostra final</w:t>
      </w:r>
    </w:p>
    <w:p w14:paraId="6477AC25" w14:textId="77777777" w:rsidR="003E49D5" w:rsidRPr="00191C75" w:rsidRDefault="003E49D5" w:rsidP="00B37D61">
      <w:pPr>
        <w:spacing w:after="0" w:line="240" w:lineRule="auto"/>
        <w:ind w:firstLine="567"/>
        <w:jc w:val="both"/>
        <w:rPr>
          <w:rFonts w:ascii="Times New Roman" w:hAnsi="Times New Roman"/>
          <w:sz w:val="24"/>
          <w:szCs w:val="24"/>
        </w:rPr>
      </w:pPr>
    </w:p>
    <w:p w14:paraId="5E14022C" w14:textId="77777777" w:rsidR="003E49D5" w:rsidRPr="00191C75" w:rsidRDefault="003E49D5" w:rsidP="009D2A19">
      <w:pPr>
        <w:pStyle w:val="ListParagraph"/>
        <w:numPr>
          <w:ilvl w:val="0"/>
          <w:numId w:val="35"/>
        </w:numPr>
        <w:spacing w:line="240" w:lineRule="auto"/>
        <w:ind w:left="709" w:hanging="709"/>
        <w:jc w:val="both"/>
        <w:rPr>
          <w:color w:val="auto"/>
          <w:lang w:val="pt-BR"/>
        </w:rPr>
      </w:pPr>
      <w:r w:rsidRPr="00191C75">
        <w:rPr>
          <w:color w:val="auto"/>
          <w:lang w:val="pt-BR"/>
        </w:rPr>
        <w:t xml:space="preserve">Primeiramente, são coletados os preços de fechamento das ações da amostra final, bem como a pontuação do índice Ibovespa e </w:t>
      </w:r>
      <w:proofErr w:type="spellStart"/>
      <w:r w:rsidRPr="00191C75">
        <w:rPr>
          <w:color w:val="auto"/>
          <w:lang w:val="pt-BR"/>
        </w:rPr>
        <w:t>IBrX</w:t>
      </w:r>
      <w:proofErr w:type="spellEnd"/>
      <w:r w:rsidRPr="00191C75">
        <w:rPr>
          <w:color w:val="auto"/>
          <w:lang w:val="pt-BR"/>
        </w:rPr>
        <w:t>, durante o período das janelas de comparação, para cálculo de seu retorno, por meio da equação 3;</w:t>
      </w:r>
    </w:p>
    <w:p w14:paraId="40A4400E" w14:textId="77777777" w:rsidR="003E49D5" w:rsidRPr="00191C75" w:rsidRDefault="003E49D5" w:rsidP="009D2A19">
      <w:pPr>
        <w:pStyle w:val="ListParagraph"/>
        <w:spacing w:line="240" w:lineRule="auto"/>
        <w:ind w:left="709" w:hanging="709"/>
        <w:jc w:val="both"/>
        <w:rPr>
          <w:color w:val="auto"/>
          <w:lang w:val="pt-BR"/>
        </w:rPr>
      </w:pPr>
    </w:p>
    <w:p w14:paraId="783A2C67" w14:textId="77777777" w:rsidR="003E49D5" w:rsidRPr="00191C75" w:rsidRDefault="003E49D5" w:rsidP="009D2A19">
      <w:pPr>
        <w:pStyle w:val="ListParagraph"/>
        <w:numPr>
          <w:ilvl w:val="0"/>
          <w:numId w:val="35"/>
        </w:numPr>
        <w:spacing w:line="240" w:lineRule="auto"/>
        <w:ind w:left="709" w:hanging="709"/>
        <w:jc w:val="both"/>
        <w:rPr>
          <w:color w:val="auto"/>
          <w:shd w:val="clear" w:color="auto" w:fill="FFFFFF"/>
          <w:lang w:val="pt-BR"/>
        </w:rPr>
      </w:pPr>
      <w:r w:rsidRPr="00191C75">
        <w:rPr>
          <w:color w:val="auto"/>
          <w:lang w:val="pt-BR"/>
        </w:rPr>
        <w:t xml:space="preserve">Posteriormente, é feito o cálculo dos AR e </w:t>
      </w:r>
      <w:proofErr w:type="spellStart"/>
      <w:r w:rsidRPr="00191C75">
        <w:rPr>
          <w:color w:val="auto"/>
          <w:lang w:val="pt-BR"/>
        </w:rPr>
        <w:t>CAR</w:t>
      </w:r>
      <w:proofErr w:type="spellEnd"/>
      <w:r w:rsidRPr="00191C75">
        <w:rPr>
          <w:color w:val="auto"/>
          <w:lang w:val="pt-BR"/>
        </w:rPr>
        <w:t xml:space="preserve">, via </w:t>
      </w:r>
      <w:r w:rsidRPr="00191C75">
        <w:rPr>
          <w:i/>
          <w:color w:val="auto"/>
          <w:lang w:val="pt-BR"/>
        </w:rPr>
        <w:t xml:space="preserve">software </w:t>
      </w:r>
      <w:proofErr w:type="spellStart"/>
      <w:r w:rsidRPr="00191C75">
        <w:rPr>
          <w:color w:val="auto"/>
          <w:lang w:val="pt-BR"/>
        </w:rPr>
        <w:t>Stata</w:t>
      </w:r>
      <w:proofErr w:type="spellEnd"/>
      <w:r w:rsidRPr="00191C75">
        <w:rPr>
          <w:color w:val="auto"/>
          <w:lang w:val="pt-BR"/>
        </w:rPr>
        <w:t>, para a janela de comparação – equações 1 e 4, respectivamente;</w:t>
      </w:r>
    </w:p>
    <w:p w14:paraId="6AC66B05" w14:textId="77777777" w:rsidR="003E49D5" w:rsidRPr="00191C75" w:rsidRDefault="003E49D5" w:rsidP="009D2A19">
      <w:pPr>
        <w:pStyle w:val="ListParagraph"/>
        <w:spacing w:line="240" w:lineRule="auto"/>
        <w:ind w:left="709" w:hanging="709"/>
        <w:jc w:val="both"/>
        <w:rPr>
          <w:color w:val="auto"/>
          <w:shd w:val="clear" w:color="auto" w:fill="FFFFFF"/>
          <w:lang w:val="pt-BR"/>
        </w:rPr>
      </w:pPr>
    </w:p>
    <w:p w14:paraId="5904858B" w14:textId="77777777" w:rsidR="003E49D5" w:rsidRPr="00191C75" w:rsidRDefault="003E49D5" w:rsidP="009D2A19">
      <w:pPr>
        <w:pStyle w:val="ListParagraph"/>
        <w:numPr>
          <w:ilvl w:val="0"/>
          <w:numId w:val="35"/>
        </w:numPr>
        <w:spacing w:line="240" w:lineRule="auto"/>
        <w:ind w:left="709" w:hanging="709"/>
        <w:jc w:val="both"/>
        <w:rPr>
          <w:rFonts w:eastAsia="Times New Roman"/>
          <w:color w:val="auto"/>
          <w:lang w:val="pt-BR"/>
        </w:rPr>
      </w:pPr>
      <w:r w:rsidRPr="00191C75">
        <w:rPr>
          <w:color w:val="auto"/>
          <w:lang w:val="pt-BR"/>
        </w:rPr>
        <w:t>Após o cálculo dos retornos, verifica-se se sua distribuição é normal ou não. Para tal se utiliza o teste de Shapiro-</w:t>
      </w:r>
      <w:proofErr w:type="spellStart"/>
      <w:r w:rsidRPr="00191C75">
        <w:rPr>
          <w:color w:val="auto"/>
          <w:lang w:val="pt-BR"/>
        </w:rPr>
        <w:t>Wilk</w:t>
      </w:r>
      <w:proofErr w:type="spellEnd"/>
      <w:r w:rsidRPr="00191C75">
        <w:rPr>
          <w:color w:val="auto"/>
          <w:lang w:val="pt-BR"/>
        </w:rPr>
        <w:t xml:space="preserve">, cujas hipóteses nula e alternativa são: </w:t>
      </w:r>
      <w:r w:rsidRPr="00191C75">
        <w:rPr>
          <w:rFonts w:eastAsia="Times New Roman"/>
          <w:color w:val="auto"/>
          <w:lang w:val="pt-BR"/>
        </w:rPr>
        <w:t>H</w:t>
      </w:r>
      <w:r w:rsidRPr="00191C75">
        <w:rPr>
          <w:rFonts w:eastAsia="Times New Roman"/>
          <w:color w:val="auto"/>
          <w:vertAlign w:val="subscript"/>
          <w:lang w:val="pt-BR"/>
        </w:rPr>
        <w:t>0</w:t>
      </w:r>
      <w:r w:rsidRPr="00191C75">
        <w:rPr>
          <w:rFonts w:eastAsia="Times New Roman"/>
          <w:color w:val="auto"/>
          <w:lang w:val="pt-BR"/>
        </w:rPr>
        <w:t>: A distribuição é normal e H</w:t>
      </w:r>
      <w:r w:rsidRPr="00191C75">
        <w:rPr>
          <w:rFonts w:eastAsia="Times New Roman"/>
          <w:color w:val="auto"/>
          <w:vertAlign w:val="subscript"/>
          <w:lang w:val="pt-BR"/>
        </w:rPr>
        <w:t>1</w:t>
      </w:r>
      <w:r w:rsidRPr="00191C75">
        <w:rPr>
          <w:rFonts w:eastAsia="Times New Roman"/>
          <w:color w:val="auto"/>
          <w:lang w:val="pt-BR"/>
        </w:rPr>
        <w:t>: A distribuição não é normal.</w:t>
      </w:r>
    </w:p>
    <w:p w14:paraId="1D840089" w14:textId="77777777" w:rsidR="003E49D5" w:rsidRPr="00191C75" w:rsidRDefault="003E49D5" w:rsidP="009D2A19">
      <w:pPr>
        <w:pStyle w:val="ListParagraph"/>
        <w:spacing w:line="240" w:lineRule="auto"/>
        <w:ind w:left="709" w:hanging="709"/>
        <w:jc w:val="both"/>
        <w:rPr>
          <w:color w:val="auto"/>
          <w:lang w:val="pt-BR"/>
        </w:rPr>
      </w:pPr>
    </w:p>
    <w:p w14:paraId="6C1555D8" w14:textId="50522FCD" w:rsidR="003E49D5" w:rsidRPr="00191C75" w:rsidRDefault="003E49D5" w:rsidP="009D2A19">
      <w:pPr>
        <w:pStyle w:val="ListParagraph"/>
        <w:numPr>
          <w:ilvl w:val="0"/>
          <w:numId w:val="35"/>
        </w:numPr>
        <w:spacing w:line="240" w:lineRule="auto"/>
        <w:ind w:left="709" w:hanging="709"/>
        <w:jc w:val="both"/>
        <w:rPr>
          <w:rFonts w:eastAsia="Times New Roman"/>
          <w:color w:val="auto"/>
          <w:lang w:val="pt-BR"/>
        </w:rPr>
      </w:pPr>
      <w:r w:rsidRPr="00191C75">
        <w:rPr>
          <w:color w:val="auto"/>
          <w:lang w:val="pt-BR"/>
        </w:rPr>
        <w:t xml:space="preserve">Caso a distribuição seja normal, utiliza-se o teste de diferença de médias </w:t>
      </w:r>
      <w:proofErr w:type="spellStart"/>
      <w:r w:rsidRPr="00191C75">
        <w:rPr>
          <w:i/>
          <w:color w:val="auto"/>
          <w:lang w:val="pt-BR"/>
        </w:rPr>
        <w:t>unpaired</w:t>
      </w:r>
      <w:proofErr w:type="spellEnd"/>
      <w:r w:rsidRPr="00191C75">
        <w:rPr>
          <w:i/>
          <w:color w:val="auto"/>
          <w:lang w:val="pt-BR"/>
        </w:rPr>
        <w:t xml:space="preserve"> t </w:t>
      </w:r>
      <w:proofErr w:type="spellStart"/>
      <w:r w:rsidRPr="00191C75">
        <w:rPr>
          <w:i/>
          <w:color w:val="auto"/>
          <w:lang w:val="pt-BR"/>
        </w:rPr>
        <w:t>test</w:t>
      </w:r>
      <w:proofErr w:type="spellEnd"/>
      <w:r w:rsidRPr="00191C75">
        <w:rPr>
          <w:i/>
          <w:color w:val="auto"/>
          <w:lang w:val="pt-BR"/>
        </w:rPr>
        <w:t xml:space="preserve"> </w:t>
      </w:r>
      <w:r w:rsidRPr="00191C75">
        <w:rPr>
          <w:color w:val="auto"/>
          <w:lang w:val="pt-BR"/>
        </w:rPr>
        <w:t xml:space="preserve">com um nível de significância de 5%. Contudo, caso a distribuição não seja normal, utiliza-se o teste não paramétrico de </w:t>
      </w:r>
      <w:proofErr w:type="spellStart"/>
      <w:r w:rsidRPr="00191C75">
        <w:rPr>
          <w:color w:val="auto"/>
          <w:lang w:val="pt-BR"/>
        </w:rPr>
        <w:t>Wilcoxon</w:t>
      </w:r>
      <w:proofErr w:type="spellEnd"/>
      <w:r w:rsidRPr="00191C75">
        <w:rPr>
          <w:color w:val="auto"/>
          <w:lang w:val="pt-BR"/>
        </w:rPr>
        <w:t xml:space="preserve"> para duas amostras independentes </w:t>
      </w:r>
      <w:r w:rsidRPr="00191C75">
        <w:rPr>
          <w:noProof/>
          <w:color w:val="auto"/>
          <w:lang w:val="pt-BR"/>
        </w:rPr>
        <w:t>(</w:t>
      </w:r>
      <w:r w:rsidR="003E3696" w:rsidRPr="00191C75">
        <w:rPr>
          <w:noProof/>
          <w:color w:val="auto"/>
          <w:lang w:val="pt-BR"/>
        </w:rPr>
        <w:t>ANDERSON; SWEENEY; WILLIAMS, 2007</w:t>
      </w:r>
      <w:r w:rsidRPr="00191C75">
        <w:rPr>
          <w:noProof/>
          <w:color w:val="auto"/>
          <w:lang w:val="pt-BR"/>
        </w:rPr>
        <w:t>)</w:t>
      </w:r>
      <w:r w:rsidRPr="00191C75">
        <w:rPr>
          <w:color w:val="auto"/>
          <w:lang w:val="pt-BR"/>
        </w:rPr>
        <w:t xml:space="preserve">. Sendo suas hipóteses nula e alternativa, respectivamente: </w:t>
      </w:r>
      <w:r w:rsidRPr="00191C75">
        <w:rPr>
          <w:rFonts w:eastAsia="Times New Roman"/>
          <w:color w:val="auto"/>
          <w:lang w:val="pt-BR"/>
        </w:rPr>
        <w:t>H</w:t>
      </w:r>
      <w:r w:rsidRPr="00191C75">
        <w:rPr>
          <w:rFonts w:eastAsia="Times New Roman"/>
          <w:color w:val="auto"/>
          <w:vertAlign w:val="subscript"/>
          <w:lang w:val="pt-BR"/>
        </w:rPr>
        <w:t>0</w:t>
      </w:r>
      <w:r w:rsidRPr="00191C75">
        <w:rPr>
          <w:rFonts w:eastAsia="Times New Roman"/>
          <w:color w:val="auto"/>
          <w:lang w:val="pt-BR"/>
        </w:rPr>
        <w:t>: A diferença é igual a zero e H</w:t>
      </w:r>
      <w:r w:rsidRPr="00191C75">
        <w:rPr>
          <w:rFonts w:eastAsia="Times New Roman"/>
          <w:color w:val="auto"/>
          <w:vertAlign w:val="subscript"/>
          <w:lang w:val="pt-BR"/>
        </w:rPr>
        <w:t>1</w:t>
      </w:r>
      <w:r w:rsidRPr="00191C75">
        <w:rPr>
          <w:rFonts w:eastAsia="Times New Roman"/>
          <w:color w:val="auto"/>
          <w:lang w:val="pt-BR"/>
        </w:rPr>
        <w:t>: A diferença não é igual a zero.</w:t>
      </w:r>
    </w:p>
    <w:p w14:paraId="098B23A7" w14:textId="77777777" w:rsidR="003E49D5" w:rsidRPr="00191C75" w:rsidRDefault="003E49D5" w:rsidP="00B37D61">
      <w:pPr>
        <w:spacing w:after="0" w:line="240" w:lineRule="auto"/>
        <w:ind w:firstLine="567"/>
        <w:jc w:val="both"/>
        <w:rPr>
          <w:rFonts w:ascii="Times New Roman" w:hAnsi="Times New Roman"/>
          <w:sz w:val="24"/>
          <w:szCs w:val="24"/>
          <w:highlight w:val="yellow"/>
          <w:shd w:val="clear" w:color="auto" w:fill="FFFFFF"/>
        </w:rPr>
      </w:pPr>
    </w:p>
    <w:p w14:paraId="39E36B9A" w14:textId="77777777" w:rsidR="003E49D5" w:rsidRPr="00191C75" w:rsidRDefault="003E49D5" w:rsidP="00617542">
      <w:pPr>
        <w:spacing w:after="0" w:line="240" w:lineRule="auto"/>
        <w:jc w:val="both"/>
        <w:rPr>
          <w:rFonts w:ascii="Times New Roman" w:hAnsi="Times New Roman"/>
          <w:b/>
          <w:sz w:val="24"/>
          <w:szCs w:val="24"/>
        </w:rPr>
      </w:pPr>
      <w:r w:rsidRPr="00191C75">
        <w:rPr>
          <w:rFonts w:ascii="Times New Roman" w:hAnsi="Times New Roman"/>
          <w:b/>
          <w:sz w:val="24"/>
          <w:szCs w:val="24"/>
        </w:rPr>
        <w:t>Etapa 2 – Teste da hipótese 1</w:t>
      </w:r>
    </w:p>
    <w:p w14:paraId="64A3B3AE" w14:textId="77777777" w:rsidR="003E49D5" w:rsidRPr="00191C75" w:rsidRDefault="003E49D5" w:rsidP="00B37D61">
      <w:pPr>
        <w:spacing w:after="0" w:line="240" w:lineRule="auto"/>
        <w:ind w:firstLine="567"/>
        <w:jc w:val="both"/>
        <w:rPr>
          <w:rFonts w:ascii="Times New Roman" w:hAnsi="Times New Roman"/>
          <w:sz w:val="24"/>
          <w:szCs w:val="24"/>
          <w:shd w:val="clear" w:color="auto" w:fill="FFFFFF"/>
        </w:rPr>
      </w:pPr>
    </w:p>
    <w:p w14:paraId="77311803" w14:textId="77777777" w:rsidR="003E49D5" w:rsidRPr="00191C75" w:rsidRDefault="003E49D5" w:rsidP="009D2A19">
      <w:pPr>
        <w:pStyle w:val="ListParagraph"/>
        <w:numPr>
          <w:ilvl w:val="0"/>
          <w:numId w:val="37"/>
        </w:numPr>
        <w:spacing w:line="240" w:lineRule="auto"/>
        <w:ind w:left="709" w:hanging="709"/>
        <w:jc w:val="both"/>
        <w:rPr>
          <w:color w:val="auto"/>
          <w:shd w:val="clear" w:color="auto" w:fill="FFFFFF"/>
          <w:lang w:val="pt-BR"/>
        </w:rPr>
      </w:pPr>
      <w:r w:rsidRPr="00191C75">
        <w:rPr>
          <w:color w:val="auto"/>
          <w:shd w:val="clear" w:color="auto" w:fill="FFFFFF"/>
          <w:lang w:val="pt-BR"/>
        </w:rPr>
        <w:t xml:space="preserve">Obtenção da média dos </w:t>
      </w:r>
      <w:proofErr w:type="spellStart"/>
      <w:r w:rsidRPr="00191C75">
        <w:rPr>
          <w:color w:val="auto"/>
          <w:shd w:val="clear" w:color="auto" w:fill="FFFFFF"/>
          <w:lang w:val="pt-BR"/>
        </w:rPr>
        <w:t>CARs</w:t>
      </w:r>
      <w:proofErr w:type="spellEnd"/>
      <w:r w:rsidRPr="00191C75">
        <w:rPr>
          <w:color w:val="auto"/>
          <w:shd w:val="clear" w:color="auto" w:fill="FFFFFF"/>
          <w:lang w:val="pt-BR"/>
        </w:rPr>
        <w:t xml:space="preserve"> estatisticamente diferentes de zero, a partir dos resultados da etapa 1. A utilização do CAR, em detrimento do AR, se torna mais adequada para análise de resultados, uma vez que existem dificuldades em determinar a data em que o mercado efetivamente absorve a informação do evento em um estudo.</w:t>
      </w:r>
    </w:p>
    <w:p w14:paraId="31732A52" w14:textId="77777777" w:rsidR="003E49D5" w:rsidRPr="00191C75" w:rsidRDefault="003E49D5" w:rsidP="009D2A19">
      <w:pPr>
        <w:pStyle w:val="ListParagraph"/>
        <w:spacing w:line="240" w:lineRule="auto"/>
        <w:ind w:left="709" w:hanging="709"/>
        <w:jc w:val="both"/>
        <w:rPr>
          <w:color w:val="auto"/>
          <w:shd w:val="clear" w:color="auto" w:fill="FFFFFF"/>
          <w:lang w:val="pt-BR"/>
        </w:rPr>
      </w:pPr>
    </w:p>
    <w:p w14:paraId="2A2B4FC0" w14:textId="77777777" w:rsidR="003E49D5" w:rsidRPr="00191C75" w:rsidRDefault="003E49D5" w:rsidP="009D2A19">
      <w:pPr>
        <w:pStyle w:val="ListParagraph"/>
        <w:numPr>
          <w:ilvl w:val="0"/>
          <w:numId w:val="37"/>
        </w:numPr>
        <w:spacing w:line="240" w:lineRule="auto"/>
        <w:ind w:left="709" w:hanging="709"/>
        <w:jc w:val="both"/>
        <w:rPr>
          <w:color w:val="auto"/>
          <w:shd w:val="clear" w:color="auto" w:fill="FFFFFF"/>
          <w:lang w:val="pt-BR"/>
        </w:rPr>
      </w:pPr>
      <w:r w:rsidRPr="00191C75">
        <w:rPr>
          <w:color w:val="auto"/>
          <w:shd w:val="clear" w:color="auto" w:fill="FFFFFF"/>
          <w:lang w:val="pt-BR"/>
        </w:rPr>
        <w:t xml:space="preserve">Cálculo da diferença de médias entre as médias, por pregão, dos </w:t>
      </w:r>
      <w:proofErr w:type="spellStart"/>
      <w:r w:rsidRPr="00191C75">
        <w:rPr>
          <w:color w:val="auto"/>
          <w:shd w:val="clear" w:color="auto" w:fill="FFFFFF"/>
          <w:lang w:val="pt-BR"/>
        </w:rPr>
        <w:t>CARs</w:t>
      </w:r>
      <w:proofErr w:type="spellEnd"/>
      <w:r w:rsidRPr="00191C75">
        <w:rPr>
          <w:color w:val="auto"/>
          <w:shd w:val="clear" w:color="auto" w:fill="FFFFFF"/>
          <w:lang w:val="pt-BR"/>
        </w:rPr>
        <w:t xml:space="preserve"> do grupo de amostra final das companhias com e sem a participação prévia dos fundos de VC/PE;</w:t>
      </w:r>
    </w:p>
    <w:p w14:paraId="5A9F48EC" w14:textId="77777777" w:rsidR="003E49D5" w:rsidRPr="00191C75" w:rsidRDefault="003E49D5" w:rsidP="009D2A19">
      <w:pPr>
        <w:pStyle w:val="ListParagraph"/>
        <w:spacing w:line="240" w:lineRule="auto"/>
        <w:ind w:left="709" w:hanging="709"/>
        <w:jc w:val="both"/>
        <w:rPr>
          <w:color w:val="auto"/>
          <w:shd w:val="clear" w:color="auto" w:fill="FFFFFF"/>
          <w:lang w:val="pt-BR"/>
        </w:rPr>
      </w:pPr>
    </w:p>
    <w:p w14:paraId="2BBD6D36" w14:textId="77777777" w:rsidR="003E49D5" w:rsidRPr="00191C75" w:rsidRDefault="003E49D5" w:rsidP="009D2A19">
      <w:pPr>
        <w:pStyle w:val="ListParagraph"/>
        <w:numPr>
          <w:ilvl w:val="0"/>
          <w:numId w:val="37"/>
        </w:numPr>
        <w:spacing w:line="240" w:lineRule="auto"/>
        <w:ind w:left="709" w:hanging="709"/>
        <w:jc w:val="both"/>
        <w:rPr>
          <w:color w:val="auto"/>
          <w:shd w:val="clear" w:color="auto" w:fill="FFFFFF"/>
          <w:lang w:val="pt-BR"/>
        </w:rPr>
      </w:pPr>
      <w:r w:rsidRPr="00191C75">
        <w:rPr>
          <w:color w:val="auto"/>
          <w:shd w:val="clear" w:color="auto" w:fill="FFFFFF"/>
          <w:lang w:val="pt-BR"/>
        </w:rPr>
        <w:t xml:space="preserve">Verificação da normalidade da distribuição da diferença mencionada no item II dessa etapa. Caso a distribuição seja normal, aplica-se o teste de diferença de médias </w:t>
      </w:r>
      <w:proofErr w:type="spellStart"/>
      <w:r w:rsidRPr="00191C75">
        <w:rPr>
          <w:i/>
          <w:color w:val="auto"/>
          <w:lang w:val="pt-BR"/>
        </w:rPr>
        <w:t>unpaired</w:t>
      </w:r>
      <w:proofErr w:type="spellEnd"/>
      <w:r w:rsidRPr="00191C75">
        <w:rPr>
          <w:i/>
          <w:color w:val="auto"/>
          <w:lang w:val="pt-BR"/>
        </w:rPr>
        <w:t xml:space="preserve"> t </w:t>
      </w:r>
      <w:proofErr w:type="spellStart"/>
      <w:r w:rsidRPr="00191C75">
        <w:rPr>
          <w:i/>
          <w:color w:val="auto"/>
          <w:lang w:val="pt-BR"/>
        </w:rPr>
        <w:t>test</w:t>
      </w:r>
      <w:proofErr w:type="spellEnd"/>
      <w:r w:rsidRPr="00191C75">
        <w:rPr>
          <w:i/>
          <w:color w:val="auto"/>
          <w:lang w:val="pt-BR"/>
        </w:rPr>
        <w:t xml:space="preserve"> </w:t>
      </w:r>
      <w:r w:rsidRPr="00191C75">
        <w:rPr>
          <w:color w:val="auto"/>
          <w:lang w:val="pt-BR"/>
        </w:rPr>
        <w:t>com um nível de significância de 5%</w:t>
      </w:r>
      <w:r w:rsidRPr="00191C75">
        <w:rPr>
          <w:color w:val="auto"/>
          <w:shd w:val="clear" w:color="auto" w:fill="FFFFFF"/>
          <w:lang w:val="pt-BR"/>
        </w:rPr>
        <w:t xml:space="preserve">. Caso contrário, aplica-se o teste não paramétrico de </w:t>
      </w:r>
      <w:proofErr w:type="spellStart"/>
      <w:r w:rsidRPr="00191C75">
        <w:rPr>
          <w:color w:val="auto"/>
          <w:shd w:val="clear" w:color="auto" w:fill="FFFFFF"/>
          <w:lang w:val="pt-BR"/>
        </w:rPr>
        <w:t>Wilcoxon</w:t>
      </w:r>
      <w:proofErr w:type="spellEnd"/>
      <w:r w:rsidRPr="00191C75">
        <w:rPr>
          <w:color w:val="auto"/>
          <w:shd w:val="clear" w:color="auto" w:fill="FFFFFF"/>
          <w:lang w:val="pt-BR"/>
        </w:rPr>
        <w:t xml:space="preserve"> </w:t>
      </w:r>
      <w:r w:rsidRPr="00191C75">
        <w:rPr>
          <w:color w:val="auto"/>
          <w:lang w:val="pt-BR"/>
        </w:rPr>
        <w:t>para duas amostras independentes;</w:t>
      </w:r>
    </w:p>
    <w:p w14:paraId="1D13848A" w14:textId="77777777" w:rsidR="003E49D5" w:rsidRPr="00191C75" w:rsidRDefault="003E49D5" w:rsidP="009D2A19">
      <w:pPr>
        <w:spacing w:after="0" w:line="240" w:lineRule="auto"/>
        <w:ind w:left="709" w:hanging="709"/>
        <w:jc w:val="both"/>
        <w:rPr>
          <w:rFonts w:ascii="Times New Roman" w:hAnsi="Times New Roman"/>
          <w:sz w:val="24"/>
          <w:szCs w:val="24"/>
          <w:shd w:val="clear" w:color="auto" w:fill="FFFFFF"/>
        </w:rPr>
      </w:pPr>
    </w:p>
    <w:p w14:paraId="10D06665" w14:textId="77777777" w:rsidR="003E49D5" w:rsidRPr="00191C75" w:rsidRDefault="003E49D5" w:rsidP="009D2A19">
      <w:pPr>
        <w:pStyle w:val="ListParagraph"/>
        <w:numPr>
          <w:ilvl w:val="0"/>
          <w:numId w:val="37"/>
        </w:numPr>
        <w:spacing w:line="240" w:lineRule="auto"/>
        <w:ind w:left="709" w:hanging="709"/>
        <w:jc w:val="both"/>
        <w:rPr>
          <w:color w:val="auto"/>
          <w:shd w:val="clear" w:color="auto" w:fill="FFFFFF"/>
          <w:lang w:val="pt-BR"/>
        </w:rPr>
      </w:pPr>
      <w:r w:rsidRPr="00191C75">
        <w:rPr>
          <w:color w:val="auto"/>
          <w:shd w:val="clear" w:color="auto" w:fill="FFFFFF"/>
          <w:lang w:val="pt-BR"/>
        </w:rPr>
        <w:t>Análise da hipótese 1, em que se espera que a maioria das diferenças das médias sejam positivas e estatisticamente diferentes de zero.</w:t>
      </w:r>
    </w:p>
    <w:p w14:paraId="25F4F660" w14:textId="77777777" w:rsidR="003E49D5" w:rsidRPr="00191C75" w:rsidRDefault="003E49D5" w:rsidP="00B37D61">
      <w:pPr>
        <w:spacing w:after="0" w:line="240" w:lineRule="auto"/>
        <w:ind w:firstLine="567"/>
        <w:jc w:val="both"/>
        <w:rPr>
          <w:rFonts w:ascii="Times New Roman" w:hAnsi="Times New Roman"/>
          <w:sz w:val="24"/>
          <w:szCs w:val="24"/>
          <w:shd w:val="clear" w:color="auto" w:fill="FFFFFF"/>
        </w:rPr>
      </w:pPr>
    </w:p>
    <w:p w14:paraId="3BB3106D" w14:textId="77777777" w:rsidR="00131831" w:rsidRPr="00191C75" w:rsidRDefault="00131831">
      <w:pPr>
        <w:spacing w:after="0" w:line="240" w:lineRule="auto"/>
        <w:rPr>
          <w:rFonts w:ascii="Times New Roman" w:hAnsi="Times New Roman"/>
          <w:b/>
          <w:sz w:val="24"/>
          <w:szCs w:val="24"/>
        </w:rPr>
      </w:pPr>
      <w:r w:rsidRPr="00191C75">
        <w:rPr>
          <w:rFonts w:ascii="Times New Roman" w:hAnsi="Times New Roman"/>
          <w:b/>
          <w:sz w:val="24"/>
          <w:szCs w:val="24"/>
        </w:rPr>
        <w:br w:type="page"/>
      </w:r>
    </w:p>
    <w:p w14:paraId="419C97DE" w14:textId="43269F1E" w:rsidR="003E49D5" w:rsidRPr="00191C75" w:rsidRDefault="003E49D5" w:rsidP="00617542">
      <w:pPr>
        <w:spacing w:after="0" w:line="240" w:lineRule="auto"/>
        <w:rPr>
          <w:rFonts w:ascii="Times New Roman" w:hAnsi="Times New Roman"/>
          <w:b/>
          <w:sz w:val="24"/>
          <w:szCs w:val="24"/>
        </w:rPr>
      </w:pPr>
      <w:r w:rsidRPr="00191C75">
        <w:rPr>
          <w:rFonts w:ascii="Times New Roman" w:hAnsi="Times New Roman"/>
          <w:b/>
          <w:sz w:val="24"/>
          <w:szCs w:val="24"/>
        </w:rPr>
        <w:lastRenderedPageBreak/>
        <w:t>Etapa 3 - Teste da hipótese 2</w:t>
      </w:r>
    </w:p>
    <w:p w14:paraId="2F7AF511" w14:textId="77777777" w:rsidR="003E49D5" w:rsidRPr="00191C75" w:rsidRDefault="003E49D5" w:rsidP="00B37D61">
      <w:pPr>
        <w:spacing w:after="0" w:line="240" w:lineRule="auto"/>
        <w:ind w:firstLine="567"/>
        <w:jc w:val="both"/>
        <w:rPr>
          <w:rFonts w:ascii="Times New Roman" w:hAnsi="Times New Roman"/>
          <w:sz w:val="24"/>
          <w:szCs w:val="24"/>
          <w:shd w:val="clear" w:color="auto" w:fill="FFFFFF"/>
        </w:rPr>
      </w:pPr>
    </w:p>
    <w:p w14:paraId="1B1869B7" w14:textId="77777777" w:rsidR="003E49D5" w:rsidRPr="00191C75" w:rsidRDefault="003E49D5" w:rsidP="009D2A19">
      <w:pPr>
        <w:pStyle w:val="ListParagraph"/>
        <w:numPr>
          <w:ilvl w:val="0"/>
          <w:numId w:val="38"/>
        </w:numPr>
        <w:spacing w:line="240" w:lineRule="auto"/>
        <w:ind w:left="709" w:hanging="709"/>
        <w:jc w:val="both"/>
        <w:rPr>
          <w:color w:val="auto"/>
          <w:shd w:val="clear" w:color="auto" w:fill="FFFFFF"/>
          <w:lang w:val="pt-BR"/>
        </w:rPr>
      </w:pPr>
      <w:r w:rsidRPr="00191C75">
        <w:rPr>
          <w:color w:val="auto"/>
          <w:shd w:val="clear" w:color="auto" w:fill="FFFFFF"/>
          <w:lang w:val="pt-BR"/>
        </w:rPr>
        <w:t xml:space="preserve">Identificação do percentual de participação prévia dos fundos de VC/PE no capital social das companhias com </w:t>
      </w:r>
      <w:proofErr w:type="spellStart"/>
      <w:r w:rsidRPr="00191C75">
        <w:rPr>
          <w:color w:val="auto"/>
          <w:shd w:val="clear" w:color="auto" w:fill="FFFFFF"/>
          <w:lang w:val="pt-BR"/>
        </w:rPr>
        <w:t>CARs</w:t>
      </w:r>
      <w:proofErr w:type="spellEnd"/>
      <w:r w:rsidRPr="00191C75">
        <w:rPr>
          <w:color w:val="auto"/>
          <w:shd w:val="clear" w:color="auto" w:fill="FFFFFF"/>
          <w:lang w:val="pt-BR"/>
        </w:rPr>
        <w:t xml:space="preserve"> estatisticamente diferentes de zero, a partir dos testes realizados na etapa 1.</w:t>
      </w:r>
    </w:p>
    <w:p w14:paraId="129C5179" w14:textId="77777777" w:rsidR="003E49D5" w:rsidRPr="00191C75" w:rsidRDefault="003E49D5" w:rsidP="009D2A19">
      <w:pPr>
        <w:spacing w:after="0" w:line="240" w:lineRule="auto"/>
        <w:ind w:left="709" w:hanging="709"/>
        <w:jc w:val="both"/>
        <w:rPr>
          <w:rFonts w:ascii="Times New Roman" w:hAnsi="Times New Roman"/>
          <w:sz w:val="24"/>
          <w:szCs w:val="24"/>
          <w:shd w:val="clear" w:color="auto" w:fill="FFFFFF"/>
        </w:rPr>
      </w:pPr>
    </w:p>
    <w:p w14:paraId="11EE4715" w14:textId="77777777" w:rsidR="003E49D5" w:rsidRPr="00191C75" w:rsidRDefault="003E49D5" w:rsidP="009D2A19">
      <w:pPr>
        <w:pStyle w:val="ListParagraph"/>
        <w:numPr>
          <w:ilvl w:val="0"/>
          <w:numId w:val="38"/>
        </w:numPr>
        <w:spacing w:line="240" w:lineRule="auto"/>
        <w:ind w:left="709" w:hanging="709"/>
        <w:jc w:val="both"/>
        <w:rPr>
          <w:color w:val="auto"/>
          <w:shd w:val="clear" w:color="auto" w:fill="FFFFFF"/>
          <w:lang w:val="pt-BR"/>
        </w:rPr>
      </w:pPr>
      <w:r w:rsidRPr="00191C75">
        <w:rPr>
          <w:color w:val="auto"/>
          <w:shd w:val="clear" w:color="auto" w:fill="FFFFFF"/>
          <w:lang w:val="pt-BR"/>
        </w:rPr>
        <w:t>Distribuição das companhias em quartis, por percentual de participação prévia no seu capital social, pelos fundos de VC/PE;</w:t>
      </w:r>
    </w:p>
    <w:p w14:paraId="7D29A5F9" w14:textId="77777777" w:rsidR="003E49D5" w:rsidRPr="00191C75" w:rsidRDefault="003E49D5" w:rsidP="009D2A19">
      <w:pPr>
        <w:spacing w:after="0" w:line="240" w:lineRule="auto"/>
        <w:ind w:left="709" w:hanging="709"/>
        <w:jc w:val="both"/>
        <w:rPr>
          <w:rFonts w:ascii="Times New Roman" w:hAnsi="Times New Roman"/>
          <w:sz w:val="24"/>
          <w:szCs w:val="24"/>
          <w:shd w:val="clear" w:color="auto" w:fill="FFFFFF"/>
        </w:rPr>
      </w:pPr>
    </w:p>
    <w:p w14:paraId="41D14E3F" w14:textId="77777777" w:rsidR="003E49D5" w:rsidRPr="00191C75" w:rsidRDefault="003E49D5" w:rsidP="009D2A19">
      <w:pPr>
        <w:pStyle w:val="ListParagraph"/>
        <w:numPr>
          <w:ilvl w:val="0"/>
          <w:numId w:val="38"/>
        </w:numPr>
        <w:spacing w:line="240" w:lineRule="auto"/>
        <w:ind w:left="709" w:hanging="709"/>
        <w:jc w:val="both"/>
        <w:rPr>
          <w:color w:val="auto"/>
          <w:shd w:val="clear" w:color="auto" w:fill="FFFFFF"/>
          <w:lang w:val="pt-BR"/>
        </w:rPr>
      </w:pPr>
      <w:r w:rsidRPr="00191C75">
        <w:rPr>
          <w:color w:val="auto"/>
          <w:shd w:val="clear" w:color="auto" w:fill="FFFFFF"/>
          <w:lang w:val="pt-BR"/>
        </w:rPr>
        <w:t xml:space="preserve">Identificação das companhias que participam do primeiro (Q1) e quarto quartis (Q4); </w:t>
      </w:r>
    </w:p>
    <w:p w14:paraId="15B3AC6B" w14:textId="77777777" w:rsidR="003E49D5" w:rsidRPr="00191C75" w:rsidRDefault="003E49D5" w:rsidP="009D2A19">
      <w:pPr>
        <w:pStyle w:val="ListParagraph"/>
        <w:spacing w:line="240" w:lineRule="auto"/>
        <w:ind w:left="709" w:hanging="709"/>
        <w:jc w:val="both"/>
        <w:rPr>
          <w:color w:val="auto"/>
          <w:shd w:val="clear" w:color="auto" w:fill="FFFFFF"/>
          <w:lang w:val="pt-BR"/>
        </w:rPr>
      </w:pPr>
    </w:p>
    <w:p w14:paraId="28EA3D12" w14:textId="77777777" w:rsidR="003E49D5" w:rsidRPr="00191C75" w:rsidRDefault="003E49D5" w:rsidP="009D2A19">
      <w:pPr>
        <w:pStyle w:val="ListParagraph"/>
        <w:numPr>
          <w:ilvl w:val="0"/>
          <w:numId w:val="38"/>
        </w:numPr>
        <w:spacing w:line="240" w:lineRule="auto"/>
        <w:ind w:left="709" w:hanging="709"/>
        <w:jc w:val="both"/>
        <w:rPr>
          <w:color w:val="auto"/>
          <w:shd w:val="clear" w:color="auto" w:fill="FFFFFF"/>
          <w:lang w:val="pt-BR"/>
        </w:rPr>
      </w:pPr>
      <w:r w:rsidRPr="00191C75">
        <w:rPr>
          <w:color w:val="auto"/>
          <w:shd w:val="clear" w:color="auto" w:fill="FFFFFF"/>
          <w:lang w:val="pt-BR"/>
        </w:rPr>
        <w:t xml:space="preserve">Cálculo da diferença entre as médias dos </w:t>
      </w:r>
      <w:proofErr w:type="spellStart"/>
      <w:r w:rsidRPr="00191C75">
        <w:rPr>
          <w:color w:val="auto"/>
          <w:shd w:val="clear" w:color="auto" w:fill="FFFFFF"/>
          <w:lang w:val="pt-BR"/>
        </w:rPr>
        <w:t>CARs</w:t>
      </w:r>
      <w:proofErr w:type="spellEnd"/>
      <w:r w:rsidRPr="00191C75">
        <w:rPr>
          <w:color w:val="auto"/>
          <w:shd w:val="clear" w:color="auto" w:fill="FFFFFF"/>
          <w:lang w:val="pt-BR"/>
        </w:rPr>
        <w:t>, por pregão, das companhias que participam do Q4 (alta participação) e Q1 (baixa participação);</w:t>
      </w:r>
    </w:p>
    <w:p w14:paraId="3D3597DB" w14:textId="77777777" w:rsidR="003E49D5" w:rsidRPr="00191C75" w:rsidRDefault="003E49D5" w:rsidP="009D2A19">
      <w:pPr>
        <w:pStyle w:val="ListParagraph"/>
        <w:spacing w:line="240" w:lineRule="auto"/>
        <w:ind w:left="709" w:hanging="709"/>
        <w:jc w:val="both"/>
        <w:rPr>
          <w:color w:val="auto"/>
          <w:shd w:val="clear" w:color="auto" w:fill="FFFFFF"/>
          <w:lang w:val="pt-BR"/>
        </w:rPr>
      </w:pPr>
    </w:p>
    <w:p w14:paraId="4C0F8EDD" w14:textId="77777777" w:rsidR="003E49D5" w:rsidRPr="00191C75" w:rsidRDefault="003E49D5" w:rsidP="009D2A19">
      <w:pPr>
        <w:pStyle w:val="ListParagraph"/>
        <w:numPr>
          <w:ilvl w:val="0"/>
          <w:numId w:val="38"/>
        </w:numPr>
        <w:spacing w:line="240" w:lineRule="auto"/>
        <w:ind w:left="709" w:hanging="709"/>
        <w:jc w:val="both"/>
        <w:rPr>
          <w:color w:val="auto"/>
          <w:shd w:val="clear" w:color="auto" w:fill="FFFFFF"/>
          <w:lang w:val="pt-BR"/>
        </w:rPr>
      </w:pPr>
      <w:r w:rsidRPr="00191C75">
        <w:rPr>
          <w:color w:val="auto"/>
          <w:shd w:val="clear" w:color="auto" w:fill="FFFFFF"/>
          <w:lang w:val="pt-BR"/>
        </w:rPr>
        <w:t xml:space="preserve">Verificação da normalidade da distribuição da diferença mencionada no item IV dessa etapa. Caso a distribuição seja normal, aplica-se o teste de diferença de médias </w:t>
      </w:r>
      <w:proofErr w:type="spellStart"/>
      <w:r w:rsidRPr="00191C75">
        <w:rPr>
          <w:i/>
          <w:color w:val="auto"/>
          <w:lang w:val="pt-BR"/>
        </w:rPr>
        <w:t>unpaired</w:t>
      </w:r>
      <w:proofErr w:type="spellEnd"/>
      <w:r w:rsidRPr="00191C75">
        <w:rPr>
          <w:i/>
          <w:color w:val="auto"/>
          <w:lang w:val="pt-BR"/>
        </w:rPr>
        <w:t xml:space="preserve"> t </w:t>
      </w:r>
      <w:proofErr w:type="spellStart"/>
      <w:r w:rsidRPr="00191C75">
        <w:rPr>
          <w:i/>
          <w:color w:val="auto"/>
          <w:lang w:val="pt-BR"/>
        </w:rPr>
        <w:t>test</w:t>
      </w:r>
      <w:proofErr w:type="spellEnd"/>
      <w:r w:rsidRPr="00191C75">
        <w:rPr>
          <w:i/>
          <w:color w:val="auto"/>
          <w:lang w:val="pt-BR"/>
        </w:rPr>
        <w:t xml:space="preserve"> </w:t>
      </w:r>
      <w:r w:rsidRPr="00191C75">
        <w:rPr>
          <w:color w:val="auto"/>
          <w:lang w:val="pt-BR"/>
        </w:rPr>
        <w:t>com um nível de significância de 5%</w:t>
      </w:r>
      <w:r w:rsidRPr="00191C75">
        <w:rPr>
          <w:color w:val="auto"/>
          <w:shd w:val="clear" w:color="auto" w:fill="FFFFFF"/>
          <w:lang w:val="pt-BR"/>
        </w:rPr>
        <w:t xml:space="preserve">. Caso contrário, aplica-se o teste não paramétrico de </w:t>
      </w:r>
      <w:proofErr w:type="spellStart"/>
      <w:r w:rsidRPr="00191C75">
        <w:rPr>
          <w:color w:val="auto"/>
          <w:shd w:val="clear" w:color="auto" w:fill="FFFFFF"/>
          <w:lang w:val="pt-BR"/>
        </w:rPr>
        <w:t>Wilcoxon</w:t>
      </w:r>
      <w:proofErr w:type="spellEnd"/>
      <w:r w:rsidRPr="00191C75">
        <w:rPr>
          <w:color w:val="auto"/>
          <w:shd w:val="clear" w:color="auto" w:fill="FFFFFF"/>
          <w:lang w:val="pt-BR"/>
        </w:rPr>
        <w:t xml:space="preserve"> </w:t>
      </w:r>
      <w:r w:rsidRPr="00191C75">
        <w:rPr>
          <w:color w:val="auto"/>
          <w:lang w:val="pt-BR"/>
        </w:rPr>
        <w:t>para duas amostras independentes</w:t>
      </w:r>
      <w:r w:rsidRPr="00191C75">
        <w:rPr>
          <w:color w:val="auto"/>
          <w:shd w:val="clear" w:color="auto" w:fill="FFFFFF"/>
          <w:lang w:val="pt-BR"/>
        </w:rPr>
        <w:t>;</w:t>
      </w:r>
    </w:p>
    <w:p w14:paraId="0BE89A1E" w14:textId="77777777" w:rsidR="003E49D5" w:rsidRPr="00191C75" w:rsidRDefault="003E49D5" w:rsidP="009D2A19">
      <w:pPr>
        <w:spacing w:after="0" w:line="240" w:lineRule="auto"/>
        <w:ind w:left="709" w:hanging="709"/>
        <w:jc w:val="both"/>
        <w:rPr>
          <w:rFonts w:ascii="Times New Roman" w:hAnsi="Times New Roman"/>
          <w:sz w:val="24"/>
          <w:szCs w:val="24"/>
          <w:shd w:val="clear" w:color="auto" w:fill="FFFFFF"/>
        </w:rPr>
      </w:pPr>
    </w:p>
    <w:p w14:paraId="756D1E9A" w14:textId="77777777" w:rsidR="003E49D5" w:rsidRPr="00191C75" w:rsidRDefault="003E49D5" w:rsidP="009D2A19">
      <w:pPr>
        <w:pStyle w:val="ListParagraph"/>
        <w:numPr>
          <w:ilvl w:val="0"/>
          <w:numId w:val="38"/>
        </w:numPr>
        <w:spacing w:line="240" w:lineRule="auto"/>
        <w:ind w:left="709" w:hanging="709"/>
        <w:jc w:val="both"/>
        <w:rPr>
          <w:color w:val="auto"/>
          <w:shd w:val="clear" w:color="auto" w:fill="FFFFFF"/>
          <w:lang w:val="pt-BR"/>
        </w:rPr>
      </w:pPr>
      <w:r w:rsidRPr="00191C75">
        <w:rPr>
          <w:color w:val="auto"/>
          <w:shd w:val="clear" w:color="auto" w:fill="FFFFFF"/>
          <w:lang w:val="pt-BR"/>
        </w:rPr>
        <w:t>Análise da hipótese 2, em que se espera que a maioria das diferenças (Q4 – Q1) sejam positivas e estatisticamente diferentes de zero.</w:t>
      </w:r>
    </w:p>
    <w:p w14:paraId="763BF281" w14:textId="77777777" w:rsidR="003E49D5" w:rsidRPr="00191C75" w:rsidRDefault="003E49D5" w:rsidP="00B37D61">
      <w:pPr>
        <w:spacing w:after="0" w:line="240" w:lineRule="auto"/>
        <w:ind w:firstLine="567"/>
        <w:jc w:val="both"/>
        <w:rPr>
          <w:rFonts w:ascii="Times New Roman" w:hAnsi="Times New Roman"/>
          <w:sz w:val="24"/>
          <w:szCs w:val="24"/>
          <w:shd w:val="clear" w:color="auto" w:fill="FFFFFF"/>
        </w:rPr>
      </w:pPr>
    </w:p>
    <w:p w14:paraId="74D322BD" w14:textId="3EA2FC52" w:rsidR="003E49D5" w:rsidRPr="00191C75" w:rsidRDefault="00131831" w:rsidP="00131831">
      <w:pPr>
        <w:pStyle w:val="Heading1"/>
        <w:spacing w:line="240" w:lineRule="auto"/>
        <w:jc w:val="both"/>
        <w:rPr>
          <w:color w:val="auto"/>
          <w:lang w:val="pt-BR"/>
        </w:rPr>
      </w:pPr>
      <w:bookmarkStart w:id="16" w:name="_Toc498228382"/>
      <w:r w:rsidRPr="00191C75">
        <w:rPr>
          <w:color w:val="auto"/>
          <w:lang w:val="pt-BR"/>
        </w:rPr>
        <w:t xml:space="preserve">4.      </w:t>
      </w:r>
      <w:r w:rsidR="003E49D5" w:rsidRPr="00191C75">
        <w:rPr>
          <w:color w:val="auto"/>
          <w:lang w:val="pt-BR"/>
        </w:rPr>
        <w:t xml:space="preserve">Análise de </w:t>
      </w:r>
      <w:r w:rsidR="001D2435" w:rsidRPr="00191C75">
        <w:rPr>
          <w:color w:val="auto"/>
          <w:lang w:val="pt-BR"/>
        </w:rPr>
        <w:t>r</w:t>
      </w:r>
      <w:r w:rsidR="003E49D5" w:rsidRPr="00191C75">
        <w:rPr>
          <w:color w:val="auto"/>
          <w:lang w:val="pt-BR"/>
        </w:rPr>
        <w:t>esultados</w:t>
      </w:r>
      <w:bookmarkEnd w:id="16"/>
    </w:p>
    <w:p w14:paraId="62E8B1CE" w14:textId="77777777" w:rsidR="003E49D5" w:rsidRPr="00191C75" w:rsidRDefault="003E49D5" w:rsidP="00B37D61">
      <w:pPr>
        <w:spacing w:after="0" w:line="240" w:lineRule="auto"/>
        <w:ind w:firstLine="567"/>
        <w:jc w:val="both"/>
        <w:rPr>
          <w:rFonts w:ascii="Times New Roman" w:hAnsi="Times New Roman"/>
          <w:sz w:val="24"/>
          <w:szCs w:val="24"/>
          <w:shd w:val="clear" w:color="auto" w:fill="FFFFFF"/>
        </w:rPr>
      </w:pPr>
    </w:p>
    <w:p w14:paraId="13FA2380" w14:textId="77777777" w:rsidR="003E49D5" w:rsidRPr="00191C75" w:rsidRDefault="003E49D5" w:rsidP="00B37D61">
      <w:pPr>
        <w:spacing w:after="0" w:line="240" w:lineRule="auto"/>
        <w:ind w:firstLine="567"/>
        <w:jc w:val="both"/>
        <w:rPr>
          <w:rFonts w:ascii="Times New Roman" w:hAnsi="Times New Roman"/>
          <w:sz w:val="24"/>
          <w:szCs w:val="24"/>
          <w:lang w:eastAsia="pt-BR"/>
        </w:rPr>
      </w:pPr>
      <w:r w:rsidRPr="00191C75">
        <w:rPr>
          <w:rFonts w:ascii="Times New Roman" w:hAnsi="Times New Roman"/>
          <w:sz w:val="24"/>
          <w:szCs w:val="24"/>
          <w:shd w:val="clear" w:color="auto" w:fill="FFFFFF"/>
        </w:rPr>
        <w:t xml:space="preserve">Para confirmação da </w:t>
      </w:r>
      <w:r w:rsidRPr="00191C75">
        <w:rPr>
          <w:rFonts w:ascii="Times New Roman" w:hAnsi="Times New Roman"/>
          <w:sz w:val="24"/>
          <w:szCs w:val="24"/>
          <w:lang w:eastAsia="pt-BR"/>
        </w:rPr>
        <w:t xml:space="preserve">hipótese 1 - companhias com participação prévia de fundos de VC/PE possuem retornos superiores àquelas sem tais participações - aplica-se as etapas 1 e 2. A tabela 5 apresenta os testes de normalidade e de diferença de médias das 36 companhias que possuem participação prévia de fundos de VC/PE no seu capital social. Verifica-se que os testes de normalidade são semelhantes para ambos índices de mercado. Entretanto, no caso dos testes de diferenças de médias, o índice Ibovespa (36) possui mais companhias com </w:t>
      </w:r>
      <w:proofErr w:type="spellStart"/>
      <w:r w:rsidRPr="00191C75">
        <w:rPr>
          <w:rFonts w:ascii="Times New Roman" w:hAnsi="Times New Roman"/>
          <w:sz w:val="24"/>
          <w:szCs w:val="24"/>
          <w:lang w:eastAsia="pt-BR"/>
        </w:rPr>
        <w:t>CARs</w:t>
      </w:r>
      <w:proofErr w:type="spellEnd"/>
      <w:r w:rsidRPr="00191C75">
        <w:rPr>
          <w:rFonts w:ascii="Times New Roman" w:hAnsi="Times New Roman"/>
          <w:sz w:val="24"/>
          <w:szCs w:val="24"/>
          <w:lang w:eastAsia="pt-BR"/>
        </w:rPr>
        <w:t xml:space="preserve"> com resultados estatisticamente diferentes de zero que o índice </w:t>
      </w:r>
      <w:proofErr w:type="spellStart"/>
      <w:r w:rsidRPr="00191C75">
        <w:rPr>
          <w:rFonts w:ascii="Times New Roman" w:hAnsi="Times New Roman"/>
          <w:sz w:val="24"/>
          <w:szCs w:val="24"/>
          <w:lang w:eastAsia="pt-BR"/>
        </w:rPr>
        <w:t>IBrX</w:t>
      </w:r>
      <w:proofErr w:type="spellEnd"/>
      <w:r w:rsidRPr="00191C75">
        <w:rPr>
          <w:rFonts w:ascii="Times New Roman" w:hAnsi="Times New Roman"/>
          <w:sz w:val="24"/>
          <w:szCs w:val="24"/>
          <w:lang w:eastAsia="pt-BR"/>
        </w:rPr>
        <w:t xml:space="preserve"> (33), no caso da maior janela (264 pregões). Além disso, também se verifica um aumento de diferenças significativas no último período (264 pregões), em relação ao primeiro (22 pregões), sendo de 63,64% (36) para o Ibovespa e de 57,14% (33) para o </w:t>
      </w:r>
      <w:proofErr w:type="spellStart"/>
      <w:r w:rsidRPr="00191C75">
        <w:rPr>
          <w:rFonts w:ascii="Times New Roman" w:hAnsi="Times New Roman"/>
          <w:sz w:val="24"/>
          <w:szCs w:val="24"/>
          <w:lang w:eastAsia="pt-BR"/>
        </w:rPr>
        <w:t>IBrX</w:t>
      </w:r>
      <w:proofErr w:type="spellEnd"/>
      <w:r w:rsidRPr="00191C75">
        <w:rPr>
          <w:rFonts w:ascii="Times New Roman" w:hAnsi="Times New Roman"/>
          <w:sz w:val="24"/>
          <w:szCs w:val="24"/>
          <w:lang w:eastAsia="pt-BR"/>
        </w:rPr>
        <w:t xml:space="preserve">. Logo, para a última janela (264 pregões), tem-se que 100% e 92% dos </w:t>
      </w:r>
      <w:proofErr w:type="spellStart"/>
      <w:r w:rsidRPr="00191C75">
        <w:rPr>
          <w:rFonts w:ascii="Times New Roman" w:hAnsi="Times New Roman"/>
          <w:sz w:val="24"/>
          <w:szCs w:val="24"/>
          <w:lang w:eastAsia="pt-BR"/>
        </w:rPr>
        <w:t>CARs</w:t>
      </w:r>
      <w:proofErr w:type="spellEnd"/>
      <w:r w:rsidRPr="00191C75">
        <w:rPr>
          <w:rFonts w:ascii="Times New Roman" w:hAnsi="Times New Roman"/>
          <w:sz w:val="24"/>
          <w:szCs w:val="24"/>
          <w:lang w:eastAsia="pt-BR"/>
        </w:rPr>
        <w:t xml:space="preserve"> das companhias são estatisticamente diferentes de zero, para os índices Ibovespa e </w:t>
      </w:r>
      <w:proofErr w:type="spellStart"/>
      <w:r w:rsidRPr="00191C75">
        <w:rPr>
          <w:rFonts w:ascii="Times New Roman" w:hAnsi="Times New Roman"/>
          <w:sz w:val="24"/>
          <w:szCs w:val="24"/>
          <w:lang w:eastAsia="pt-BR"/>
        </w:rPr>
        <w:t>IBrX</w:t>
      </w:r>
      <w:proofErr w:type="spellEnd"/>
      <w:r w:rsidRPr="00191C75">
        <w:rPr>
          <w:rFonts w:ascii="Times New Roman" w:hAnsi="Times New Roman"/>
          <w:sz w:val="24"/>
          <w:szCs w:val="24"/>
          <w:lang w:eastAsia="pt-BR"/>
        </w:rPr>
        <w:t>, respectivamente.</w:t>
      </w:r>
    </w:p>
    <w:p w14:paraId="7E309C0B" w14:textId="77777777" w:rsidR="003E49D5" w:rsidRPr="00191C75" w:rsidRDefault="003E49D5" w:rsidP="00B37D61">
      <w:pPr>
        <w:spacing w:after="0" w:line="240" w:lineRule="auto"/>
        <w:ind w:firstLine="567"/>
        <w:jc w:val="both"/>
        <w:rPr>
          <w:rFonts w:ascii="Times New Roman" w:hAnsi="Times New Roman"/>
          <w:sz w:val="24"/>
          <w:szCs w:val="24"/>
          <w:lang w:eastAsia="pt-BR"/>
        </w:rPr>
      </w:pPr>
    </w:p>
    <w:p w14:paraId="29DF5B31" w14:textId="77777777" w:rsidR="003E49D5" w:rsidRPr="00191C75" w:rsidRDefault="003E49D5" w:rsidP="00E31814">
      <w:pPr>
        <w:pStyle w:val="Caption"/>
        <w:keepNext/>
        <w:spacing w:after="0"/>
        <w:jc w:val="center"/>
        <w:rPr>
          <w:b/>
          <w:i w:val="0"/>
          <w:color w:val="auto"/>
          <w:sz w:val="20"/>
          <w:szCs w:val="24"/>
          <w:lang w:val="pt-BR"/>
        </w:rPr>
      </w:pPr>
      <w:r w:rsidRPr="00191C75">
        <w:rPr>
          <w:b/>
          <w:i w:val="0"/>
          <w:color w:val="auto"/>
          <w:sz w:val="20"/>
          <w:szCs w:val="24"/>
          <w:lang w:val="pt-BR"/>
        </w:rPr>
        <w:t xml:space="preserve">Tabela 5 – Teste de normalidade e diferença de médias dos </w:t>
      </w:r>
      <w:proofErr w:type="spellStart"/>
      <w:r w:rsidRPr="00191C75">
        <w:rPr>
          <w:b/>
          <w:i w:val="0"/>
          <w:color w:val="auto"/>
          <w:sz w:val="20"/>
          <w:szCs w:val="24"/>
          <w:lang w:val="pt-BR"/>
        </w:rPr>
        <w:t>CARs</w:t>
      </w:r>
      <w:proofErr w:type="spellEnd"/>
      <w:r w:rsidRPr="00191C75">
        <w:rPr>
          <w:b/>
          <w:i w:val="0"/>
          <w:color w:val="auto"/>
          <w:sz w:val="20"/>
          <w:szCs w:val="24"/>
          <w:lang w:val="pt-BR"/>
        </w:rPr>
        <w:t xml:space="preserve"> para as companhias com participação prévia de fundos de VC/PE</w:t>
      </w:r>
    </w:p>
    <w:p w14:paraId="78BA30C0" w14:textId="77777777" w:rsidR="003E49D5" w:rsidRPr="00191C75" w:rsidRDefault="003E49D5" w:rsidP="00E31814">
      <w:pPr>
        <w:spacing w:after="0" w:line="240" w:lineRule="auto"/>
        <w:ind w:firstLine="567"/>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903"/>
        <w:gridCol w:w="903"/>
        <w:gridCol w:w="903"/>
        <w:gridCol w:w="903"/>
        <w:gridCol w:w="903"/>
        <w:gridCol w:w="903"/>
        <w:gridCol w:w="903"/>
        <w:gridCol w:w="903"/>
      </w:tblGrid>
      <w:tr w:rsidR="00191C75" w:rsidRPr="00191C75" w14:paraId="704FF38E" w14:textId="77777777" w:rsidTr="00B37D61">
        <w:trPr>
          <w:jc w:val="center"/>
        </w:trPr>
        <w:tc>
          <w:tcPr>
            <w:tcW w:w="1838" w:type="dxa"/>
            <w:vMerge w:val="restart"/>
            <w:shd w:val="clear" w:color="auto" w:fill="auto"/>
          </w:tcPr>
          <w:p w14:paraId="19ED40AB" w14:textId="77777777" w:rsidR="003E49D5" w:rsidRPr="00191C75" w:rsidRDefault="003E49D5" w:rsidP="008E7936">
            <w:pPr>
              <w:spacing w:after="0" w:line="240" w:lineRule="auto"/>
              <w:rPr>
                <w:rFonts w:ascii="Times New Roman" w:eastAsia="SimSun" w:hAnsi="Times New Roman"/>
                <w:b/>
                <w:sz w:val="20"/>
                <w:szCs w:val="20"/>
              </w:rPr>
            </w:pPr>
            <w:r w:rsidRPr="00191C75">
              <w:rPr>
                <w:rFonts w:ascii="Times New Roman" w:eastAsia="SimSun" w:hAnsi="Times New Roman"/>
                <w:b/>
                <w:sz w:val="20"/>
                <w:szCs w:val="20"/>
              </w:rPr>
              <w:t>Janelas de comparação por pregão</w:t>
            </w:r>
          </w:p>
        </w:tc>
        <w:tc>
          <w:tcPr>
            <w:tcW w:w="7224" w:type="dxa"/>
            <w:gridSpan w:val="8"/>
            <w:shd w:val="clear" w:color="auto" w:fill="auto"/>
          </w:tcPr>
          <w:p w14:paraId="3DD6B0F8" w14:textId="77777777" w:rsidR="003E49D5" w:rsidRPr="00191C75" w:rsidRDefault="003E49D5" w:rsidP="00E31814">
            <w:pPr>
              <w:spacing w:after="0" w:line="240" w:lineRule="auto"/>
              <w:ind w:firstLine="567"/>
              <w:jc w:val="center"/>
              <w:rPr>
                <w:rFonts w:ascii="Times New Roman" w:eastAsia="SimSun" w:hAnsi="Times New Roman"/>
                <w:b/>
                <w:sz w:val="20"/>
                <w:szCs w:val="20"/>
              </w:rPr>
            </w:pPr>
            <w:r w:rsidRPr="00191C75">
              <w:rPr>
                <w:rFonts w:ascii="Times New Roman" w:eastAsia="SimSun" w:hAnsi="Times New Roman"/>
                <w:b/>
                <w:sz w:val="20"/>
                <w:szCs w:val="20"/>
              </w:rPr>
              <w:t>Índices de mercado</w:t>
            </w:r>
          </w:p>
        </w:tc>
      </w:tr>
      <w:tr w:rsidR="00191C75" w:rsidRPr="00191C75" w14:paraId="2741D2DE" w14:textId="77777777" w:rsidTr="00B37D61">
        <w:trPr>
          <w:jc w:val="center"/>
        </w:trPr>
        <w:tc>
          <w:tcPr>
            <w:tcW w:w="1838" w:type="dxa"/>
            <w:vMerge/>
            <w:shd w:val="clear" w:color="auto" w:fill="auto"/>
          </w:tcPr>
          <w:p w14:paraId="463F8A25" w14:textId="77777777" w:rsidR="003E49D5" w:rsidRPr="00191C75" w:rsidRDefault="003E49D5" w:rsidP="008E7936">
            <w:pPr>
              <w:spacing w:after="0" w:line="240" w:lineRule="auto"/>
              <w:rPr>
                <w:rFonts w:ascii="Times New Roman" w:eastAsia="SimSun" w:hAnsi="Times New Roman"/>
                <w:b/>
                <w:sz w:val="20"/>
                <w:szCs w:val="20"/>
              </w:rPr>
            </w:pPr>
          </w:p>
        </w:tc>
        <w:tc>
          <w:tcPr>
            <w:tcW w:w="3612" w:type="dxa"/>
            <w:gridSpan w:val="4"/>
            <w:shd w:val="clear" w:color="auto" w:fill="auto"/>
          </w:tcPr>
          <w:p w14:paraId="0EA37527" w14:textId="77777777" w:rsidR="003E49D5" w:rsidRPr="00191C75" w:rsidRDefault="003E49D5" w:rsidP="00E31814">
            <w:pPr>
              <w:spacing w:after="0" w:line="240" w:lineRule="auto"/>
              <w:ind w:firstLine="567"/>
              <w:jc w:val="center"/>
              <w:rPr>
                <w:rFonts w:ascii="Times New Roman" w:eastAsia="SimSun" w:hAnsi="Times New Roman"/>
                <w:b/>
                <w:sz w:val="20"/>
                <w:szCs w:val="20"/>
              </w:rPr>
            </w:pPr>
            <w:r w:rsidRPr="00191C75">
              <w:rPr>
                <w:rFonts w:ascii="Times New Roman" w:eastAsia="SimSun" w:hAnsi="Times New Roman"/>
                <w:b/>
                <w:sz w:val="20"/>
                <w:szCs w:val="20"/>
              </w:rPr>
              <w:t>Ibovespa</w:t>
            </w:r>
          </w:p>
        </w:tc>
        <w:tc>
          <w:tcPr>
            <w:tcW w:w="3612" w:type="dxa"/>
            <w:gridSpan w:val="4"/>
            <w:shd w:val="clear" w:color="auto" w:fill="auto"/>
          </w:tcPr>
          <w:p w14:paraId="2FD20620" w14:textId="77777777" w:rsidR="003E49D5" w:rsidRPr="00191C75" w:rsidRDefault="003E49D5" w:rsidP="00E31814">
            <w:pPr>
              <w:spacing w:after="0" w:line="240" w:lineRule="auto"/>
              <w:ind w:firstLine="567"/>
              <w:jc w:val="center"/>
              <w:rPr>
                <w:rFonts w:ascii="Times New Roman" w:eastAsia="SimSun" w:hAnsi="Times New Roman"/>
                <w:b/>
                <w:sz w:val="20"/>
                <w:szCs w:val="20"/>
              </w:rPr>
            </w:pPr>
            <w:proofErr w:type="spellStart"/>
            <w:r w:rsidRPr="00191C75">
              <w:rPr>
                <w:rFonts w:ascii="Times New Roman" w:eastAsia="SimSun" w:hAnsi="Times New Roman"/>
                <w:b/>
                <w:sz w:val="20"/>
                <w:szCs w:val="20"/>
              </w:rPr>
              <w:t>IBrX</w:t>
            </w:r>
            <w:proofErr w:type="spellEnd"/>
          </w:p>
        </w:tc>
      </w:tr>
      <w:tr w:rsidR="00191C75" w:rsidRPr="00191C75" w14:paraId="586A3398" w14:textId="77777777" w:rsidTr="00B37D61">
        <w:trPr>
          <w:jc w:val="center"/>
        </w:trPr>
        <w:tc>
          <w:tcPr>
            <w:tcW w:w="1838" w:type="dxa"/>
            <w:vMerge/>
            <w:shd w:val="clear" w:color="auto" w:fill="auto"/>
          </w:tcPr>
          <w:p w14:paraId="23434EF0" w14:textId="77777777" w:rsidR="003E49D5" w:rsidRPr="00191C75" w:rsidRDefault="003E49D5" w:rsidP="008E7936">
            <w:pPr>
              <w:spacing w:after="0" w:line="240" w:lineRule="auto"/>
              <w:rPr>
                <w:rFonts w:ascii="Times New Roman" w:eastAsia="SimSun" w:hAnsi="Times New Roman"/>
                <w:b/>
                <w:sz w:val="20"/>
                <w:szCs w:val="20"/>
              </w:rPr>
            </w:pPr>
          </w:p>
        </w:tc>
        <w:tc>
          <w:tcPr>
            <w:tcW w:w="903" w:type="dxa"/>
            <w:shd w:val="clear" w:color="auto" w:fill="auto"/>
          </w:tcPr>
          <w:p w14:paraId="6838212E"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Normal</w:t>
            </w:r>
          </w:p>
        </w:tc>
        <w:tc>
          <w:tcPr>
            <w:tcW w:w="903" w:type="dxa"/>
            <w:shd w:val="clear" w:color="auto" w:fill="auto"/>
          </w:tcPr>
          <w:p w14:paraId="4C5DD34D"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Não normal</w:t>
            </w:r>
          </w:p>
        </w:tc>
        <w:tc>
          <w:tcPr>
            <w:tcW w:w="903" w:type="dxa"/>
            <w:shd w:val="clear" w:color="auto" w:fill="auto"/>
          </w:tcPr>
          <w:p w14:paraId="468018E6"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Média = 0</w:t>
            </w:r>
          </w:p>
        </w:tc>
        <w:tc>
          <w:tcPr>
            <w:tcW w:w="903" w:type="dxa"/>
            <w:shd w:val="clear" w:color="auto" w:fill="auto"/>
          </w:tcPr>
          <w:p w14:paraId="3B4806EC"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Média ≠ 0</w:t>
            </w:r>
          </w:p>
        </w:tc>
        <w:tc>
          <w:tcPr>
            <w:tcW w:w="903" w:type="dxa"/>
            <w:shd w:val="clear" w:color="auto" w:fill="auto"/>
          </w:tcPr>
          <w:p w14:paraId="553E5DA1"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Normal</w:t>
            </w:r>
          </w:p>
        </w:tc>
        <w:tc>
          <w:tcPr>
            <w:tcW w:w="903" w:type="dxa"/>
            <w:shd w:val="clear" w:color="auto" w:fill="auto"/>
          </w:tcPr>
          <w:p w14:paraId="549AD7C8"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Não normal</w:t>
            </w:r>
          </w:p>
        </w:tc>
        <w:tc>
          <w:tcPr>
            <w:tcW w:w="903" w:type="dxa"/>
            <w:shd w:val="clear" w:color="auto" w:fill="auto"/>
          </w:tcPr>
          <w:p w14:paraId="5354FBE1"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Média = 0</w:t>
            </w:r>
          </w:p>
        </w:tc>
        <w:tc>
          <w:tcPr>
            <w:tcW w:w="903" w:type="dxa"/>
            <w:shd w:val="clear" w:color="auto" w:fill="auto"/>
          </w:tcPr>
          <w:p w14:paraId="7E4FD9F9"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Média ≠ 0</w:t>
            </w:r>
          </w:p>
        </w:tc>
      </w:tr>
      <w:tr w:rsidR="00191C75" w:rsidRPr="00191C75" w14:paraId="1AB509AA" w14:textId="77777777" w:rsidTr="00B37D61">
        <w:trPr>
          <w:jc w:val="center"/>
        </w:trPr>
        <w:tc>
          <w:tcPr>
            <w:tcW w:w="1838" w:type="dxa"/>
            <w:shd w:val="clear" w:color="auto" w:fill="auto"/>
          </w:tcPr>
          <w:p w14:paraId="7D4A3E15" w14:textId="77777777" w:rsidR="003E49D5" w:rsidRPr="00191C75" w:rsidRDefault="003E49D5" w:rsidP="008E7936">
            <w:pPr>
              <w:spacing w:after="0" w:line="240" w:lineRule="auto"/>
              <w:rPr>
                <w:rFonts w:ascii="Times New Roman" w:eastAsia="SimSun" w:hAnsi="Times New Roman"/>
                <w:sz w:val="20"/>
                <w:szCs w:val="20"/>
              </w:rPr>
            </w:pPr>
            <w:r w:rsidRPr="00191C75">
              <w:rPr>
                <w:rFonts w:ascii="Times New Roman" w:eastAsia="SimSun" w:hAnsi="Times New Roman"/>
                <w:sz w:val="20"/>
                <w:szCs w:val="20"/>
              </w:rPr>
              <w:t>1 mês ou 22</w:t>
            </w:r>
          </w:p>
        </w:tc>
        <w:tc>
          <w:tcPr>
            <w:tcW w:w="903" w:type="dxa"/>
            <w:shd w:val="clear" w:color="auto" w:fill="auto"/>
          </w:tcPr>
          <w:p w14:paraId="243CB31A"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35</w:t>
            </w:r>
          </w:p>
        </w:tc>
        <w:tc>
          <w:tcPr>
            <w:tcW w:w="903" w:type="dxa"/>
            <w:shd w:val="clear" w:color="auto" w:fill="auto"/>
          </w:tcPr>
          <w:p w14:paraId="47AFAF82"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w:t>
            </w:r>
          </w:p>
        </w:tc>
        <w:tc>
          <w:tcPr>
            <w:tcW w:w="903" w:type="dxa"/>
            <w:shd w:val="clear" w:color="auto" w:fill="auto"/>
          </w:tcPr>
          <w:p w14:paraId="39ECD782"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14</w:t>
            </w:r>
          </w:p>
        </w:tc>
        <w:tc>
          <w:tcPr>
            <w:tcW w:w="903" w:type="dxa"/>
            <w:shd w:val="clear" w:color="auto" w:fill="auto"/>
          </w:tcPr>
          <w:p w14:paraId="4E14626E"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22</w:t>
            </w:r>
          </w:p>
        </w:tc>
        <w:tc>
          <w:tcPr>
            <w:tcW w:w="903" w:type="dxa"/>
            <w:shd w:val="clear" w:color="auto" w:fill="auto"/>
          </w:tcPr>
          <w:p w14:paraId="7F10E562"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35</w:t>
            </w:r>
          </w:p>
        </w:tc>
        <w:tc>
          <w:tcPr>
            <w:tcW w:w="903" w:type="dxa"/>
            <w:shd w:val="clear" w:color="auto" w:fill="auto"/>
          </w:tcPr>
          <w:p w14:paraId="463CCF1F"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w:t>
            </w:r>
          </w:p>
        </w:tc>
        <w:tc>
          <w:tcPr>
            <w:tcW w:w="903" w:type="dxa"/>
            <w:shd w:val="clear" w:color="auto" w:fill="auto"/>
          </w:tcPr>
          <w:p w14:paraId="25E2AF1B"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15</w:t>
            </w:r>
          </w:p>
        </w:tc>
        <w:tc>
          <w:tcPr>
            <w:tcW w:w="903" w:type="dxa"/>
            <w:shd w:val="clear" w:color="auto" w:fill="auto"/>
          </w:tcPr>
          <w:p w14:paraId="0464664B"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21</w:t>
            </w:r>
          </w:p>
        </w:tc>
      </w:tr>
      <w:tr w:rsidR="00191C75" w:rsidRPr="00191C75" w14:paraId="6CF3A2EB" w14:textId="77777777" w:rsidTr="00B37D61">
        <w:trPr>
          <w:jc w:val="center"/>
        </w:trPr>
        <w:tc>
          <w:tcPr>
            <w:tcW w:w="1838" w:type="dxa"/>
            <w:shd w:val="clear" w:color="auto" w:fill="auto"/>
          </w:tcPr>
          <w:p w14:paraId="2E407E00" w14:textId="77777777" w:rsidR="003E49D5" w:rsidRPr="00191C75" w:rsidRDefault="003E49D5" w:rsidP="008E7936">
            <w:pPr>
              <w:spacing w:after="0" w:line="240" w:lineRule="auto"/>
              <w:rPr>
                <w:rFonts w:ascii="Times New Roman" w:eastAsia="SimSun" w:hAnsi="Times New Roman"/>
                <w:sz w:val="20"/>
                <w:szCs w:val="20"/>
              </w:rPr>
            </w:pPr>
            <w:r w:rsidRPr="00191C75">
              <w:rPr>
                <w:rFonts w:ascii="Times New Roman" w:eastAsia="SimSun" w:hAnsi="Times New Roman"/>
                <w:sz w:val="20"/>
                <w:szCs w:val="20"/>
              </w:rPr>
              <w:t>6 meses ou 132</w:t>
            </w:r>
          </w:p>
        </w:tc>
        <w:tc>
          <w:tcPr>
            <w:tcW w:w="903" w:type="dxa"/>
            <w:shd w:val="clear" w:color="auto" w:fill="auto"/>
          </w:tcPr>
          <w:p w14:paraId="7B2E8529"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36</w:t>
            </w:r>
          </w:p>
        </w:tc>
        <w:tc>
          <w:tcPr>
            <w:tcW w:w="903" w:type="dxa"/>
            <w:shd w:val="clear" w:color="auto" w:fill="auto"/>
          </w:tcPr>
          <w:p w14:paraId="42B77AD1"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w:t>
            </w:r>
          </w:p>
        </w:tc>
        <w:tc>
          <w:tcPr>
            <w:tcW w:w="903" w:type="dxa"/>
            <w:shd w:val="clear" w:color="auto" w:fill="auto"/>
          </w:tcPr>
          <w:p w14:paraId="13EF86C2"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6</w:t>
            </w:r>
          </w:p>
        </w:tc>
        <w:tc>
          <w:tcPr>
            <w:tcW w:w="903" w:type="dxa"/>
            <w:shd w:val="clear" w:color="auto" w:fill="auto"/>
          </w:tcPr>
          <w:p w14:paraId="67118A5B"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30</w:t>
            </w:r>
          </w:p>
        </w:tc>
        <w:tc>
          <w:tcPr>
            <w:tcW w:w="903" w:type="dxa"/>
            <w:shd w:val="clear" w:color="auto" w:fill="auto"/>
          </w:tcPr>
          <w:p w14:paraId="26F5A2A5"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36</w:t>
            </w:r>
          </w:p>
        </w:tc>
        <w:tc>
          <w:tcPr>
            <w:tcW w:w="903" w:type="dxa"/>
            <w:shd w:val="clear" w:color="auto" w:fill="auto"/>
          </w:tcPr>
          <w:p w14:paraId="386D68C3"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w:t>
            </w:r>
          </w:p>
        </w:tc>
        <w:tc>
          <w:tcPr>
            <w:tcW w:w="903" w:type="dxa"/>
            <w:shd w:val="clear" w:color="auto" w:fill="auto"/>
          </w:tcPr>
          <w:p w14:paraId="5858CBFE"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6</w:t>
            </w:r>
          </w:p>
        </w:tc>
        <w:tc>
          <w:tcPr>
            <w:tcW w:w="903" w:type="dxa"/>
            <w:shd w:val="clear" w:color="auto" w:fill="auto"/>
          </w:tcPr>
          <w:p w14:paraId="6196B03B"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30</w:t>
            </w:r>
          </w:p>
        </w:tc>
      </w:tr>
      <w:tr w:rsidR="003E49D5" w:rsidRPr="00191C75" w14:paraId="789F88AE" w14:textId="77777777" w:rsidTr="00B37D61">
        <w:trPr>
          <w:jc w:val="center"/>
        </w:trPr>
        <w:tc>
          <w:tcPr>
            <w:tcW w:w="1838" w:type="dxa"/>
            <w:shd w:val="clear" w:color="auto" w:fill="auto"/>
          </w:tcPr>
          <w:p w14:paraId="59BE0941" w14:textId="77777777" w:rsidR="003E49D5" w:rsidRPr="00191C75" w:rsidRDefault="003E49D5" w:rsidP="008E7936">
            <w:pPr>
              <w:spacing w:after="0" w:line="240" w:lineRule="auto"/>
              <w:rPr>
                <w:rFonts w:ascii="Times New Roman" w:eastAsia="SimSun" w:hAnsi="Times New Roman"/>
                <w:sz w:val="20"/>
                <w:szCs w:val="20"/>
              </w:rPr>
            </w:pPr>
            <w:r w:rsidRPr="00191C75">
              <w:rPr>
                <w:rFonts w:ascii="Times New Roman" w:eastAsia="SimSun" w:hAnsi="Times New Roman"/>
                <w:sz w:val="20"/>
                <w:szCs w:val="20"/>
              </w:rPr>
              <w:t>1 ano ou 264</w:t>
            </w:r>
          </w:p>
        </w:tc>
        <w:tc>
          <w:tcPr>
            <w:tcW w:w="903" w:type="dxa"/>
            <w:shd w:val="clear" w:color="auto" w:fill="auto"/>
          </w:tcPr>
          <w:p w14:paraId="6A75F46D"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36</w:t>
            </w:r>
          </w:p>
        </w:tc>
        <w:tc>
          <w:tcPr>
            <w:tcW w:w="903" w:type="dxa"/>
            <w:shd w:val="clear" w:color="auto" w:fill="auto"/>
          </w:tcPr>
          <w:p w14:paraId="4A2EF66E"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w:t>
            </w:r>
          </w:p>
        </w:tc>
        <w:tc>
          <w:tcPr>
            <w:tcW w:w="903" w:type="dxa"/>
            <w:shd w:val="clear" w:color="auto" w:fill="auto"/>
          </w:tcPr>
          <w:p w14:paraId="06B0A4F8"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w:t>
            </w:r>
          </w:p>
        </w:tc>
        <w:tc>
          <w:tcPr>
            <w:tcW w:w="903" w:type="dxa"/>
            <w:shd w:val="clear" w:color="auto" w:fill="auto"/>
          </w:tcPr>
          <w:p w14:paraId="41B56AC0"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36</w:t>
            </w:r>
          </w:p>
        </w:tc>
        <w:tc>
          <w:tcPr>
            <w:tcW w:w="903" w:type="dxa"/>
            <w:shd w:val="clear" w:color="auto" w:fill="auto"/>
          </w:tcPr>
          <w:p w14:paraId="67CD2B7A"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36</w:t>
            </w:r>
          </w:p>
        </w:tc>
        <w:tc>
          <w:tcPr>
            <w:tcW w:w="903" w:type="dxa"/>
            <w:shd w:val="clear" w:color="auto" w:fill="auto"/>
          </w:tcPr>
          <w:p w14:paraId="4509DE75"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w:t>
            </w:r>
          </w:p>
        </w:tc>
        <w:tc>
          <w:tcPr>
            <w:tcW w:w="903" w:type="dxa"/>
            <w:shd w:val="clear" w:color="auto" w:fill="auto"/>
          </w:tcPr>
          <w:p w14:paraId="26A80100"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w:t>
            </w:r>
          </w:p>
        </w:tc>
        <w:tc>
          <w:tcPr>
            <w:tcW w:w="903" w:type="dxa"/>
            <w:shd w:val="clear" w:color="auto" w:fill="auto"/>
          </w:tcPr>
          <w:p w14:paraId="163B3651"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33</w:t>
            </w:r>
          </w:p>
        </w:tc>
      </w:tr>
    </w:tbl>
    <w:p w14:paraId="1B4B7173" w14:textId="77777777" w:rsidR="003E49D5" w:rsidRPr="00191C75" w:rsidRDefault="003E49D5" w:rsidP="00FD5AB6">
      <w:pPr>
        <w:spacing w:after="0" w:line="240" w:lineRule="auto"/>
        <w:ind w:firstLine="567"/>
        <w:jc w:val="both"/>
        <w:rPr>
          <w:rFonts w:ascii="Times New Roman" w:hAnsi="Times New Roman"/>
          <w:sz w:val="24"/>
          <w:szCs w:val="24"/>
          <w:lang w:eastAsia="pt-BR"/>
        </w:rPr>
      </w:pPr>
    </w:p>
    <w:p w14:paraId="384C1488" w14:textId="77777777" w:rsidR="003E49D5" w:rsidRPr="00191C75" w:rsidRDefault="003E49D5" w:rsidP="009D2A19">
      <w:pPr>
        <w:spacing w:after="0" w:line="240" w:lineRule="auto"/>
        <w:ind w:firstLine="709"/>
        <w:jc w:val="both"/>
        <w:rPr>
          <w:rFonts w:ascii="Times New Roman" w:hAnsi="Times New Roman"/>
          <w:sz w:val="24"/>
          <w:szCs w:val="24"/>
          <w:lang w:eastAsia="pt-BR"/>
        </w:rPr>
      </w:pPr>
      <w:r w:rsidRPr="00191C75">
        <w:rPr>
          <w:rFonts w:ascii="Times New Roman" w:hAnsi="Times New Roman"/>
          <w:sz w:val="24"/>
          <w:szCs w:val="24"/>
          <w:lang w:eastAsia="pt-BR"/>
        </w:rPr>
        <w:t xml:space="preserve">Por sua vez, a tabela 6 apresenta os mesmos testes da tabela 5, sendo que para as 47 companhias que não possuem participação prévia de fundos de VC/PE no seu capital social. Verifica-se que os testes de normalidade também são semelhantes para ambos índices de </w:t>
      </w:r>
      <w:r w:rsidRPr="00191C75">
        <w:rPr>
          <w:rFonts w:ascii="Times New Roman" w:hAnsi="Times New Roman"/>
          <w:sz w:val="24"/>
          <w:szCs w:val="24"/>
          <w:lang w:eastAsia="pt-BR"/>
        </w:rPr>
        <w:lastRenderedPageBreak/>
        <w:t xml:space="preserve">mercado, assim como os testes de diferenças de médias. O índice Ibovespa e </w:t>
      </w:r>
      <w:proofErr w:type="spellStart"/>
      <w:r w:rsidRPr="00191C75">
        <w:rPr>
          <w:rFonts w:ascii="Times New Roman" w:hAnsi="Times New Roman"/>
          <w:sz w:val="24"/>
          <w:szCs w:val="24"/>
          <w:lang w:eastAsia="pt-BR"/>
        </w:rPr>
        <w:t>IBrX</w:t>
      </w:r>
      <w:proofErr w:type="spellEnd"/>
      <w:r w:rsidRPr="00191C75">
        <w:rPr>
          <w:rFonts w:ascii="Times New Roman" w:hAnsi="Times New Roman"/>
          <w:sz w:val="24"/>
          <w:szCs w:val="24"/>
          <w:lang w:eastAsia="pt-BR"/>
        </w:rPr>
        <w:t xml:space="preserve"> possuem 46 e 45 companhias com </w:t>
      </w:r>
      <w:proofErr w:type="spellStart"/>
      <w:r w:rsidRPr="00191C75">
        <w:rPr>
          <w:rFonts w:ascii="Times New Roman" w:hAnsi="Times New Roman"/>
          <w:sz w:val="24"/>
          <w:szCs w:val="24"/>
          <w:lang w:eastAsia="pt-BR"/>
        </w:rPr>
        <w:t>CARs</w:t>
      </w:r>
      <w:proofErr w:type="spellEnd"/>
      <w:r w:rsidRPr="00191C75">
        <w:rPr>
          <w:rFonts w:ascii="Times New Roman" w:hAnsi="Times New Roman"/>
          <w:sz w:val="24"/>
          <w:szCs w:val="24"/>
          <w:lang w:eastAsia="pt-BR"/>
        </w:rPr>
        <w:t xml:space="preserve"> com resultados estatisticamente diferentes de zero. Identifica-se aumento menor de diferenças significativas no último período (264 dias), em relação ao primeiro (22 dias), sendo de 17,95% (46) para o Ibovespa e de 21,62% (45) para o </w:t>
      </w:r>
      <w:proofErr w:type="spellStart"/>
      <w:r w:rsidRPr="00191C75">
        <w:rPr>
          <w:rFonts w:ascii="Times New Roman" w:hAnsi="Times New Roman"/>
          <w:sz w:val="24"/>
          <w:szCs w:val="24"/>
          <w:lang w:eastAsia="pt-BR"/>
        </w:rPr>
        <w:t>IBrX</w:t>
      </w:r>
      <w:proofErr w:type="spellEnd"/>
      <w:r w:rsidRPr="00191C75">
        <w:rPr>
          <w:rFonts w:ascii="Times New Roman" w:hAnsi="Times New Roman"/>
          <w:sz w:val="24"/>
          <w:szCs w:val="24"/>
          <w:lang w:eastAsia="pt-BR"/>
        </w:rPr>
        <w:t xml:space="preserve">. Logo, para a última janela (264 pregões), tem-se que 98% e 96% dos </w:t>
      </w:r>
      <w:proofErr w:type="spellStart"/>
      <w:r w:rsidRPr="00191C75">
        <w:rPr>
          <w:rFonts w:ascii="Times New Roman" w:hAnsi="Times New Roman"/>
          <w:sz w:val="24"/>
          <w:szCs w:val="24"/>
          <w:lang w:eastAsia="pt-BR"/>
        </w:rPr>
        <w:t>CARs</w:t>
      </w:r>
      <w:proofErr w:type="spellEnd"/>
      <w:r w:rsidRPr="00191C75">
        <w:rPr>
          <w:rFonts w:ascii="Times New Roman" w:hAnsi="Times New Roman"/>
          <w:sz w:val="24"/>
          <w:szCs w:val="24"/>
          <w:lang w:eastAsia="pt-BR"/>
        </w:rPr>
        <w:t xml:space="preserve"> das companhias são estatisticamente diferentes de zero, para os índices Ibovespa e </w:t>
      </w:r>
      <w:proofErr w:type="spellStart"/>
      <w:r w:rsidRPr="00191C75">
        <w:rPr>
          <w:rFonts w:ascii="Times New Roman" w:hAnsi="Times New Roman"/>
          <w:sz w:val="24"/>
          <w:szCs w:val="24"/>
          <w:lang w:eastAsia="pt-BR"/>
        </w:rPr>
        <w:t>IBrX</w:t>
      </w:r>
      <w:proofErr w:type="spellEnd"/>
      <w:r w:rsidRPr="00191C75">
        <w:rPr>
          <w:rFonts w:ascii="Times New Roman" w:hAnsi="Times New Roman"/>
          <w:sz w:val="24"/>
          <w:szCs w:val="24"/>
          <w:lang w:eastAsia="pt-BR"/>
        </w:rPr>
        <w:t>, respectivamente.</w:t>
      </w:r>
    </w:p>
    <w:p w14:paraId="59BC7162" w14:textId="77777777" w:rsidR="003E49D5" w:rsidRPr="00191C75" w:rsidRDefault="003E49D5" w:rsidP="00B37D61">
      <w:pPr>
        <w:spacing w:after="0" w:line="240" w:lineRule="auto"/>
        <w:ind w:firstLine="567"/>
        <w:jc w:val="both"/>
        <w:rPr>
          <w:rFonts w:ascii="Times New Roman" w:hAnsi="Times New Roman"/>
          <w:sz w:val="24"/>
          <w:szCs w:val="24"/>
          <w:lang w:eastAsia="pt-BR"/>
        </w:rPr>
      </w:pPr>
    </w:p>
    <w:p w14:paraId="2D569D7C" w14:textId="77777777" w:rsidR="003E49D5" w:rsidRPr="00191C75" w:rsidRDefault="003E49D5" w:rsidP="00B93407">
      <w:pPr>
        <w:spacing w:after="0" w:line="240" w:lineRule="auto"/>
        <w:jc w:val="center"/>
        <w:rPr>
          <w:rFonts w:ascii="Times New Roman" w:hAnsi="Times New Roman"/>
          <w:b/>
          <w:sz w:val="20"/>
          <w:szCs w:val="24"/>
        </w:rPr>
      </w:pPr>
      <w:r w:rsidRPr="00191C75">
        <w:rPr>
          <w:rFonts w:ascii="Times New Roman" w:hAnsi="Times New Roman"/>
          <w:b/>
          <w:sz w:val="20"/>
          <w:szCs w:val="24"/>
        </w:rPr>
        <w:t xml:space="preserve">Tabela 6 – Teste de normalidade e diferença de médias dos </w:t>
      </w:r>
      <w:proofErr w:type="spellStart"/>
      <w:r w:rsidRPr="00191C75">
        <w:rPr>
          <w:rFonts w:ascii="Times New Roman" w:hAnsi="Times New Roman"/>
          <w:b/>
          <w:sz w:val="20"/>
          <w:szCs w:val="24"/>
        </w:rPr>
        <w:t>CARs</w:t>
      </w:r>
      <w:proofErr w:type="spellEnd"/>
      <w:r w:rsidRPr="00191C75">
        <w:rPr>
          <w:rFonts w:ascii="Times New Roman" w:hAnsi="Times New Roman"/>
          <w:b/>
          <w:sz w:val="20"/>
          <w:szCs w:val="24"/>
        </w:rPr>
        <w:t xml:space="preserve"> para as companhias sem participação prévia de fundos de VC/PE</w:t>
      </w:r>
    </w:p>
    <w:p w14:paraId="6EE47290" w14:textId="77777777" w:rsidR="003E49D5" w:rsidRPr="00191C75" w:rsidRDefault="003E49D5" w:rsidP="00B37D61">
      <w:pPr>
        <w:spacing w:after="0" w:line="240" w:lineRule="auto"/>
        <w:ind w:firstLine="567"/>
        <w:jc w:val="both"/>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903"/>
        <w:gridCol w:w="903"/>
        <w:gridCol w:w="903"/>
        <w:gridCol w:w="903"/>
        <w:gridCol w:w="903"/>
        <w:gridCol w:w="903"/>
        <w:gridCol w:w="903"/>
        <w:gridCol w:w="903"/>
      </w:tblGrid>
      <w:tr w:rsidR="00191C75" w:rsidRPr="00191C75" w14:paraId="083E8C83" w14:textId="77777777" w:rsidTr="00B37D61">
        <w:trPr>
          <w:trHeight w:val="125"/>
          <w:jc w:val="center"/>
        </w:trPr>
        <w:tc>
          <w:tcPr>
            <w:tcW w:w="1838" w:type="dxa"/>
            <w:vMerge w:val="restart"/>
            <w:shd w:val="clear" w:color="auto" w:fill="auto"/>
          </w:tcPr>
          <w:p w14:paraId="4D0BFA51" w14:textId="77777777" w:rsidR="003E49D5" w:rsidRPr="00191C75" w:rsidRDefault="003E49D5" w:rsidP="008E7936">
            <w:pPr>
              <w:spacing w:after="0" w:line="240" w:lineRule="auto"/>
              <w:rPr>
                <w:rFonts w:ascii="Times New Roman" w:eastAsia="SimSun" w:hAnsi="Times New Roman"/>
                <w:b/>
                <w:sz w:val="20"/>
                <w:szCs w:val="20"/>
              </w:rPr>
            </w:pPr>
            <w:r w:rsidRPr="00191C75">
              <w:rPr>
                <w:rFonts w:ascii="Times New Roman" w:eastAsia="SimSun" w:hAnsi="Times New Roman"/>
                <w:b/>
                <w:sz w:val="20"/>
                <w:szCs w:val="20"/>
              </w:rPr>
              <w:t>Janelas de comparação por pregão</w:t>
            </w:r>
          </w:p>
        </w:tc>
        <w:tc>
          <w:tcPr>
            <w:tcW w:w="7224" w:type="dxa"/>
            <w:gridSpan w:val="8"/>
            <w:shd w:val="clear" w:color="auto" w:fill="auto"/>
          </w:tcPr>
          <w:p w14:paraId="5F8EE6F1"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Índices de mercado</w:t>
            </w:r>
          </w:p>
        </w:tc>
      </w:tr>
      <w:tr w:rsidR="00191C75" w:rsidRPr="00191C75" w14:paraId="373A5D65" w14:textId="77777777" w:rsidTr="00B37D61">
        <w:trPr>
          <w:jc w:val="center"/>
        </w:trPr>
        <w:tc>
          <w:tcPr>
            <w:tcW w:w="1838" w:type="dxa"/>
            <w:vMerge/>
            <w:shd w:val="clear" w:color="auto" w:fill="auto"/>
          </w:tcPr>
          <w:p w14:paraId="62A132B6" w14:textId="77777777" w:rsidR="003E49D5" w:rsidRPr="00191C75" w:rsidRDefault="003E49D5" w:rsidP="008E7936">
            <w:pPr>
              <w:spacing w:after="0" w:line="240" w:lineRule="auto"/>
              <w:rPr>
                <w:rFonts w:ascii="Times New Roman" w:eastAsia="SimSun" w:hAnsi="Times New Roman"/>
                <w:b/>
                <w:sz w:val="20"/>
                <w:szCs w:val="20"/>
              </w:rPr>
            </w:pPr>
          </w:p>
        </w:tc>
        <w:tc>
          <w:tcPr>
            <w:tcW w:w="3612" w:type="dxa"/>
            <w:gridSpan w:val="4"/>
            <w:shd w:val="clear" w:color="auto" w:fill="auto"/>
          </w:tcPr>
          <w:p w14:paraId="5D236800"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Ibovespa</w:t>
            </w:r>
          </w:p>
        </w:tc>
        <w:tc>
          <w:tcPr>
            <w:tcW w:w="3612" w:type="dxa"/>
            <w:gridSpan w:val="4"/>
            <w:shd w:val="clear" w:color="auto" w:fill="auto"/>
          </w:tcPr>
          <w:p w14:paraId="3259B9D1" w14:textId="77777777" w:rsidR="003E49D5" w:rsidRPr="00191C75" w:rsidRDefault="003E49D5" w:rsidP="00E31814">
            <w:pPr>
              <w:spacing w:after="0" w:line="240" w:lineRule="auto"/>
              <w:jc w:val="center"/>
              <w:rPr>
                <w:rFonts w:ascii="Times New Roman" w:eastAsia="SimSun" w:hAnsi="Times New Roman"/>
                <w:b/>
                <w:sz w:val="20"/>
                <w:szCs w:val="20"/>
              </w:rPr>
            </w:pPr>
            <w:proofErr w:type="spellStart"/>
            <w:r w:rsidRPr="00191C75">
              <w:rPr>
                <w:rFonts w:ascii="Times New Roman" w:eastAsia="SimSun" w:hAnsi="Times New Roman"/>
                <w:b/>
                <w:sz w:val="20"/>
                <w:szCs w:val="20"/>
              </w:rPr>
              <w:t>IBrX</w:t>
            </w:r>
            <w:proofErr w:type="spellEnd"/>
          </w:p>
        </w:tc>
      </w:tr>
      <w:tr w:rsidR="00191C75" w:rsidRPr="00191C75" w14:paraId="14E001FB" w14:textId="77777777" w:rsidTr="00B37D61">
        <w:trPr>
          <w:jc w:val="center"/>
        </w:trPr>
        <w:tc>
          <w:tcPr>
            <w:tcW w:w="1838" w:type="dxa"/>
            <w:vMerge/>
            <w:shd w:val="clear" w:color="auto" w:fill="auto"/>
          </w:tcPr>
          <w:p w14:paraId="551DB6B2" w14:textId="77777777" w:rsidR="003E49D5" w:rsidRPr="00191C75" w:rsidRDefault="003E49D5" w:rsidP="008E7936">
            <w:pPr>
              <w:spacing w:after="0" w:line="240" w:lineRule="auto"/>
              <w:rPr>
                <w:rFonts w:ascii="Times New Roman" w:eastAsia="SimSun" w:hAnsi="Times New Roman"/>
                <w:b/>
                <w:sz w:val="20"/>
                <w:szCs w:val="20"/>
              </w:rPr>
            </w:pPr>
          </w:p>
        </w:tc>
        <w:tc>
          <w:tcPr>
            <w:tcW w:w="903" w:type="dxa"/>
            <w:shd w:val="clear" w:color="auto" w:fill="auto"/>
          </w:tcPr>
          <w:p w14:paraId="6FF69DAF"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Normal</w:t>
            </w:r>
          </w:p>
        </w:tc>
        <w:tc>
          <w:tcPr>
            <w:tcW w:w="903" w:type="dxa"/>
            <w:shd w:val="clear" w:color="auto" w:fill="auto"/>
          </w:tcPr>
          <w:p w14:paraId="630C264D"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Não normal</w:t>
            </w:r>
          </w:p>
        </w:tc>
        <w:tc>
          <w:tcPr>
            <w:tcW w:w="903" w:type="dxa"/>
            <w:shd w:val="clear" w:color="auto" w:fill="auto"/>
          </w:tcPr>
          <w:p w14:paraId="64264F2F"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Média = 0</w:t>
            </w:r>
          </w:p>
        </w:tc>
        <w:tc>
          <w:tcPr>
            <w:tcW w:w="903" w:type="dxa"/>
            <w:shd w:val="clear" w:color="auto" w:fill="auto"/>
          </w:tcPr>
          <w:p w14:paraId="2CB8978A"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Média ≠ 0</w:t>
            </w:r>
          </w:p>
        </w:tc>
        <w:tc>
          <w:tcPr>
            <w:tcW w:w="903" w:type="dxa"/>
            <w:shd w:val="clear" w:color="auto" w:fill="auto"/>
          </w:tcPr>
          <w:p w14:paraId="409A5E54"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Normal</w:t>
            </w:r>
          </w:p>
        </w:tc>
        <w:tc>
          <w:tcPr>
            <w:tcW w:w="903" w:type="dxa"/>
            <w:shd w:val="clear" w:color="auto" w:fill="auto"/>
          </w:tcPr>
          <w:p w14:paraId="7D218425"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Não normal</w:t>
            </w:r>
          </w:p>
        </w:tc>
        <w:tc>
          <w:tcPr>
            <w:tcW w:w="903" w:type="dxa"/>
            <w:shd w:val="clear" w:color="auto" w:fill="auto"/>
          </w:tcPr>
          <w:p w14:paraId="09D77229"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Média = 0</w:t>
            </w:r>
          </w:p>
        </w:tc>
        <w:tc>
          <w:tcPr>
            <w:tcW w:w="903" w:type="dxa"/>
            <w:shd w:val="clear" w:color="auto" w:fill="auto"/>
          </w:tcPr>
          <w:p w14:paraId="294345F8" w14:textId="77777777" w:rsidR="003E49D5" w:rsidRPr="00191C75" w:rsidRDefault="003E49D5"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Média ≠ 0</w:t>
            </w:r>
          </w:p>
        </w:tc>
      </w:tr>
      <w:tr w:rsidR="00191C75" w:rsidRPr="00191C75" w14:paraId="1AC93EEC" w14:textId="77777777" w:rsidTr="00B37D61">
        <w:trPr>
          <w:jc w:val="center"/>
        </w:trPr>
        <w:tc>
          <w:tcPr>
            <w:tcW w:w="1838" w:type="dxa"/>
            <w:shd w:val="clear" w:color="auto" w:fill="auto"/>
          </w:tcPr>
          <w:p w14:paraId="70B8A736" w14:textId="77777777" w:rsidR="003E49D5" w:rsidRPr="00191C75" w:rsidRDefault="003E49D5" w:rsidP="008E7936">
            <w:pPr>
              <w:spacing w:after="0" w:line="240" w:lineRule="auto"/>
              <w:rPr>
                <w:rFonts w:ascii="Times New Roman" w:eastAsia="SimSun" w:hAnsi="Times New Roman"/>
                <w:sz w:val="20"/>
                <w:szCs w:val="20"/>
              </w:rPr>
            </w:pPr>
            <w:r w:rsidRPr="00191C75">
              <w:rPr>
                <w:rFonts w:ascii="Times New Roman" w:eastAsia="SimSun" w:hAnsi="Times New Roman"/>
                <w:sz w:val="20"/>
                <w:szCs w:val="20"/>
              </w:rPr>
              <w:t>1 mês ou 22 dias</w:t>
            </w:r>
          </w:p>
        </w:tc>
        <w:tc>
          <w:tcPr>
            <w:tcW w:w="903" w:type="dxa"/>
            <w:shd w:val="clear" w:color="auto" w:fill="auto"/>
          </w:tcPr>
          <w:p w14:paraId="76F3C92F"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46</w:t>
            </w:r>
          </w:p>
        </w:tc>
        <w:tc>
          <w:tcPr>
            <w:tcW w:w="903" w:type="dxa"/>
            <w:shd w:val="clear" w:color="auto" w:fill="auto"/>
          </w:tcPr>
          <w:p w14:paraId="017A18F9"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w:t>
            </w:r>
          </w:p>
        </w:tc>
        <w:tc>
          <w:tcPr>
            <w:tcW w:w="903" w:type="dxa"/>
            <w:shd w:val="clear" w:color="auto" w:fill="auto"/>
          </w:tcPr>
          <w:p w14:paraId="441CB68A"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8</w:t>
            </w:r>
          </w:p>
        </w:tc>
        <w:tc>
          <w:tcPr>
            <w:tcW w:w="903" w:type="dxa"/>
            <w:shd w:val="clear" w:color="auto" w:fill="auto"/>
          </w:tcPr>
          <w:p w14:paraId="1C939AD0"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39</w:t>
            </w:r>
          </w:p>
        </w:tc>
        <w:tc>
          <w:tcPr>
            <w:tcW w:w="903" w:type="dxa"/>
            <w:shd w:val="clear" w:color="auto" w:fill="auto"/>
          </w:tcPr>
          <w:p w14:paraId="65A6D1DC"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46</w:t>
            </w:r>
          </w:p>
        </w:tc>
        <w:tc>
          <w:tcPr>
            <w:tcW w:w="903" w:type="dxa"/>
            <w:shd w:val="clear" w:color="auto" w:fill="auto"/>
          </w:tcPr>
          <w:p w14:paraId="4BCDDCE2"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w:t>
            </w:r>
          </w:p>
        </w:tc>
        <w:tc>
          <w:tcPr>
            <w:tcW w:w="903" w:type="dxa"/>
            <w:shd w:val="clear" w:color="auto" w:fill="auto"/>
          </w:tcPr>
          <w:p w14:paraId="339F9C86"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10</w:t>
            </w:r>
          </w:p>
        </w:tc>
        <w:tc>
          <w:tcPr>
            <w:tcW w:w="903" w:type="dxa"/>
            <w:shd w:val="clear" w:color="auto" w:fill="auto"/>
          </w:tcPr>
          <w:p w14:paraId="0D449308"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37</w:t>
            </w:r>
          </w:p>
        </w:tc>
      </w:tr>
      <w:tr w:rsidR="00191C75" w:rsidRPr="00191C75" w14:paraId="5B3993DF" w14:textId="77777777" w:rsidTr="00B37D61">
        <w:trPr>
          <w:jc w:val="center"/>
        </w:trPr>
        <w:tc>
          <w:tcPr>
            <w:tcW w:w="1838" w:type="dxa"/>
            <w:shd w:val="clear" w:color="auto" w:fill="auto"/>
          </w:tcPr>
          <w:p w14:paraId="357FB33C" w14:textId="77777777" w:rsidR="003E49D5" w:rsidRPr="00191C75" w:rsidRDefault="003E49D5" w:rsidP="008E7936">
            <w:pPr>
              <w:spacing w:after="0" w:line="240" w:lineRule="auto"/>
              <w:rPr>
                <w:rFonts w:ascii="Times New Roman" w:eastAsia="SimSun" w:hAnsi="Times New Roman"/>
                <w:sz w:val="20"/>
                <w:szCs w:val="20"/>
              </w:rPr>
            </w:pPr>
            <w:r w:rsidRPr="00191C75">
              <w:rPr>
                <w:rFonts w:ascii="Times New Roman" w:eastAsia="SimSun" w:hAnsi="Times New Roman"/>
                <w:sz w:val="20"/>
                <w:szCs w:val="20"/>
              </w:rPr>
              <w:t>6 meses ou 132 dias</w:t>
            </w:r>
          </w:p>
        </w:tc>
        <w:tc>
          <w:tcPr>
            <w:tcW w:w="903" w:type="dxa"/>
            <w:shd w:val="clear" w:color="auto" w:fill="auto"/>
          </w:tcPr>
          <w:p w14:paraId="7F0BD3EB"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44</w:t>
            </w:r>
          </w:p>
        </w:tc>
        <w:tc>
          <w:tcPr>
            <w:tcW w:w="903" w:type="dxa"/>
            <w:shd w:val="clear" w:color="auto" w:fill="auto"/>
          </w:tcPr>
          <w:p w14:paraId="03CDD762"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w:t>
            </w:r>
          </w:p>
        </w:tc>
        <w:tc>
          <w:tcPr>
            <w:tcW w:w="903" w:type="dxa"/>
            <w:shd w:val="clear" w:color="auto" w:fill="auto"/>
          </w:tcPr>
          <w:p w14:paraId="0ACC8B91"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6</w:t>
            </w:r>
          </w:p>
        </w:tc>
        <w:tc>
          <w:tcPr>
            <w:tcW w:w="903" w:type="dxa"/>
            <w:shd w:val="clear" w:color="auto" w:fill="auto"/>
          </w:tcPr>
          <w:p w14:paraId="6412FFA8"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41</w:t>
            </w:r>
          </w:p>
        </w:tc>
        <w:tc>
          <w:tcPr>
            <w:tcW w:w="903" w:type="dxa"/>
            <w:shd w:val="clear" w:color="auto" w:fill="auto"/>
          </w:tcPr>
          <w:p w14:paraId="47E6C2E5"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44</w:t>
            </w:r>
          </w:p>
        </w:tc>
        <w:tc>
          <w:tcPr>
            <w:tcW w:w="903" w:type="dxa"/>
            <w:shd w:val="clear" w:color="auto" w:fill="auto"/>
          </w:tcPr>
          <w:p w14:paraId="7ACFB67C"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w:t>
            </w:r>
          </w:p>
        </w:tc>
        <w:tc>
          <w:tcPr>
            <w:tcW w:w="903" w:type="dxa"/>
            <w:shd w:val="clear" w:color="auto" w:fill="auto"/>
          </w:tcPr>
          <w:p w14:paraId="0D98B773"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6</w:t>
            </w:r>
          </w:p>
        </w:tc>
        <w:tc>
          <w:tcPr>
            <w:tcW w:w="903" w:type="dxa"/>
            <w:shd w:val="clear" w:color="auto" w:fill="auto"/>
          </w:tcPr>
          <w:p w14:paraId="36C268C1"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41</w:t>
            </w:r>
          </w:p>
        </w:tc>
      </w:tr>
      <w:tr w:rsidR="003E49D5" w:rsidRPr="00191C75" w14:paraId="3A280FB3" w14:textId="77777777" w:rsidTr="00B37D61">
        <w:trPr>
          <w:jc w:val="center"/>
        </w:trPr>
        <w:tc>
          <w:tcPr>
            <w:tcW w:w="1838" w:type="dxa"/>
            <w:shd w:val="clear" w:color="auto" w:fill="auto"/>
          </w:tcPr>
          <w:p w14:paraId="4AEAB118" w14:textId="77777777" w:rsidR="003E49D5" w:rsidRPr="00191C75" w:rsidRDefault="003E49D5" w:rsidP="008E7936">
            <w:pPr>
              <w:spacing w:after="0" w:line="240" w:lineRule="auto"/>
              <w:rPr>
                <w:rFonts w:ascii="Times New Roman" w:eastAsia="SimSun" w:hAnsi="Times New Roman"/>
                <w:sz w:val="20"/>
                <w:szCs w:val="20"/>
              </w:rPr>
            </w:pPr>
            <w:r w:rsidRPr="00191C75">
              <w:rPr>
                <w:rFonts w:ascii="Times New Roman" w:eastAsia="SimSun" w:hAnsi="Times New Roman"/>
                <w:sz w:val="20"/>
                <w:szCs w:val="20"/>
              </w:rPr>
              <w:t>1 ano ou 264 dias</w:t>
            </w:r>
          </w:p>
        </w:tc>
        <w:tc>
          <w:tcPr>
            <w:tcW w:w="903" w:type="dxa"/>
            <w:shd w:val="clear" w:color="auto" w:fill="auto"/>
          </w:tcPr>
          <w:p w14:paraId="2898D2D1"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42</w:t>
            </w:r>
          </w:p>
        </w:tc>
        <w:tc>
          <w:tcPr>
            <w:tcW w:w="903" w:type="dxa"/>
            <w:shd w:val="clear" w:color="auto" w:fill="auto"/>
          </w:tcPr>
          <w:p w14:paraId="09DC6163"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5</w:t>
            </w:r>
          </w:p>
        </w:tc>
        <w:tc>
          <w:tcPr>
            <w:tcW w:w="903" w:type="dxa"/>
            <w:shd w:val="clear" w:color="auto" w:fill="auto"/>
          </w:tcPr>
          <w:p w14:paraId="6690D50D"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w:t>
            </w:r>
          </w:p>
        </w:tc>
        <w:tc>
          <w:tcPr>
            <w:tcW w:w="903" w:type="dxa"/>
            <w:shd w:val="clear" w:color="auto" w:fill="auto"/>
          </w:tcPr>
          <w:p w14:paraId="5D4A3581"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46</w:t>
            </w:r>
          </w:p>
        </w:tc>
        <w:tc>
          <w:tcPr>
            <w:tcW w:w="903" w:type="dxa"/>
            <w:shd w:val="clear" w:color="auto" w:fill="auto"/>
          </w:tcPr>
          <w:p w14:paraId="02F37148"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41</w:t>
            </w:r>
          </w:p>
        </w:tc>
        <w:tc>
          <w:tcPr>
            <w:tcW w:w="903" w:type="dxa"/>
            <w:shd w:val="clear" w:color="auto" w:fill="auto"/>
          </w:tcPr>
          <w:p w14:paraId="504D7B59"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6</w:t>
            </w:r>
          </w:p>
        </w:tc>
        <w:tc>
          <w:tcPr>
            <w:tcW w:w="903" w:type="dxa"/>
            <w:shd w:val="clear" w:color="auto" w:fill="auto"/>
          </w:tcPr>
          <w:p w14:paraId="4781D4E8"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2</w:t>
            </w:r>
          </w:p>
        </w:tc>
        <w:tc>
          <w:tcPr>
            <w:tcW w:w="903" w:type="dxa"/>
            <w:shd w:val="clear" w:color="auto" w:fill="auto"/>
          </w:tcPr>
          <w:p w14:paraId="5AD1B560" w14:textId="77777777" w:rsidR="003E49D5" w:rsidRPr="00191C75" w:rsidRDefault="003E49D5"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45</w:t>
            </w:r>
          </w:p>
        </w:tc>
      </w:tr>
    </w:tbl>
    <w:p w14:paraId="2DEF081E" w14:textId="77777777" w:rsidR="003E49D5" w:rsidRPr="00191C75" w:rsidRDefault="003E49D5" w:rsidP="00B37D61">
      <w:pPr>
        <w:spacing w:after="0" w:line="240" w:lineRule="auto"/>
        <w:ind w:firstLine="567"/>
        <w:jc w:val="both"/>
        <w:rPr>
          <w:rFonts w:ascii="Times New Roman" w:hAnsi="Times New Roman"/>
          <w:sz w:val="24"/>
          <w:szCs w:val="24"/>
          <w:lang w:eastAsia="pt-BR"/>
        </w:rPr>
      </w:pPr>
    </w:p>
    <w:p w14:paraId="46172251" w14:textId="77777777" w:rsidR="003E49D5" w:rsidRPr="00191C75" w:rsidRDefault="003E49D5" w:rsidP="009D2A19">
      <w:pPr>
        <w:spacing w:after="0" w:line="240" w:lineRule="auto"/>
        <w:ind w:firstLine="709"/>
        <w:jc w:val="both"/>
        <w:rPr>
          <w:rFonts w:ascii="Times New Roman" w:hAnsi="Times New Roman"/>
          <w:sz w:val="24"/>
          <w:szCs w:val="24"/>
          <w:lang w:eastAsia="pt-BR"/>
        </w:rPr>
      </w:pPr>
      <w:r w:rsidRPr="00191C75">
        <w:rPr>
          <w:rFonts w:ascii="Times New Roman" w:hAnsi="Times New Roman"/>
          <w:sz w:val="24"/>
          <w:szCs w:val="24"/>
          <w:lang w:eastAsia="pt-BR"/>
        </w:rPr>
        <w:t xml:space="preserve">A partir dos </w:t>
      </w:r>
      <w:proofErr w:type="spellStart"/>
      <w:r w:rsidRPr="00191C75">
        <w:rPr>
          <w:rFonts w:ascii="Times New Roman" w:hAnsi="Times New Roman"/>
          <w:sz w:val="24"/>
          <w:szCs w:val="24"/>
          <w:lang w:eastAsia="pt-BR"/>
        </w:rPr>
        <w:t>CARs</w:t>
      </w:r>
      <w:proofErr w:type="spellEnd"/>
      <w:r w:rsidRPr="00191C75">
        <w:rPr>
          <w:rFonts w:ascii="Times New Roman" w:hAnsi="Times New Roman"/>
          <w:sz w:val="24"/>
          <w:szCs w:val="24"/>
          <w:lang w:eastAsia="pt-BR"/>
        </w:rPr>
        <w:t xml:space="preserve"> das tabelas 5 e 6 que são estatisticamente diferentes de zero, calcula-se a diferença entre as amostras com e sem participação prévia de fundos de VC/PE, por janela, a partir das médias dos seus </w:t>
      </w:r>
      <w:proofErr w:type="spellStart"/>
      <w:r w:rsidRPr="00191C75">
        <w:rPr>
          <w:rFonts w:ascii="Times New Roman" w:hAnsi="Times New Roman"/>
          <w:sz w:val="24"/>
          <w:szCs w:val="24"/>
          <w:lang w:eastAsia="pt-BR"/>
        </w:rPr>
        <w:t>CARs</w:t>
      </w:r>
      <w:proofErr w:type="spellEnd"/>
      <w:r w:rsidRPr="00191C75">
        <w:rPr>
          <w:rFonts w:ascii="Times New Roman" w:hAnsi="Times New Roman"/>
          <w:sz w:val="24"/>
          <w:szCs w:val="24"/>
          <w:lang w:eastAsia="pt-BR"/>
        </w:rPr>
        <w:t xml:space="preserve">. Verifica-se se essas diferenças possuem distribuição normal para identificação do teste de diferença de médias adequado. </w:t>
      </w:r>
    </w:p>
    <w:p w14:paraId="008C58D8" w14:textId="77777777" w:rsidR="003E49D5" w:rsidRPr="00191C75" w:rsidRDefault="003E49D5" w:rsidP="009D2A19">
      <w:pPr>
        <w:spacing w:after="0" w:line="240" w:lineRule="auto"/>
        <w:ind w:firstLine="709"/>
        <w:jc w:val="both"/>
        <w:rPr>
          <w:rFonts w:ascii="Times New Roman" w:hAnsi="Times New Roman"/>
          <w:sz w:val="24"/>
          <w:szCs w:val="24"/>
          <w:lang w:eastAsia="pt-BR"/>
        </w:rPr>
      </w:pPr>
    </w:p>
    <w:p w14:paraId="2338FAA9" w14:textId="77777777" w:rsidR="003E49D5" w:rsidRPr="00191C75" w:rsidRDefault="003E49D5" w:rsidP="009D2A19">
      <w:pPr>
        <w:spacing w:after="0" w:line="240" w:lineRule="auto"/>
        <w:ind w:firstLine="709"/>
        <w:jc w:val="both"/>
        <w:rPr>
          <w:rFonts w:ascii="Times New Roman" w:hAnsi="Times New Roman"/>
          <w:sz w:val="24"/>
          <w:szCs w:val="24"/>
          <w:lang w:eastAsia="pt-BR"/>
        </w:rPr>
      </w:pPr>
      <w:r w:rsidRPr="00191C75">
        <w:rPr>
          <w:rFonts w:ascii="Times New Roman" w:hAnsi="Times New Roman"/>
          <w:sz w:val="24"/>
          <w:szCs w:val="24"/>
          <w:lang w:eastAsia="pt-BR"/>
        </w:rPr>
        <w:t xml:space="preserve">A tabela 7 indica que para a janela de 22 pregões, as diferenças entre os </w:t>
      </w:r>
      <w:proofErr w:type="spellStart"/>
      <w:r w:rsidRPr="00191C75">
        <w:rPr>
          <w:rFonts w:ascii="Times New Roman" w:hAnsi="Times New Roman"/>
          <w:sz w:val="24"/>
          <w:szCs w:val="24"/>
          <w:lang w:eastAsia="pt-BR"/>
        </w:rPr>
        <w:t>CARs</w:t>
      </w:r>
      <w:proofErr w:type="spellEnd"/>
      <w:r w:rsidRPr="00191C75">
        <w:rPr>
          <w:rFonts w:ascii="Times New Roman" w:hAnsi="Times New Roman"/>
          <w:sz w:val="24"/>
          <w:szCs w:val="24"/>
          <w:lang w:eastAsia="pt-BR"/>
        </w:rPr>
        <w:t xml:space="preserve"> de ambas amostras são estatisticamente iguais a zero. De forma contrária, as janelas de 132 e 264 pregões possuem diferenças, entre as médias dos </w:t>
      </w:r>
      <w:proofErr w:type="spellStart"/>
      <w:r w:rsidRPr="00191C75">
        <w:rPr>
          <w:rFonts w:ascii="Times New Roman" w:hAnsi="Times New Roman"/>
          <w:sz w:val="24"/>
          <w:szCs w:val="24"/>
          <w:lang w:eastAsia="pt-BR"/>
        </w:rPr>
        <w:t>CARs</w:t>
      </w:r>
      <w:proofErr w:type="spellEnd"/>
      <w:r w:rsidRPr="00191C75">
        <w:rPr>
          <w:rFonts w:ascii="Times New Roman" w:hAnsi="Times New Roman"/>
          <w:sz w:val="24"/>
          <w:szCs w:val="24"/>
          <w:lang w:eastAsia="pt-BR"/>
        </w:rPr>
        <w:t xml:space="preserve"> das amostras com e sem participação prévia de fundos de VC/PE, estatisticamente diferentes de zero. No caso da janela de 6 meses, os resultados positivos representam 59,09% (78) e 62,12% (80) para os índices Ibovespa e </w:t>
      </w:r>
      <w:proofErr w:type="spellStart"/>
      <w:r w:rsidRPr="00191C75">
        <w:rPr>
          <w:rFonts w:ascii="Times New Roman" w:hAnsi="Times New Roman"/>
          <w:sz w:val="24"/>
          <w:szCs w:val="24"/>
          <w:lang w:eastAsia="pt-BR"/>
        </w:rPr>
        <w:t>IBrX</w:t>
      </w:r>
      <w:proofErr w:type="spellEnd"/>
      <w:r w:rsidRPr="00191C75">
        <w:rPr>
          <w:rFonts w:ascii="Times New Roman" w:hAnsi="Times New Roman"/>
          <w:sz w:val="24"/>
          <w:szCs w:val="24"/>
          <w:lang w:eastAsia="pt-BR"/>
        </w:rPr>
        <w:t>, respectivamente. Já no caso da janela de 1 ano, os resultados positivos passam a ser de 79,92% (211) e 79,16% (209). Significa dizer que a maioria dos resultados são positivos e estatisticamente diferentes de zero. Logo, confirma-se a H1 para as janelas de 132 e 264 pregões - companhias com participação prévia de fundos de VC/PE possuem retornos superiores àquelas sem tais participações.</w:t>
      </w:r>
    </w:p>
    <w:p w14:paraId="5BF4F4F8" w14:textId="77777777" w:rsidR="003E49D5" w:rsidRPr="00191C75" w:rsidRDefault="003E49D5" w:rsidP="001C6696">
      <w:pPr>
        <w:spacing w:after="0" w:line="240" w:lineRule="auto"/>
        <w:ind w:firstLine="567"/>
        <w:jc w:val="both"/>
        <w:rPr>
          <w:rFonts w:ascii="Times New Roman" w:hAnsi="Times New Roman"/>
          <w:sz w:val="24"/>
          <w:szCs w:val="24"/>
          <w:lang w:eastAsia="pt-BR"/>
        </w:rPr>
      </w:pPr>
    </w:p>
    <w:p w14:paraId="5F66AFB0" w14:textId="77777777" w:rsidR="001C6696" w:rsidRPr="00191C75" w:rsidRDefault="001C6696" w:rsidP="001C6696">
      <w:pPr>
        <w:spacing w:after="0" w:line="240" w:lineRule="auto"/>
        <w:jc w:val="center"/>
        <w:rPr>
          <w:rFonts w:ascii="Times New Roman" w:hAnsi="Times New Roman"/>
          <w:b/>
          <w:sz w:val="20"/>
          <w:szCs w:val="24"/>
        </w:rPr>
      </w:pPr>
      <w:r w:rsidRPr="00191C75">
        <w:rPr>
          <w:rFonts w:ascii="Times New Roman" w:hAnsi="Times New Roman"/>
          <w:b/>
          <w:sz w:val="20"/>
          <w:szCs w:val="24"/>
        </w:rPr>
        <w:t>Tabela 7 – Teste da H1</w:t>
      </w:r>
    </w:p>
    <w:p w14:paraId="016ED027" w14:textId="77777777" w:rsidR="001C6696" w:rsidRPr="00191C75" w:rsidRDefault="001C6696" w:rsidP="001C6696">
      <w:pPr>
        <w:spacing w:after="0" w:line="240" w:lineRule="auto"/>
        <w:ind w:firstLine="567"/>
        <w:jc w:val="both"/>
        <w:rPr>
          <w:rFonts w:ascii="Times New Roman" w:hAnsi="Times New Roman"/>
          <w:sz w:val="24"/>
          <w:szCs w:val="24"/>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37"/>
        <w:gridCol w:w="737"/>
        <w:gridCol w:w="737"/>
        <w:gridCol w:w="737"/>
        <w:gridCol w:w="738"/>
        <w:gridCol w:w="736"/>
        <w:gridCol w:w="736"/>
        <w:gridCol w:w="736"/>
        <w:gridCol w:w="736"/>
        <w:gridCol w:w="736"/>
      </w:tblGrid>
      <w:tr w:rsidR="00191C75" w:rsidRPr="00191C75" w14:paraId="1DC1D81E" w14:textId="77777777" w:rsidTr="00E652ED">
        <w:trPr>
          <w:jc w:val="center"/>
        </w:trPr>
        <w:tc>
          <w:tcPr>
            <w:tcW w:w="1696" w:type="dxa"/>
            <w:vMerge w:val="restart"/>
            <w:shd w:val="clear" w:color="auto" w:fill="auto"/>
          </w:tcPr>
          <w:p w14:paraId="13341A26" w14:textId="77777777" w:rsidR="001C6696" w:rsidRPr="00191C75" w:rsidRDefault="001C6696" w:rsidP="00E652ED">
            <w:pPr>
              <w:spacing w:after="0" w:line="240" w:lineRule="auto"/>
              <w:rPr>
                <w:rFonts w:ascii="Times New Roman" w:eastAsia="SimSun" w:hAnsi="Times New Roman"/>
                <w:b/>
                <w:sz w:val="20"/>
                <w:szCs w:val="20"/>
              </w:rPr>
            </w:pPr>
            <w:r w:rsidRPr="00191C75">
              <w:rPr>
                <w:rFonts w:ascii="Times New Roman" w:eastAsia="SimSun" w:hAnsi="Times New Roman"/>
                <w:b/>
                <w:sz w:val="20"/>
                <w:szCs w:val="20"/>
              </w:rPr>
              <w:t>Janelas de comparação por pregão</w:t>
            </w:r>
          </w:p>
        </w:tc>
        <w:tc>
          <w:tcPr>
            <w:tcW w:w="7366" w:type="dxa"/>
            <w:gridSpan w:val="10"/>
            <w:shd w:val="clear" w:color="auto" w:fill="auto"/>
          </w:tcPr>
          <w:p w14:paraId="50DBDD33" w14:textId="77777777" w:rsidR="001C6696" w:rsidRPr="00191C75" w:rsidRDefault="001C6696" w:rsidP="00E652ED">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Índices de mercado</w:t>
            </w:r>
          </w:p>
        </w:tc>
      </w:tr>
      <w:tr w:rsidR="00191C75" w:rsidRPr="00191C75" w14:paraId="58911383" w14:textId="77777777" w:rsidTr="00E652ED">
        <w:trPr>
          <w:jc w:val="center"/>
        </w:trPr>
        <w:tc>
          <w:tcPr>
            <w:tcW w:w="1696" w:type="dxa"/>
            <w:vMerge/>
            <w:shd w:val="clear" w:color="auto" w:fill="auto"/>
          </w:tcPr>
          <w:p w14:paraId="308CA5F4" w14:textId="77777777" w:rsidR="001C6696" w:rsidRPr="00191C75" w:rsidRDefault="001C6696" w:rsidP="00E652ED">
            <w:pPr>
              <w:spacing w:after="0" w:line="240" w:lineRule="auto"/>
              <w:rPr>
                <w:rFonts w:ascii="Times New Roman" w:eastAsia="SimSun" w:hAnsi="Times New Roman"/>
                <w:b/>
                <w:sz w:val="20"/>
                <w:szCs w:val="20"/>
              </w:rPr>
            </w:pPr>
          </w:p>
        </w:tc>
        <w:tc>
          <w:tcPr>
            <w:tcW w:w="3686" w:type="dxa"/>
            <w:gridSpan w:val="5"/>
            <w:shd w:val="clear" w:color="auto" w:fill="auto"/>
          </w:tcPr>
          <w:p w14:paraId="1EC75E2E" w14:textId="77777777" w:rsidR="001C6696" w:rsidRPr="00191C75" w:rsidRDefault="001C6696" w:rsidP="00E652ED">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Ibovespa com médias ≠ 0</w:t>
            </w:r>
          </w:p>
        </w:tc>
        <w:tc>
          <w:tcPr>
            <w:tcW w:w="3680" w:type="dxa"/>
            <w:gridSpan w:val="5"/>
            <w:shd w:val="clear" w:color="auto" w:fill="auto"/>
          </w:tcPr>
          <w:p w14:paraId="6174CAB3" w14:textId="77777777" w:rsidR="001C6696" w:rsidRPr="00191C75" w:rsidRDefault="001C6696" w:rsidP="00E652ED">
            <w:pPr>
              <w:spacing w:after="0" w:line="240" w:lineRule="auto"/>
              <w:jc w:val="center"/>
              <w:rPr>
                <w:rFonts w:ascii="Times New Roman" w:eastAsia="SimSun" w:hAnsi="Times New Roman"/>
                <w:b/>
                <w:sz w:val="20"/>
                <w:szCs w:val="20"/>
              </w:rPr>
            </w:pPr>
            <w:proofErr w:type="spellStart"/>
            <w:r w:rsidRPr="00191C75">
              <w:rPr>
                <w:rFonts w:ascii="Times New Roman" w:eastAsia="SimSun" w:hAnsi="Times New Roman"/>
                <w:b/>
                <w:sz w:val="20"/>
                <w:szCs w:val="20"/>
              </w:rPr>
              <w:t>IBrX</w:t>
            </w:r>
            <w:proofErr w:type="spellEnd"/>
            <w:r w:rsidRPr="00191C75">
              <w:rPr>
                <w:rFonts w:ascii="Times New Roman" w:eastAsia="SimSun" w:hAnsi="Times New Roman"/>
                <w:b/>
                <w:sz w:val="20"/>
                <w:szCs w:val="20"/>
              </w:rPr>
              <w:t xml:space="preserve"> com médias ≠ 0</w:t>
            </w:r>
          </w:p>
        </w:tc>
      </w:tr>
      <w:tr w:rsidR="00191C75" w:rsidRPr="00191C75" w14:paraId="264BC1D0" w14:textId="77777777" w:rsidTr="00E652ED">
        <w:trPr>
          <w:jc w:val="center"/>
        </w:trPr>
        <w:tc>
          <w:tcPr>
            <w:tcW w:w="1696" w:type="dxa"/>
            <w:vMerge/>
            <w:shd w:val="clear" w:color="auto" w:fill="auto"/>
          </w:tcPr>
          <w:p w14:paraId="50A6644D" w14:textId="77777777" w:rsidR="001C6696" w:rsidRPr="00191C75" w:rsidRDefault="001C6696" w:rsidP="00E652ED">
            <w:pPr>
              <w:spacing w:after="0" w:line="240" w:lineRule="auto"/>
              <w:rPr>
                <w:rFonts w:ascii="Times New Roman" w:eastAsia="SimSun" w:hAnsi="Times New Roman"/>
                <w:b/>
                <w:sz w:val="20"/>
                <w:szCs w:val="20"/>
              </w:rPr>
            </w:pPr>
          </w:p>
        </w:tc>
        <w:tc>
          <w:tcPr>
            <w:tcW w:w="737" w:type="dxa"/>
            <w:shd w:val="clear" w:color="auto" w:fill="auto"/>
          </w:tcPr>
          <w:p w14:paraId="1A62C467" w14:textId="77777777" w:rsidR="001C6696" w:rsidRPr="00191C75" w:rsidRDefault="001C6696" w:rsidP="00E652ED">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Com (a)</w:t>
            </w:r>
          </w:p>
        </w:tc>
        <w:tc>
          <w:tcPr>
            <w:tcW w:w="737" w:type="dxa"/>
            <w:shd w:val="clear" w:color="auto" w:fill="auto"/>
          </w:tcPr>
          <w:p w14:paraId="5A156282" w14:textId="77777777" w:rsidR="001C6696" w:rsidRPr="00191C75" w:rsidRDefault="001C6696" w:rsidP="00E652ED">
            <w:pPr>
              <w:spacing w:after="0" w:line="240" w:lineRule="auto"/>
              <w:ind w:hanging="6"/>
              <w:jc w:val="center"/>
              <w:rPr>
                <w:rFonts w:ascii="Times New Roman" w:eastAsia="SimSun" w:hAnsi="Times New Roman"/>
                <w:b/>
                <w:sz w:val="20"/>
                <w:szCs w:val="20"/>
              </w:rPr>
            </w:pPr>
            <w:r w:rsidRPr="00191C75">
              <w:rPr>
                <w:rFonts w:ascii="Times New Roman" w:eastAsia="SimSun" w:hAnsi="Times New Roman"/>
                <w:b/>
                <w:sz w:val="20"/>
                <w:szCs w:val="20"/>
              </w:rPr>
              <w:t>Sem (a)</w:t>
            </w:r>
          </w:p>
        </w:tc>
        <w:tc>
          <w:tcPr>
            <w:tcW w:w="737" w:type="dxa"/>
            <w:shd w:val="clear" w:color="auto" w:fill="auto"/>
          </w:tcPr>
          <w:p w14:paraId="0170ECD2" w14:textId="77777777" w:rsidR="001C6696" w:rsidRPr="00191C75" w:rsidRDefault="001C6696" w:rsidP="00E652ED">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w:t>
            </w:r>
          </w:p>
          <w:p w14:paraId="6439F4BA" w14:textId="77777777" w:rsidR="001C6696" w:rsidRPr="00191C75" w:rsidRDefault="001C6696" w:rsidP="00E652ED">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(b)</w:t>
            </w:r>
          </w:p>
        </w:tc>
        <w:tc>
          <w:tcPr>
            <w:tcW w:w="737" w:type="dxa"/>
            <w:shd w:val="clear" w:color="auto" w:fill="auto"/>
          </w:tcPr>
          <w:p w14:paraId="1E6E6581" w14:textId="77777777" w:rsidR="001C6696" w:rsidRPr="00191C75" w:rsidRDefault="001C6696" w:rsidP="00E652ED">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w:t>
            </w:r>
          </w:p>
          <w:p w14:paraId="0C38D451" w14:textId="77777777" w:rsidR="001C6696" w:rsidRPr="00191C75" w:rsidRDefault="001C6696" w:rsidP="00E652ED">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(c)</w:t>
            </w:r>
          </w:p>
        </w:tc>
        <w:tc>
          <w:tcPr>
            <w:tcW w:w="738" w:type="dxa"/>
            <w:shd w:val="clear" w:color="auto" w:fill="auto"/>
          </w:tcPr>
          <w:p w14:paraId="7B35E1B7" w14:textId="77777777" w:rsidR="001C6696" w:rsidRPr="00191C75" w:rsidRDefault="001C6696" w:rsidP="00E652ED">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w:t>
            </w:r>
          </w:p>
          <w:p w14:paraId="5D2135D2" w14:textId="77777777" w:rsidR="001C6696" w:rsidRPr="00191C75" w:rsidRDefault="001C6696" w:rsidP="00E652ED">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(c)</w:t>
            </w:r>
          </w:p>
        </w:tc>
        <w:tc>
          <w:tcPr>
            <w:tcW w:w="736" w:type="dxa"/>
            <w:shd w:val="clear" w:color="auto" w:fill="auto"/>
          </w:tcPr>
          <w:p w14:paraId="5E1A9B5E" w14:textId="77777777" w:rsidR="001C6696" w:rsidRPr="00191C75" w:rsidRDefault="001C6696" w:rsidP="00E652ED">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Com (a)</w:t>
            </w:r>
          </w:p>
        </w:tc>
        <w:tc>
          <w:tcPr>
            <w:tcW w:w="736" w:type="dxa"/>
            <w:shd w:val="clear" w:color="auto" w:fill="auto"/>
          </w:tcPr>
          <w:p w14:paraId="3DC75C6F" w14:textId="77777777" w:rsidR="001C6696" w:rsidRPr="00191C75" w:rsidRDefault="001C6696" w:rsidP="00E652ED">
            <w:pPr>
              <w:spacing w:after="0" w:line="240" w:lineRule="auto"/>
              <w:ind w:hanging="6"/>
              <w:jc w:val="center"/>
              <w:rPr>
                <w:rFonts w:ascii="Times New Roman" w:eastAsia="SimSun" w:hAnsi="Times New Roman"/>
                <w:b/>
                <w:sz w:val="20"/>
                <w:szCs w:val="20"/>
              </w:rPr>
            </w:pPr>
            <w:r w:rsidRPr="00191C75">
              <w:rPr>
                <w:rFonts w:ascii="Times New Roman" w:eastAsia="SimSun" w:hAnsi="Times New Roman"/>
                <w:b/>
                <w:sz w:val="20"/>
                <w:szCs w:val="20"/>
              </w:rPr>
              <w:t>Sem (a)</w:t>
            </w:r>
          </w:p>
        </w:tc>
        <w:tc>
          <w:tcPr>
            <w:tcW w:w="736" w:type="dxa"/>
            <w:shd w:val="clear" w:color="auto" w:fill="auto"/>
          </w:tcPr>
          <w:p w14:paraId="2431EEC2" w14:textId="77777777" w:rsidR="001C6696" w:rsidRPr="00191C75" w:rsidRDefault="001C6696" w:rsidP="00E652ED">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w:t>
            </w:r>
          </w:p>
          <w:p w14:paraId="2AA1598D" w14:textId="77777777" w:rsidR="001C6696" w:rsidRPr="00191C75" w:rsidRDefault="001C6696" w:rsidP="00E652ED">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(b)</w:t>
            </w:r>
          </w:p>
        </w:tc>
        <w:tc>
          <w:tcPr>
            <w:tcW w:w="736" w:type="dxa"/>
            <w:shd w:val="clear" w:color="auto" w:fill="auto"/>
          </w:tcPr>
          <w:p w14:paraId="0AF53E3B" w14:textId="77777777" w:rsidR="001C6696" w:rsidRPr="00191C75" w:rsidRDefault="001C6696" w:rsidP="00E652ED">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w:t>
            </w:r>
          </w:p>
          <w:p w14:paraId="7D612643" w14:textId="77777777" w:rsidR="001C6696" w:rsidRPr="00191C75" w:rsidRDefault="001C6696" w:rsidP="00E652ED">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(c)</w:t>
            </w:r>
          </w:p>
        </w:tc>
        <w:tc>
          <w:tcPr>
            <w:tcW w:w="736" w:type="dxa"/>
            <w:shd w:val="clear" w:color="auto" w:fill="auto"/>
          </w:tcPr>
          <w:p w14:paraId="1305C776" w14:textId="77777777" w:rsidR="001C6696" w:rsidRPr="00191C75" w:rsidRDefault="001C6696" w:rsidP="00E652ED">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w:t>
            </w:r>
          </w:p>
          <w:p w14:paraId="5FC1BBBA" w14:textId="77777777" w:rsidR="001C6696" w:rsidRPr="00191C75" w:rsidRDefault="001C6696" w:rsidP="00E652ED">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(c)</w:t>
            </w:r>
          </w:p>
        </w:tc>
      </w:tr>
      <w:tr w:rsidR="00191C75" w:rsidRPr="00191C75" w14:paraId="0C50B97B" w14:textId="77777777" w:rsidTr="00E652ED">
        <w:trPr>
          <w:trHeight w:val="182"/>
          <w:jc w:val="center"/>
        </w:trPr>
        <w:tc>
          <w:tcPr>
            <w:tcW w:w="1696" w:type="dxa"/>
            <w:shd w:val="clear" w:color="auto" w:fill="auto"/>
          </w:tcPr>
          <w:p w14:paraId="435709FA" w14:textId="77777777" w:rsidR="001C6696" w:rsidRPr="00191C75" w:rsidRDefault="001C6696" w:rsidP="00E652ED">
            <w:pPr>
              <w:spacing w:after="0" w:line="240" w:lineRule="auto"/>
              <w:rPr>
                <w:rFonts w:ascii="Times New Roman" w:eastAsia="SimSun" w:hAnsi="Times New Roman"/>
                <w:sz w:val="20"/>
                <w:szCs w:val="20"/>
              </w:rPr>
            </w:pPr>
            <w:r w:rsidRPr="00191C75">
              <w:rPr>
                <w:rFonts w:ascii="Times New Roman" w:eastAsia="SimSun" w:hAnsi="Times New Roman"/>
                <w:sz w:val="20"/>
                <w:szCs w:val="20"/>
              </w:rPr>
              <w:t>1 mês ou 22 dias</w:t>
            </w:r>
          </w:p>
        </w:tc>
        <w:tc>
          <w:tcPr>
            <w:tcW w:w="737" w:type="dxa"/>
            <w:shd w:val="clear" w:color="auto" w:fill="auto"/>
          </w:tcPr>
          <w:p w14:paraId="7D26853F" w14:textId="77777777" w:rsidR="001C6696" w:rsidRPr="00191C75" w:rsidRDefault="001C6696" w:rsidP="00E652ED">
            <w:pPr>
              <w:spacing w:after="0" w:line="240" w:lineRule="auto"/>
              <w:ind w:firstLine="18"/>
              <w:jc w:val="center"/>
              <w:rPr>
                <w:rFonts w:ascii="Times New Roman" w:eastAsia="SimSun" w:hAnsi="Times New Roman"/>
                <w:sz w:val="20"/>
                <w:szCs w:val="20"/>
              </w:rPr>
            </w:pPr>
            <w:r w:rsidRPr="00191C75">
              <w:rPr>
                <w:rFonts w:ascii="Times New Roman" w:eastAsia="SimSun" w:hAnsi="Times New Roman"/>
                <w:sz w:val="20"/>
                <w:szCs w:val="20"/>
              </w:rPr>
              <w:t>22</w:t>
            </w:r>
          </w:p>
        </w:tc>
        <w:tc>
          <w:tcPr>
            <w:tcW w:w="737" w:type="dxa"/>
            <w:shd w:val="clear" w:color="auto" w:fill="auto"/>
          </w:tcPr>
          <w:p w14:paraId="49D2C263" w14:textId="77777777" w:rsidR="001C6696" w:rsidRPr="00191C75" w:rsidRDefault="001C6696" w:rsidP="00E652ED">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39</w:t>
            </w:r>
          </w:p>
        </w:tc>
        <w:tc>
          <w:tcPr>
            <w:tcW w:w="737" w:type="dxa"/>
            <w:shd w:val="clear" w:color="auto" w:fill="auto"/>
          </w:tcPr>
          <w:p w14:paraId="35783D96" w14:textId="77777777" w:rsidR="001C6696" w:rsidRPr="00191C75" w:rsidRDefault="001C6696" w:rsidP="00E652ED">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0,66</w:t>
            </w:r>
          </w:p>
        </w:tc>
        <w:tc>
          <w:tcPr>
            <w:tcW w:w="737" w:type="dxa"/>
            <w:shd w:val="clear" w:color="auto" w:fill="auto"/>
          </w:tcPr>
          <w:p w14:paraId="60DF735D" w14:textId="77777777" w:rsidR="001C6696" w:rsidRPr="00191C75" w:rsidRDefault="001C6696" w:rsidP="00E652ED">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N/A</w:t>
            </w:r>
          </w:p>
        </w:tc>
        <w:tc>
          <w:tcPr>
            <w:tcW w:w="738" w:type="dxa"/>
            <w:shd w:val="clear" w:color="auto" w:fill="auto"/>
          </w:tcPr>
          <w:p w14:paraId="7759A8BF" w14:textId="77777777" w:rsidR="001C6696" w:rsidRPr="00191C75" w:rsidRDefault="001C6696" w:rsidP="00E652ED">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N/A</w:t>
            </w:r>
          </w:p>
        </w:tc>
        <w:tc>
          <w:tcPr>
            <w:tcW w:w="736" w:type="dxa"/>
            <w:shd w:val="clear" w:color="auto" w:fill="auto"/>
          </w:tcPr>
          <w:p w14:paraId="45ABB227" w14:textId="77777777" w:rsidR="001C6696" w:rsidRPr="00191C75" w:rsidRDefault="001C6696" w:rsidP="00E652ED">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21</w:t>
            </w:r>
          </w:p>
        </w:tc>
        <w:tc>
          <w:tcPr>
            <w:tcW w:w="736" w:type="dxa"/>
            <w:shd w:val="clear" w:color="auto" w:fill="auto"/>
          </w:tcPr>
          <w:p w14:paraId="66DE6B4A" w14:textId="77777777" w:rsidR="001C6696" w:rsidRPr="00191C75" w:rsidRDefault="001C6696" w:rsidP="00E652ED">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37</w:t>
            </w:r>
          </w:p>
        </w:tc>
        <w:tc>
          <w:tcPr>
            <w:tcW w:w="736" w:type="dxa"/>
            <w:shd w:val="clear" w:color="auto" w:fill="auto"/>
          </w:tcPr>
          <w:p w14:paraId="7DC6F003" w14:textId="77777777" w:rsidR="001C6696" w:rsidRPr="00191C75" w:rsidRDefault="001C6696" w:rsidP="00E652ED">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0,10</w:t>
            </w:r>
          </w:p>
        </w:tc>
        <w:tc>
          <w:tcPr>
            <w:tcW w:w="736" w:type="dxa"/>
            <w:shd w:val="clear" w:color="auto" w:fill="auto"/>
          </w:tcPr>
          <w:p w14:paraId="53F2A623" w14:textId="77777777" w:rsidR="001C6696" w:rsidRPr="00191C75" w:rsidRDefault="001C6696" w:rsidP="00E652ED">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N/A</w:t>
            </w:r>
          </w:p>
        </w:tc>
        <w:tc>
          <w:tcPr>
            <w:tcW w:w="736" w:type="dxa"/>
            <w:shd w:val="clear" w:color="auto" w:fill="auto"/>
          </w:tcPr>
          <w:p w14:paraId="1EDC8115" w14:textId="77777777" w:rsidR="001C6696" w:rsidRPr="00191C75" w:rsidRDefault="001C6696" w:rsidP="00E652ED">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N/A</w:t>
            </w:r>
          </w:p>
        </w:tc>
      </w:tr>
      <w:tr w:rsidR="00191C75" w:rsidRPr="00191C75" w14:paraId="34478CEF" w14:textId="77777777" w:rsidTr="00E652ED">
        <w:trPr>
          <w:jc w:val="center"/>
        </w:trPr>
        <w:tc>
          <w:tcPr>
            <w:tcW w:w="1696" w:type="dxa"/>
            <w:shd w:val="clear" w:color="auto" w:fill="auto"/>
          </w:tcPr>
          <w:p w14:paraId="0FE855AA" w14:textId="77777777" w:rsidR="001C6696" w:rsidRPr="00191C75" w:rsidRDefault="001C6696" w:rsidP="00E652ED">
            <w:pPr>
              <w:spacing w:after="0" w:line="240" w:lineRule="auto"/>
              <w:rPr>
                <w:rFonts w:ascii="Times New Roman" w:eastAsia="SimSun" w:hAnsi="Times New Roman"/>
                <w:sz w:val="20"/>
                <w:szCs w:val="20"/>
              </w:rPr>
            </w:pPr>
            <w:r w:rsidRPr="00191C75">
              <w:rPr>
                <w:rFonts w:ascii="Times New Roman" w:eastAsia="SimSun" w:hAnsi="Times New Roman"/>
                <w:sz w:val="20"/>
                <w:szCs w:val="20"/>
              </w:rPr>
              <w:t>6 meses ou 132 dias</w:t>
            </w:r>
          </w:p>
        </w:tc>
        <w:tc>
          <w:tcPr>
            <w:tcW w:w="737" w:type="dxa"/>
            <w:shd w:val="clear" w:color="auto" w:fill="auto"/>
          </w:tcPr>
          <w:p w14:paraId="5F2B1427" w14:textId="77777777" w:rsidR="001C6696" w:rsidRPr="00191C75" w:rsidRDefault="001C6696" w:rsidP="00E652ED">
            <w:pPr>
              <w:spacing w:after="0" w:line="240" w:lineRule="auto"/>
              <w:ind w:firstLine="18"/>
              <w:jc w:val="center"/>
              <w:rPr>
                <w:rFonts w:ascii="Times New Roman" w:eastAsia="SimSun" w:hAnsi="Times New Roman"/>
                <w:sz w:val="20"/>
                <w:szCs w:val="20"/>
              </w:rPr>
            </w:pPr>
            <w:r w:rsidRPr="00191C75">
              <w:rPr>
                <w:rFonts w:ascii="Times New Roman" w:eastAsia="SimSun" w:hAnsi="Times New Roman"/>
                <w:sz w:val="20"/>
                <w:szCs w:val="20"/>
              </w:rPr>
              <w:t>30</w:t>
            </w:r>
          </w:p>
        </w:tc>
        <w:tc>
          <w:tcPr>
            <w:tcW w:w="737" w:type="dxa"/>
            <w:shd w:val="clear" w:color="auto" w:fill="auto"/>
          </w:tcPr>
          <w:p w14:paraId="12B0FB41" w14:textId="77777777" w:rsidR="001C6696" w:rsidRPr="00191C75" w:rsidRDefault="001C6696" w:rsidP="00E652ED">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41</w:t>
            </w:r>
          </w:p>
        </w:tc>
        <w:tc>
          <w:tcPr>
            <w:tcW w:w="737" w:type="dxa"/>
            <w:shd w:val="clear" w:color="auto" w:fill="auto"/>
          </w:tcPr>
          <w:p w14:paraId="2AA3B359" w14:textId="77777777" w:rsidR="001C6696" w:rsidRPr="00191C75" w:rsidRDefault="001C6696" w:rsidP="00E652ED">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0,00</w:t>
            </w:r>
          </w:p>
        </w:tc>
        <w:tc>
          <w:tcPr>
            <w:tcW w:w="737" w:type="dxa"/>
            <w:shd w:val="clear" w:color="auto" w:fill="auto"/>
          </w:tcPr>
          <w:p w14:paraId="652422CA" w14:textId="77777777" w:rsidR="001C6696" w:rsidRPr="00191C75" w:rsidRDefault="001C6696" w:rsidP="00E652ED">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78</w:t>
            </w:r>
          </w:p>
        </w:tc>
        <w:tc>
          <w:tcPr>
            <w:tcW w:w="738" w:type="dxa"/>
            <w:shd w:val="clear" w:color="auto" w:fill="auto"/>
          </w:tcPr>
          <w:p w14:paraId="365787D5" w14:textId="77777777" w:rsidR="001C6696" w:rsidRPr="00191C75" w:rsidRDefault="001C6696" w:rsidP="00E652ED">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54</w:t>
            </w:r>
          </w:p>
        </w:tc>
        <w:tc>
          <w:tcPr>
            <w:tcW w:w="736" w:type="dxa"/>
            <w:shd w:val="clear" w:color="auto" w:fill="auto"/>
          </w:tcPr>
          <w:p w14:paraId="5702D829" w14:textId="77777777" w:rsidR="001C6696" w:rsidRPr="00191C75" w:rsidRDefault="001C6696" w:rsidP="00E652ED">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30</w:t>
            </w:r>
          </w:p>
        </w:tc>
        <w:tc>
          <w:tcPr>
            <w:tcW w:w="736" w:type="dxa"/>
            <w:shd w:val="clear" w:color="auto" w:fill="auto"/>
          </w:tcPr>
          <w:p w14:paraId="232B784F" w14:textId="77777777" w:rsidR="001C6696" w:rsidRPr="00191C75" w:rsidRDefault="001C6696" w:rsidP="00E652ED">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41</w:t>
            </w:r>
          </w:p>
        </w:tc>
        <w:tc>
          <w:tcPr>
            <w:tcW w:w="736" w:type="dxa"/>
            <w:shd w:val="clear" w:color="auto" w:fill="auto"/>
          </w:tcPr>
          <w:p w14:paraId="55B33940" w14:textId="77777777" w:rsidR="001C6696" w:rsidRPr="00191C75" w:rsidRDefault="001C6696" w:rsidP="00E652ED">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0,00</w:t>
            </w:r>
          </w:p>
        </w:tc>
        <w:tc>
          <w:tcPr>
            <w:tcW w:w="736" w:type="dxa"/>
            <w:shd w:val="clear" w:color="auto" w:fill="auto"/>
          </w:tcPr>
          <w:p w14:paraId="57A84230" w14:textId="77777777" w:rsidR="001C6696" w:rsidRPr="00191C75" w:rsidRDefault="001C6696" w:rsidP="00E652ED">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80</w:t>
            </w:r>
          </w:p>
        </w:tc>
        <w:tc>
          <w:tcPr>
            <w:tcW w:w="736" w:type="dxa"/>
            <w:shd w:val="clear" w:color="auto" w:fill="auto"/>
          </w:tcPr>
          <w:p w14:paraId="6D000187" w14:textId="77777777" w:rsidR="001C6696" w:rsidRPr="00191C75" w:rsidRDefault="001C6696" w:rsidP="00E652ED">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52</w:t>
            </w:r>
          </w:p>
        </w:tc>
      </w:tr>
      <w:tr w:rsidR="001C6696" w:rsidRPr="00191C75" w14:paraId="5C0217DB" w14:textId="77777777" w:rsidTr="00E652ED">
        <w:trPr>
          <w:jc w:val="center"/>
        </w:trPr>
        <w:tc>
          <w:tcPr>
            <w:tcW w:w="1696" w:type="dxa"/>
            <w:shd w:val="clear" w:color="auto" w:fill="auto"/>
          </w:tcPr>
          <w:p w14:paraId="37F66E16" w14:textId="77777777" w:rsidR="001C6696" w:rsidRPr="00191C75" w:rsidRDefault="001C6696" w:rsidP="00E652ED">
            <w:pPr>
              <w:spacing w:after="0" w:line="240" w:lineRule="auto"/>
              <w:rPr>
                <w:rFonts w:ascii="Times New Roman" w:eastAsia="SimSun" w:hAnsi="Times New Roman"/>
                <w:sz w:val="20"/>
                <w:szCs w:val="20"/>
              </w:rPr>
            </w:pPr>
            <w:r w:rsidRPr="00191C75">
              <w:rPr>
                <w:rFonts w:ascii="Times New Roman" w:eastAsia="SimSun" w:hAnsi="Times New Roman"/>
                <w:sz w:val="20"/>
                <w:szCs w:val="20"/>
              </w:rPr>
              <w:t>1 ano ou 264 dias</w:t>
            </w:r>
          </w:p>
        </w:tc>
        <w:tc>
          <w:tcPr>
            <w:tcW w:w="737" w:type="dxa"/>
            <w:shd w:val="clear" w:color="auto" w:fill="auto"/>
          </w:tcPr>
          <w:p w14:paraId="03EA23DA" w14:textId="77777777" w:rsidR="001C6696" w:rsidRPr="00191C75" w:rsidRDefault="001C6696" w:rsidP="00E652ED">
            <w:pPr>
              <w:spacing w:after="0" w:line="240" w:lineRule="auto"/>
              <w:ind w:firstLine="18"/>
              <w:jc w:val="center"/>
              <w:rPr>
                <w:rFonts w:ascii="Times New Roman" w:eastAsia="SimSun" w:hAnsi="Times New Roman"/>
                <w:sz w:val="20"/>
                <w:szCs w:val="20"/>
              </w:rPr>
            </w:pPr>
            <w:r w:rsidRPr="00191C75">
              <w:rPr>
                <w:rFonts w:ascii="Times New Roman" w:eastAsia="SimSun" w:hAnsi="Times New Roman"/>
                <w:sz w:val="20"/>
                <w:szCs w:val="20"/>
              </w:rPr>
              <w:t>36</w:t>
            </w:r>
          </w:p>
        </w:tc>
        <w:tc>
          <w:tcPr>
            <w:tcW w:w="737" w:type="dxa"/>
            <w:shd w:val="clear" w:color="auto" w:fill="auto"/>
          </w:tcPr>
          <w:p w14:paraId="486E1E36" w14:textId="77777777" w:rsidR="001C6696" w:rsidRPr="00191C75" w:rsidRDefault="001C6696" w:rsidP="00E652ED">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46</w:t>
            </w:r>
          </w:p>
        </w:tc>
        <w:tc>
          <w:tcPr>
            <w:tcW w:w="737" w:type="dxa"/>
            <w:shd w:val="clear" w:color="auto" w:fill="auto"/>
          </w:tcPr>
          <w:p w14:paraId="4389EA6A" w14:textId="77777777" w:rsidR="001C6696" w:rsidRPr="00191C75" w:rsidRDefault="001C6696" w:rsidP="00E652ED">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0,00</w:t>
            </w:r>
          </w:p>
        </w:tc>
        <w:tc>
          <w:tcPr>
            <w:tcW w:w="737" w:type="dxa"/>
            <w:shd w:val="clear" w:color="auto" w:fill="auto"/>
          </w:tcPr>
          <w:p w14:paraId="1CF2B475" w14:textId="77777777" w:rsidR="001C6696" w:rsidRPr="00191C75" w:rsidRDefault="001C6696" w:rsidP="00E652ED">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211</w:t>
            </w:r>
          </w:p>
        </w:tc>
        <w:tc>
          <w:tcPr>
            <w:tcW w:w="738" w:type="dxa"/>
            <w:shd w:val="clear" w:color="auto" w:fill="auto"/>
          </w:tcPr>
          <w:p w14:paraId="2601BF14" w14:textId="77777777" w:rsidR="001C6696" w:rsidRPr="00191C75" w:rsidRDefault="001C6696" w:rsidP="00E652ED">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53</w:t>
            </w:r>
          </w:p>
        </w:tc>
        <w:tc>
          <w:tcPr>
            <w:tcW w:w="736" w:type="dxa"/>
            <w:shd w:val="clear" w:color="auto" w:fill="auto"/>
          </w:tcPr>
          <w:p w14:paraId="2C0C1C30" w14:textId="77777777" w:rsidR="001C6696" w:rsidRPr="00191C75" w:rsidRDefault="001C6696" w:rsidP="00E652ED">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33</w:t>
            </w:r>
          </w:p>
        </w:tc>
        <w:tc>
          <w:tcPr>
            <w:tcW w:w="736" w:type="dxa"/>
            <w:shd w:val="clear" w:color="auto" w:fill="auto"/>
          </w:tcPr>
          <w:p w14:paraId="67A22092" w14:textId="77777777" w:rsidR="001C6696" w:rsidRPr="00191C75" w:rsidRDefault="001C6696" w:rsidP="00E652ED">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45</w:t>
            </w:r>
          </w:p>
        </w:tc>
        <w:tc>
          <w:tcPr>
            <w:tcW w:w="736" w:type="dxa"/>
            <w:shd w:val="clear" w:color="auto" w:fill="auto"/>
          </w:tcPr>
          <w:p w14:paraId="51C877A6" w14:textId="77777777" w:rsidR="001C6696" w:rsidRPr="00191C75" w:rsidRDefault="001C6696" w:rsidP="00E652ED">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0,00</w:t>
            </w:r>
          </w:p>
        </w:tc>
        <w:tc>
          <w:tcPr>
            <w:tcW w:w="736" w:type="dxa"/>
            <w:shd w:val="clear" w:color="auto" w:fill="auto"/>
          </w:tcPr>
          <w:p w14:paraId="12A309C1" w14:textId="77777777" w:rsidR="001C6696" w:rsidRPr="00191C75" w:rsidRDefault="001C6696" w:rsidP="00E652ED">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209</w:t>
            </w:r>
          </w:p>
        </w:tc>
        <w:tc>
          <w:tcPr>
            <w:tcW w:w="736" w:type="dxa"/>
            <w:shd w:val="clear" w:color="auto" w:fill="auto"/>
          </w:tcPr>
          <w:p w14:paraId="13B9DA8D" w14:textId="77777777" w:rsidR="001C6696" w:rsidRPr="00191C75" w:rsidRDefault="001C6696" w:rsidP="00E652ED">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55</w:t>
            </w:r>
          </w:p>
        </w:tc>
      </w:tr>
    </w:tbl>
    <w:p w14:paraId="575A1515" w14:textId="77777777" w:rsidR="001C6696" w:rsidRPr="00191C75" w:rsidRDefault="001C6696" w:rsidP="00B37D61">
      <w:pPr>
        <w:spacing w:after="0" w:line="240" w:lineRule="auto"/>
        <w:ind w:firstLine="567"/>
        <w:jc w:val="both"/>
        <w:rPr>
          <w:rFonts w:ascii="Times New Roman" w:hAnsi="Times New Roman"/>
          <w:sz w:val="24"/>
          <w:szCs w:val="24"/>
          <w:lang w:val="en-US" w:eastAsia="pt-BR"/>
        </w:rPr>
      </w:pPr>
    </w:p>
    <w:p w14:paraId="35E7AF61" w14:textId="77777777" w:rsidR="003E49D5" w:rsidRPr="00191C75" w:rsidRDefault="003E49D5" w:rsidP="001C6696">
      <w:pPr>
        <w:spacing w:after="0" w:line="240" w:lineRule="auto"/>
        <w:jc w:val="both"/>
        <w:rPr>
          <w:rFonts w:ascii="Times New Roman" w:hAnsi="Times New Roman"/>
          <w:sz w:val="20"/>
          <w:szCs w:val="20"/>
          <w:lang w:eastAsia="pt-BR"/>
        </w:rPr>
      </w:pPr>
      <w:proofErr w:type="spellStart"/>
      <w:r w:rsidRPr="00191C75">
        <w:rPr>
          <w:rFonts w:ascii="Times New Roman" w:hAnsi="Times New Roman"/>
          <w:sz w:val="20"/>
          <w:szCs w:val="20"/>
          <w:lang w:eastAsia="pt-BR"/>
        </w:rPr>
        <w:t>Obs</w:t>
      </w:r>
      <w:proofErr w:type="spellEnd"/>
      <w:r w:rsidRPr="00191C75">
        <w:rPr>
          <w:rFonts w:ascii="Times New Roman" w:hAnsi="Times New Roman"/>
          <w:sz w:val="20"/>
          <w:szCs w:val="20"/>
          <w:lang w:eastAsia="pt-BR"/>
        </w:rPr>
        <w:t xml:space="preserve">: (a) número de companhias com CAR estatisticamente diferentes de zero; (b) valor do </w:t>
      </w:r>
      <w:r w:rsidRPr="00191C75">
        <w:rPr>
          <w:rFonts w:ascii="Times New Roman" w:hAnsi="Times New Roman"/>
          <w:i/>
          <w:sz w:val="20"/>
          <w:szCs w:val="20"/>
          <w:lang w:eastAsia="pt-BR"/>
        </w:rPr>
        <w:t>p-</w:t>
      </w:r>
      <w:proofErr w:type="spellStart"/>
      <w:r w:rsidRPr="00191C75">
        <w:rPr>
          <w:rFonts w:ascii="Times New Roman" w:hAnsi="Times New Roman"/>
          <w:i/>
          <w:sz w:val="20"/>
          <w:szCs w:val="20"/>
          <w:lang w:eastAsia="pt-BR"/>
        </w:rPr>
        <w:t>value</w:t>
      </w:r>
      <w:proofErr w:type="spellEnd"/>
      <w:r w:rsidRPr="00191C75">
        <w:rPr>
          <w:rFonts w:ascii="Times New Roman" w:hAnsi="Times New Roman"/>
          <w:sz w:val="20"/>
          <w:szCs w:val="20"/>
          <w:lang w:eastAsia="pt-BR"/>
        </w:rPr>
        <w:t xml:space="preserve"> para o teste de diferença de médias e (c) número de pregões.</w:t>
      </w:r>
    </w:p>
    <w:p w14:paraId="143FF388" w14:textId="77777777" w:rsidR="003E49D5" w:rsidRPr="00191C75" w:rsidRDefault="003E49D5" w:rsidP="00B37D61">
      <w:pPr>
        <w:spacing w:after="0" w:line="240" w:lineRule="auto"/>
        <w:ind w:firstLine="567"/>
        <w:jc w:val="both"/>
        <w:rPr>
          <w:rFonts w:ascii="Times New Roman" w:hAnsi="Times New Roman"/>
          <w:sz w:val="24"/>
          <w:szCs w:val="24"/>
          <w:lang w:eastAsia="pt-BR"/>
        </w:rPr>
      </w:pPr>
    </w:p>
    <w:p w14:paraId="746E7355" w14:textId="77777777" w:rsidR="003E49D5" w:rsidRPr="00191C75" w:rsidRDefault="003E49D5" w:rsidP="009D2A19">
      <w:pPr>
        <w:spacing w:after="0" w:line="240" w:lineRule="auto"/>
        <w:ind w:firstLine="709"/>
        <w:jc w:val="both"/>
        <w:rPr>
          <w:rFonts w:ascii="Times New Roman" w:hAnsi="Times New Roman"/>
          <w:sz w:val="24"/>
          <w:szCs w:val="24"/>
          <w:lang w:eastAsia="pt-BR"/>
        </w:rPr>
      </w:pPr>
      <w:r w:rsidRPr="00191C75">
        <w:rPr>
          <w:rFonts w:ascii="Times New Roman" w:hAnsi="Times New Roman"/>
          <w:sz w:val="24"/>
          <w:szCs w:val="24"/>
          <w:lang w:eastAsia="pt-BR"/>
        </w:rPr>
        <w:t xml:space="preserve">Por fim, para a hipótese 2 – quanto maior a participação prévia dos fundos de VC/PE no capital dessas companhias, maior o retorno de suas ações, aplica-se a etapa 3. A tabela 8 demonstra a distribuição das companhias que possuem participação prévia nos fundos de VC/PE em quartis, por participação no capital social, considerando apenas aquelas que possuem </w:t>
      </w:r>
      <w:proofErr w:type="spellStart"/>
      <w:r w:rsidRPr="00191C75">
        <w:rPr>
          <w:rFonts w:ascii="Times New Roman" w:hAnsi="Times New Roman"/>
          <w:sz w:val="24"/>
          <w:szCs w:val="24"/>
          <w:lang w:eastAsia="pt-BR"/>
        </w:rPr>
        <w:t>CARs</w:t>
      </w:r>
      <w:proofErr w:type="spellEnd"/>
      <w:r w:rsidRPr="00191C75">
        <w:rPr>
          <w:rFonts w:ascii="Times New Roman" w:hAnsi="Times New Roman"/>
          <w:sz w:val="24"/>
          <w:szCs w:val="24"/>
          <w:lang w:eastAsia="pt-BR"/>
        </w:rPr>
        <w:t xml:space="preserve"> estatisticamente diferentes de zero - vide tabela 5. A distribuição dos quartis se dá via </w:t>
      </w:r>
      <w:r w:rsidRPr="00191C75">
        <w:rPr>
          <w:rFonts w:ascii="Times New Roman" w:hAnsi="Times New Roman"/>
          <w:sz w:val="24"/>
          <w:szCs w:val="24"/>
          <w:lang w:eastAsia="pt-BR"/>
        </w:rPr>
        <w:lastRenderedPageBreak/>
        <w:t>intervalos de 25%, exceção feita ao Q1 que varia entre 5% e 25%. Isso se deve ao fato de que os prospectos de IPOs publicados no padrão CVM discriminam apenas participações acionárias iguais ou superiores a 5% do capital da empresa investida.</w:t>
      </w:r>
    </w:p>
    <w:p w14:paraId="4C4B764B" w14:textId="77777777" w:rsidR="003E49D5" w:rsidRPr="00191C75" w:rsidRDefault="003E49D5" w:rsidP="00B37D61">
      <w:pPr>
        <w:spacing w:after="0" w:line="240" w:lineRule="auto"/>
        <w:ind w:firstLine="567"/>
        <w:jc w:val="both"/>
        <w:rPr>
          <w:rFonts w:ascii="Times New Roman" w:hAnsi="Times New Roman"/>
          <w:sz w:val="24"/>
          <w:szCs w:val="24"/>
          <w:lang w:eastAsia="pt-BR"/>
        </w:rPr>
      </w:pPr>
    </w:p>
    <w:p w14:paraId="0606032D" w14:textId="77777777" w:rsidR="003E49D5" w:rsidRPr="00191C75" w:rsidRDefault="003E49D5" w:rsidP="005D3F0B">
      <w:pPr>
        <w:pStyle w:val="Caption"/>
        <w:keepNext/>
        <w:spacing w:after="0"/>
        <w:jc w:val="center"/>
        <w:rPr>
          <w:b/>
          <w:i w:val="0"/>
          <w:color w:val="auto"/>
          <w:sz w:val="20"/>
          <w:szCs w:val="24"/>
          <w:lang w:val="pt-BR"/>
        </w:rPr>
      </w:pPr>
      <w:r w:rsidRPr="00191C75">
        <w:rPr>
          <w:b/>
          <w:i w:val="0"/>
          <w:color w:val="auto"/>
          <w:sz w:val="20"/>
          <w:szCs w:val="24"/>
          <w:lang w:val="pt-BR"/>
        </w:rPr>
        <w:t>Tabela 8 – Distribuição das companhias com participação prévia nos fundos de VC/PE por quartil</w:t>
      </w:r>
    </w:p>
    <w:p w14:paraId="2FB4865A" w14:textId="77777777" w:rsidR="009131CC" w:rsidRPr="00191C75" w:rsidRDefault="009131CC" w:rsidP="009131CC">
      <w:pPr>
        <w:spacing w:after="0" w:line="240" w:lineRule="auto"/>
        <w:jc w:val="both"/>
      </w:pPr>
    </w:p>
    <w:tbl>
      <w:tblPr>
        <w:tblW w:w="8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425"/>
        <w:gridCol w:w="850"/>
        <w:gridCol w:w="426"/>
        <w:gridCol w:w="850"/>
        <w:gridCol w:w="425"/>
        <w:gridCol w:w="851"/>
        <w:gridCol w:w="425"/>
        <w:gridCol w:w="851"/>
        <w:gridCol w:w="425"/>
        <w:gridCol w:w="850"/>
        <w:gridCol w:w="426"/>
        <w:gridCol w:w="850"/>
      </w:tblGrid>
      <w:tr w:rsidR="00191C75" w:rsidRPr="00191C75" w14:paraId="5934F46E" w14:textId="77777777" w:rsidTr="00E652ED">
        <w:trPr>
          <w:jc w:val="center"/>
        </w:trPr>
        <w:tc>
          <w:tcPr>
            <w:tcW w:w="1309" w:type="dxa"/>
            <w:vMerge w:val="restart"/>
            <w:shd w:val="clear" w:color="auto" w:fill="auto"/>
          </w:tcPr>
          <w:p w14:paraId="3B92FC98" w14:textId="77777777" w:rsidR="009131CC" w:rsidRPr="00191C75" w:rsidRDefault="009131CC" w:rsidP="008E7936">
            <w:pPr>
              <w:spacing w:after="0" w:line="240" w:lineRule="auto"/>
              <w:ind w:firstLine="29"/>
              <w:rPr>
                <w:rFonts w:ascii="Times New Roman" w:eastAsia="SimSun" w:hAnsi="Times New Roman"/>
                <w:b/>
                <w:sz w:val="20"/>
                <w:szCs w:val="20"/>
              </w:rPr>
            </w:pPr>
            <w:r w:rsidRPr="00191C75">
              <w:rPr>
                <w:rFonts w:ascii="Times New Roman" w:eastAsia="SimSun" w:hAnsi="Times New Roman"/>
                <w:b/>
                <w:sz w:val="20"/>
                <w:szCs w:val="20"/>
              </w:rPr>
              <w:t>Quartis</w:t>
            </w:r>
          </w:p>
        </w:tc>
        <w:tc>
          <w:tcPr>
            <w:tcW w:w="2551" w:type="dxa"/>
            <w:gridSpan w:val="4"/>
            <w:shd w:val="clear" w:color="auto" w:fill="auto"/>
          </w:tcPr>
          <w:p w14:paraId="10F11B27"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1 mês ou 22 dias</w:t>
            </w:r>
          </w:p>
        </w:tc>
        <w:tc>
          <w:tcPr>
            <w:tcW w:w="2552" w:type="dxa"/>
            <w:gridSpan w:val="4"/>
            <w:shd w:val="clear" w:color="auto" w:fill="auto"/>
          </w:tcPr>
          <w:p w14:paraId="0CAB6909"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6 meses ou 132 dias</w:t>
            </w:r>
          </w:p>
        </w:tc>
        <w:tc>
          <w:tcPr>
            <w:tcW w:w="2551" w:type="dxa"/>
            <w:gridSpan w:val="4"/>
            <w:shd w:val="clear" w:color="auto" w:fill="auto"/>
          </w:tcPr>
          <w:p w14:paraId="26E924C9"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12 meses ou 264 dias</w:t>
            </w:r>
          </w:p>
        </w:tc>
      </w:tr>
      <w:tr w:rsidR="00191C75" w:rsidRPr="00191C75" w14:paraId="5A0CC7B7" w14:textId="77777777" w:rsidTr="00E652ED">
        <w:trPr>
          <w:jc w:val="center"/>
        </w:trPr>
        <w:tc>
          <w:tcPr>
            <w:tcW w:w="1309" w:type="dxa"/>
            <w:vMerge/>
            <w:shd w:val="clear" w:color="auto" w:fill="auto"/>
          </w:tcPr>
          <w:p w14:paraId="5F920FC1" w14:textId="77777777" w:rsidR="009131CC" w:rsidRPr="00191C75" w:rsidRDefault="009131CC" w:rsidP="008E7936">
            <w:pPr>
              <w:spacing w:after="0" w:line="240" w:lineRule="auto"/>
              <w:rPr>
                <w:rFonts w:ascii="Times New Roman" w:eastAsia="SimSun" w:hAnsi="Times New Roman"/>
                <w:b/>
                <w:sz w:val="20"/>
                <w:szCs w:val="20"/>
              </w:rPr>
            </w:pPr>
          </w:p>
        </w:tc>
        <w:tc>
          <w:tcPr>
            <w:tcW w:w="1275" w:type="dxa"/>
            <w:gridSpan w:val="2"/>
            <w:shd w:val="clear" w:color="auto" w:fill="auto"/>
          </w:tcPr>
          <w:p w14:paraId="01733942"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Ibovespa</w:t>
            </w:r>
          </w:p>
        </w:tc>
        <w:tc>
          <w:tcPr>
            <w:tcW w:w="1276" w:type="dxa"/>
            <w:gridSpan w:val="2"/>
            <w:shd w:val="clear" w:color="auto" w:fill="auto"/>
          </w:tcPr>
          <w:p w14:paraId="3C6839CC" w14:textId="77777777" w:rsidR="009131CC" w:rsidRPr="00191C75" w:rsidRDefault="009131CC" w:rsidP="00E31814">
            <w:pPr>
              <w:spacing w:after="0" w:line="240" w:lineRule="auto"/>
              <w:jc w:val="center"/>
              <w:rPr>
                <w:rFonts w:ascii="Times New Roman" w:eastAsia="SimSun" w:hAnsi="Times New Roman"/>
                <w:b/>
                <w:sz w:val="20"/>
                <w:szCs w:val="20"/>
              </w:rPr>
            </w:pPr>
            <w:proofErr w:type="spellStart"/>
            <w:r w:rsidRPr="00191C75">
              <w:rPr>
                <w:rFonts w:ascii="Times New Roman" w:eastAsia="SimSun" w:hAnsi="Times New Roman"/>
                <w:b/>
                <w:sz w:val="20"/>
                <w:szCs w:val="20"/>
              </w:rPr>
              <w:t>IBrX</w:t>
            </w:r>
            <w:proofErr w:type="spellEnd"/>
          </w:p>
        </w:tc>
        <w:tc>
          <w:tcPr>
            <w:tcW w:w="1276" w:type="dxa"/>
            <w:gridSpan w:val="2"/>
            <w:shd w:val="clear" w:color="auto" w:fill="auto"/>
          </w:tcPr>
          <w:p w14:paraId="057E1005"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Ibovespa</w:t>
            </w:r>
          </w:p>
        </w:tc>
        <w:tc>
          <w:tcPr>
            <w:tcW w:w="1276" w:type="dxa"/>
            <w:gridSpan w:val="2"/>
            <w:shd w:val="clear" w:color="auto" w:fill="auto"/>
          </w:tcPr>
          <w:p w14:paraId="503944A4" w14:textId="77777777" w:rsidR="009131CC" w:rsidRPr="00191C75" w:rsidRDefault="009131CC" w:rsidP="00E31814">
            <w:pPr>
              <w:spacing w:after="0" w:line="240" w:lineRule="auto"/>
              <w:jc w:val="center"/>
              <w:rPr>
                <w:rFonts w:ascii="Times New Roman" w:eastAsia="SimSun" w:hAnsi="Times New Roman"/>
                <w:b/>
                <w:sz w:val="20"/>
                <w:szCs w:val="20"/>
              </w:rPr>
            </w:pPr>
            <w:proofErr w:type="spellStart"/>
            <w:r w:rsidRPr="00191C75">
              <w:rPr>
                <w:rFonts w:ascii="Times New Roman" w:eastAsia="SimSun" w:hAnsi="Times New Roman"/>
                <w:b/>
                <w:sz w:val="20"/>
                <w:szCs w:val="20"/>
              </w:rPr>
              <w:t>IBrX</w:t>
            </w:r>
            <w:proofErr w:type="spellEnd"/>
          </w:p>
        </w:tc>
        <w:tc>
          <w:tcPr>
            <w:tcW w:w="1275" w:type="dxa"/>
            <w:gridSpan w:val="2"/>
            <w:shd w:val="clear" w:color="auto" w:fill="auto"/>
          </w:tcPr>
          <w:p w14:paraId="400B2397"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Ibovespa</w:t>
            </w:r>
          </w:p>
        </w:tc>
        <w:tc>
          <w:tcPr>
            <w:tcW w:w="1276" w:type="dxa"/>
            <w:gridSpan w:val="2"/>
            <w:shd w:val="clear" w:color="auto" w:fill="auto"/>
          </w:tcPr>
          <w:p w14:paraId="066133CC" w14:textId="77777777" w:rsidR="009131CC" w:rsidRPr="00191C75" w:rsidRDefault="009131CC" w:rsidP="00E31814">
            <w:pPr>
              <w:spacing w:after="0" w:line="240" w:lineRule="auto"/>
              <w:jc w:val="center"/>
              <w:rPr>
                <w:rFonts w:ascii="Times New Roman" w:eastAsia="SimSun" w:hAnsi="Times New Roman"/>
                <w:b/>
                <w:sz w:val="20"/>
                <w:szCs w:val="20"/>
              </w:rPr>
            </w:pPr>
            <w:proofErr w:type="spellStart"/>
            <w:r w:rsidRPr="00191C75">
              <w:rPr>
                <w:rFonts w:ascii="Times New Roman" w:eastAsia="SimSun" w:hAnsi="Times New Roman"/>
                <w:b/>
                <w:sz w:val="20"/>
                <w:szCs w:val="20"/>
              </w:rPr>
              <w:t>IBrX</w:t>
            </w:r>
            <w:proofErr w:type="spellEnd"/>
          </w:p>
        </w:tc>
      </w:tr>
      <w:tr w:rsidR="00191C75" w:rsidRPr="00191C75" w14:paraId="07274934" w14:textId="77777777" w:rsidTr="00E652ED">
        <w:trPr>
          <w:jc w:val="center"/>
        </w:trPr>
        <w:tc>
          <w:tcPr>
            <w:tcW w:w="1309" w:type="dxa"/>
            <w:vMerge/>
            <w:shd w:val="clear" w:color="auto" w:fill="auto"/>
          </w:tcPr>
          <w:p w14:paraId="37569092" w14:textId="77777777" w:rsidR="009131CC" w:rsidRPr="00191C75" w:rsidRDefault="009131CC" w:rsidP="008E7936">
            <w:pPr>
              <w:spacing w:after="0" w:line="240" w:lineRule="auto"/>
              <w:rPr>
                <w:rFonts w:ascii="Times New Roman" w:eastAsia="SimSun" w:hAnsi="Times New Roman"/>
                <w:b/>
                <w:sz w:val="20"/>
                <w:szCs w:val="20"/>
              </w:rPr>
            </w:pPr>
          </w:p>
        </w:tc>
        <w:tc>
          <w:tcPr>
            <w:tcW w:w="425" w:type="dxa"/>
            <w:shd w:val="clear" w:color="auto" w:fill="auto"/>
          </w:tcPr>
          <w:p w14:paraId="0EF509C2"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w:t>
            </w:r>
          </w:p>
        </w:tc>
        <w:tc>
          <w:tcPr>
            <w:tcW w:w="850" w:type="dxa"/>
            <w:shd w:val="clear" w:color="auto" w:fill="auto"/>
          </w:tcPr>
          <w:p w14:paraId="69840D59"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w:t>
            </w:r>
          </w:p>
        </w:tc>
        <w:tc>
          <w:tcPr>
            <w:tcW w:w="426" w:type="dxa"/>
            <w:shd w:val="clear" w:color="auto" w:fill="auto"/>
          </w:tcPr>
          <w:p w14:paraId="0A01002D"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w:t>
            </w:r>
          </w:p>
        </w:tc>
        <w:tc>
          <w:tcPr>
            <w:tcW w:w="850" w:type="dxa"/>
            <w:shd w:val="clear" w:color="auto" w:fill="auto"/>
          </w:tcPr>
          <w:p w14:paraId="637086F4"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w:t>
            </w:r>
          </w:p>
        </w:tc>
        <w:tc>
          <w:tcPr>
            <w:tcW w:w="425" w:type="dxa"/>
            <w:shd w:val="clear" w:color="auto" w:fill="auto"/>
          </w:tcPr>
          <w:p w14:paraId="6EF618DA"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w:t>
            </w:r>
          </w:p>
        </w:tc>
        <w:tc>
          <w:tcPr>
            <w:tcW w:w="851" w:type="dxa"/>
            <w:shd w:val="clear" w:color="auto" w:fill="auto"/>
          </w:tcPr>
          <w:p w14:paraId="722457B5"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w:t>
            </w:r>
          </w:p>
        </w:tc>
        <w:tc>
          <w:tcPr>
            <w:tcW w:w="425" w:type="dxa"/>
            <w:shd w:val="clear" w:color="auto" w:fill="auto"/>
          </w:tcPr>
          <w:p w14:paraId="7745A5F9"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w:t>
            </w:r>
          </w:p>
        </w:tc>
        <w:tc>
          <w:tcPr>
            <w:tcW w:w="851" w:type="dxa"/>
            <w:shd w:val="clear" w:color="auto" w:fill="auto"/>
          </w:tcPr>
          <w:p w14:paraId="45FD3EF6"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w:t>
            </w:r>
          </w:p>
        </w:tc>
        <w:tc>
          <w:tcPr>
            <w:tcW w:w="425" w:type="dxa"/>
            <w:shd w:val="clear" w:color="auto" w:fill="auto"/>
          </w:tcPr>
          <w:p w14:paraId="1F6546CD"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w:t>
            </w:r>
          </w:p>
        </w:tc>
        <w:tc>
          <w:tcPr>
            <w:tcW w:w="850" w:type="dxa"/>
            <w:shd w:val="clear" w:color="auto" w:fill="auto"/>
          </w:tcPr>
          <w:p w14:paraId="0B59DB60"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w:t>
            </w:r>
          </w:p>
        </w:tc>
        <w:tc>
          <w:tcPr>
            <w:tcW w:w="426" w:type="dxa"/>
            <w:shd w:val="clear" w:color="auto" w:fill="auto"/>
          </w:tcPr>
          <w:p w14:paraId="1141AE7F"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w:t>
            </w:r>
          </w:p>
        </w:tc>
        <w:tc>
          <w:tcPr>
            <w:tcW w:w="850" w:type="dxa"/>
            <w:shd w:val="clear" w:color="auto" w:fill="auto"/>
          </w:tcPr>
          <w:p w14:paraId="1FCFEF97"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w:t>
            </w:r>
          </w:p>
        </w:tc>
      </w:tr>
      <w:tr w:rsidR="00191C75" w:rsidRPr="00191C75" w14:paraId="20E8D8BC" w14:textId="77777777" w:rsidTr="00E652ED">
        <w:trPr>
          <w:jc w:val="center"/>
        </w:trPr>
        <w:tc>
          <w:tcPr>
            <w:tcW w:w="1309" w:type="dxa"/>
            <w:shd w:val="clear" w:color="auto" w:fill="auto"/>
          </w:tcPr>
          <w:p w14:paraId="092FFF19" w14:textId="77777777" w:rsidR="009131CC" w:rsidRPr="00191C75" w:rsidRDefault="009131CC" w:rsidP="008E7936">
            <w:pPr>
              <w:spacing w:after="0" w:line="240" w:lineRule="auto"/>
              <w:rPr>
                <w:rFonts w:ascii="Times New Roman" w:eastAsia="SimSun" w:hAnsi="Times New Roman"/>
                <w:sz w:val="20"/>
                <w:szCs w:val="20"/>
              </w:rPr>
            </w:pPr>
            <w:r w:rsidRPr="00191C75">
              <w:rPr>
                <w:rFonts w:ascii="Times New Roman" w:eastAsia="SimSun" w:hAnsi="Times New Roman"/>
                <w:sz w:val="20"/>
                <w:szCs w:val="20"/>
              </w:rPr>
              <w:t>Q1</w:t>
            </w:r>
          </w:p>
        </w:tc>
        <w:tc>
          <w:tcPr>
            <w:tcW w:w="425" w:type="dxa"/>
            <w:shd w:val="clear" w:color="auto" w:fill="auto"/>
          </w:tcPr>
          <w:p w14:paraId="115A2632"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11</w:t>
            </w:r>
          </w:p>
        </w:tc>
        <w:tc>
          <w:tcPr>
            <w:tcW w:w="850" w:type="dxa"/>
            <w:shd w:val="clear" w:color="auto" w:fill="auto"/>
          </w:tcPr>
          <w:p w14:paraId="4A7803E9"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50,00</w:t>
            </w:r>
          </w:p>
        </w:tc>
        <w:tc>
          <w:tcPr>
            <w:tcW w:w="426" w:type="dxa"/>
            <w:shd w:val="clear" w:color="auto" w:fill="auto"/>
          </w:tcPr>
          <w:p w14:paraId="793AE0E0"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10</w:t>
            </w:r>
          </w:p>
        </w:tc>
        <w:tc>
          <w:tcPr>
            <w:tcW w:w="850" w:type="dxa"/>
            <w:shd w:val="clear" w:color="auto" w:fill="auto"/>
          </w:tcPr>
          <w:p w14:paraId="62D1EC68"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47,62</w:t>
            </w:r>
          </w:p>
        </w:tc>
        <w:tc>
          <w:tcPr>
            <w:tcW w:w="425" w:type="dxa"/>
            <w:shd w:val="clear" w:color="auto" w:fill="auto"/>
          </w:tcPr>
          <w:p w14:paraId="2A673583"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11</w:t>
            </w:r>
          </w:p>
        </w:tc>
        <w:tc>
          <w:tcPr>
            <w:tcW w:w="851" w:type="dxa"/>
            <w:shd w:val="clear" w:color="auto" w:fill="auto"/>
          </w:tcPr>
          <w:p w14:paraId="547CB35D"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36,67</w:t>
            </w:r>
          </w:p>
        </w:tc>
        <w:tc>
          <w:tcPr>
            <w:tcW w:w="425" w:type="dxa"/>
            <w:shd w:val="clear" w:color="auto" w:fill="auto"/>
          </w:tcPr>
          <w:p w14:paraId="4EF9C948"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11</w:t>
            </w:r>
          </w:p>
        </w:tc>
        <w:tc>
          <w:tcPr>
            <w:tcW w:w="851" w:type="dxa"/>
            <w:shd w:val="clear" w:color="auto" w:fill="auto"/>
          </w:tcPr>
          <w:p w14:paraId="5FABA878"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36,67</w:t>
            </w:r>
          </w:p>
        </w:tc>
        <w:tc>
          <w:tcPr>
            <w:tcW w:w="425" w:type="dxa"/>
            <w:shd w:val="clear" w:color="auto" w:fill="auto"/>
          </w:tcPr>
          <w:p w14:paraId="576AF136"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15</w:t>
            </w:r>
          </w:p>
        </w:tc>
        <w:tc>
          <w:tcPr>
            <w:tcW w:w="850" w:type="dxa"/>
            <w:shd w:val="clear" w:color="auto" w:fill="auto"/>
          </w:tcPr>
          <w:p w14:paraId="3CB49ADB"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41,67</w:t>
            </w:r>
          </w:p>
        </w:tc>
        <w:tc>
          <w:tcPr>
            <w:tcW w:w="426" w:type="dxa"/>
            <w:shd w:val="clear" w:color="auto" w:fill="auto"/>
          </w:tcPr>
          <w:p w14:paraId="77A58F28"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14</w:t>
            </w:r>
          </w:p>
        </w:tc>
        <w:tc>
          <w:tcPr>
            <w:tcW w:w="850" w:type="dxa"/>
            <w:shd w:val="clear" w:color="auto" w:fill="auto"/>
          </w:tcPr>
          <w:p w14:paraId="2571FC4D"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42,42</w:t>
            </w:r>
          </w:p>
        </w:tc>
      </w:tr>
      <w:tr w:rsidR="00191C75" w:rsidRPr="00191C75" w14:paraId="0C08CE89" w14:textId="77777777" w:rsidTr="00E652ED">
        <w:trPr>
          <w:jc w:val="center"/>
        </w:trPr>
        <w:tc>
          <w:tcPr>
            <w:tcW w:w="1309" w:type="dxa"/>
            <w:shd w:val="clear" w:color="auto" w:fill="auto"/>
          </w:tcPr>
          <w:p w14:paraId="1FCF7812" w14:textId="77777777" w:rsidR="009131CC" w:rsidRPr="00191C75" w:rsidRDefault="009131CC" w:rsidP="008E7936">
            <w:pPr>
              <w:spacing w:after="0" w:line="240" w:lineRule="auto"/>
              <w:rPr>
                <w:rFonts w:ascii="Times New Roman" w:eastAsia="SimSun" w:hAnsi="Times New Roman"/>
                <w:sz w:val="20"/>
                <w:szCs w:val="20"/>
              </w:rPr>
            </w:pPr>
            <w:r w:rsidRPr="00191C75">
              <w:rPr>
                <w:rFonts w:ascii="Times New Roman" w:eastAsia="SimSun" w:hAnsi="Times New Roman"/>
                <w:sz w:val="20"/>
                <w:szCs w:val="20"/>
              </w:rPr>
              <w:t>Q2</w:t>
            </w:r>
          </w:p>
        </w:tc>
        <w:tc>
          <w:tcPr>
            <w:tcW w:w="425" w:type="dxa"/>
            <w:shd w:val="clear" w:color="auto" w:fill="auto"/>
          </w:tcPr>
          <w:p w14:paraId="753E00DC"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6</w:t>
            </w:r>
          </w:p>
        </w:tc>
        <w:tc>
          <w:tcPr>
            <w:tcW w:w="850" w:type="dxa"/>
            <w:shd w:val="clear" w:color="auto" w:fill="auto"/>
          </w:tcPr>
          <w:p w14:paraId="66B3EC35"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27,27</w:t>
            </w:r>
          </w:p>
        </w:tc>
        <w:tc>
          <w:tcPr>
            <w:tcW w:w="426" w:type="dxa"/>
            <w:shd w:val="clear" w:color="auto" w:fill="auto"/>
          </w:tcPr>
          <w:p w14:paraId="1F79A9DD"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6</w:t>
            </w:r>
          </w:p>
        </w:tc>
        <w:tc>
          <w:tcPr>
            <w:tcW w:w="850" w:type="dxa"/>
            <w:shd w:val="clear" w:color="auto" w:fill="auto"/>
          </w:tcPr>
          <w:p w14:paraId="19763963"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28,57</w:t>
            </w:r>
          </w:p>
        </w:tc>
        <w:tc>
          <w:tcPr>
            <w:tcW w:w="425" w:type="dxa"/>
            <w:shd w:val="clear" w:color="auto" w:fill="auto"/>
          </w:tcPr>
          <w:p w14:paraId="678443FC"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11</w:t>
            </w:r>
          </w:p>
        </w:tc>
        <w:tc>
          <w:tcPr>
            <w:tcW w:w="851" w:type="dxa"/>
            <w:shd w:val="clear" w:color="auto" w:fill="auto"/>
          </w:tcPr>
          <w:p w14:paraId="5830FD27"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36,67</w:t>
            </w:r>
          </w:p>
        </w:tc>
        <w:tc>
          <w:tcPr>
            <w:tcW w:w="425" w:type="dxa"/>
            <w:shd w:val="clear" w:color="auto" w:fill="auto"/>
          </w:tcPr>
          <w:p w14:paraId="6A6C9C81"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11</w:t>
            </w:r>
          </w:p>
        </w:tc>
        <w:tc>
          <w:tcPr>
            <w:tcW w:w="851" w:type="dxa"/>
            <w:shd w:val="clear" w:color="auto" w:fill="auto"/>
          </w:tcPr>
          <w:p w14:paraId="63BCEACF"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36,67</w:t>
            </w:r>
          </w:p>
        </w:tc>
        <w:tc>
          <w:tcPr>
            <w:tcW w:w="425" w:type="dxa"/>
            <w:shd w:val="clear" w:color="auto" w:fill="auto"/>
          </w:tcPr>
          <w:p w14:paraId="61890141"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11</w:t>
            </w:r>
          </w:p>
        </w:tc>
        <w:tc>
          <w:tcPr>
            <w:tcW w:w="850" w:type="dxa"/>
            <w:shd w:val="clear" w:color="auto" w:fill="auto"/>
          </w:tcPr>
          <w:p w14:paraId="600216B1"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30,56</w:t>
            </w:r>
          </w:p>
        </w:tc>
        <w:tc>
          <w:tcPr>
            <w:tcW w:w="426" w:type="dxa"/>
            <w:shd w:val="clear" w:color="auto" w:fill="auto"/>
          </w:tcPr>
          <w:p w14:paraId="4B2D7CB6"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10</w:t>
            </w:r>
          </w:p>
        </w:tc>
        <w:tc>
          <w:tcPr>
            <w:tcW w:w="850" w:type="dxa"/>
            <w:shd w:val="clear" w:color="auto" w:fill="auto"/>
          </w:tcPr>
          <w:p w14:paraId="2B1627FD"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30,30</w:t>
            </w:r>
          </w:p>
        </w:tc>
      </w:tr>
      <w:tr w:rsidR="00191C75" w:rsidRPr="00191C75" w14:paraId="456ABD18" w14:textId="77777777" w:rsidTr="00E652ED">
        <w:trPr>
          <w:jc w:val="center"/>
        </w:trPr>
        <w:tc>
          <w:tcPr>
            <w:tcW w:w="1309" w:type="dxa"/>
            <w:shd w:val="clear" w:color="auto" w:fill="auto"/>
          </w:tcPr>
          <w:p w14:paraId="48E80508" w14:textId="77777777" w:rsidR="009131CC" w:rsidRPr="00191C75" w:rsidRDefault="009131CC" w:rsidP="008E7936">
            <w:pPr>
              <w:spacing w:after="0" w:line="240" w:lineRule="auto"/>
              <w:rPr>
                <w:rFonts w:ascii="Times New Roman" w:eastAsia="SimSun" w:hAnsi="Times New Roman"/>
                <w:sz w:val="20"/>
                <w:szCs w:val="20"/>
              </w:rPr>
            </w:pPr>
            <w:r w:rsidRPr="00191C75">
              <w:rPr>
                <w:rFonts w:ascii="Times New Roman" w:eastAsia="SimSun" w:hAnsi="Times New Roman"/>
                <w:sz w:val="20"/>
                <w:szCs w:val="20"/>
              </w:rPr>
              <w:t>Q3</w:t>
            </w:r>
          </w:p>
        </w:tc>
        <w:tc>
          <w:tcPr>
            <w:tcW w:w="425" w:type="dxa"/>
            <w:shd w:val="clear" w:color="auto" w:fill="auto"/>
          </w:tcPr>
          <w:p w14:paraId="0815E4A4"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w:t>
            </w:r>
          </w:p>
        </w:tc>
        <w:tc>
          <w:tcPr>
            <w:tcW w:w="850" w:type="dxa"/>
            <w:shd w:val="clear" w:color="auto" w:fill="auto"/>
          </w:tcPr>
          <w:p w14:paraId="4AF12E29"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4,55</w:t>
            </w:r>
          </w:p>
        </w:tc>
        <w:tc>
          <w:tcPr>
            <w:tcW w:w="426" w:type="dxa"/>
            <w:shd w:val="clear" w:color="auto" w:fill="auto"/>
          </w:tcPr>
          <w:p w14:paraId="2184B8C8"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w:t>
            </w:r>
          </w:p>
        </w:tc>
        <w:tc>
          <w:tcPr>
            <w:tcW w:w="850" w:type="dxa"/>
            <w:shd w:val="clear" w:color="auto" w:fill="auto"/>
          </w:tcPr>
          <w:p w14:paraId="7BB19AFB"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4,76</w:t>
            </w:r>
          </w:p>
        </w:tc>
        <w:tc>
          <w:tcPr>
            <w:tcW w:w="425" w:type="dxa"/>
            <w:shd w:val="clear" w:color="auto" w:fill="auto"/>
          </w:tcPr>
          <w:p w14:paraId="67939694"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w:t>
            </w:r>
          </w:p>
        </w:tc>
        <w:tc>
          <w:tcPr>
            <w:tcW w:w="851" w:type="dxa"/>
            <w:shd w:val="clear" w:color="auto" w:fill="auto"/>
          </w:tcPr>
          <w:p w14:paraId="24048E4C"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10,00</w:t>
            </w:r>
          </w:p>
        </w:tc>
        <w:tc>
          <w:tcPr>
            <w:tcW w:w="425" w:type="dxa"/>
            <w:shd w:val="clear" w:color="auto" w:fill="auto"/>
          </w:tcPr>
          <w:p w14:paraId="5DD3CDFA"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w:t>
            </w:r>
          </w:p>
        </w:tc>
        <w:tc>
          <w:tcPr>
            <w:tcW w:w="851" w:type="dxa"/>
            <w:shd w:val="clear" w:color="auto" w:fill="auto"/>
          </w:tcPr>
          <w:p w14:paraId="2191DDE4"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10,00</w:t>
            </w:r>
          </w:p>
        </w:tc>
        <w:tc>
          <w:tcPr>
            <w:tcW w:w="425" w:type="dxa"/>
            <w:shd w:val="clear" w:color="auto" w:fill="auto"/>
          </w:tcPr>
          <w:p w14:paraId="73FA4725"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w:t>
            </w:r>
          </w:p>
        </w:tc>
        <w:tc>
          <w:tcPr>
            <w:tcW w:w="850" w:type="dxa"/>
            <w:shd w:val="clear" w:color="auto" w:fill="auto"/>
          </w:tcPr>
          <w:p w14:paraId="6388560B"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8,33</w:t>
            </w:r>
          </w:p>
        </w:tc>
        <w:tc>
          <w:tcPr>
            <w:tcW w:w="426" w:type="dxa"/>
            <w:shd w:val="clear" w:color="auto" w:fill="auto"/>
          </w:tcPr>
          <w:p w14:paraId="0059CABA"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w:t>
            </w:r>
          </w:p>
        </w:tc>
        <w:tc>
          <w:tcPr>
            <w:tcW w:w="850" w:type="dxa"/>
            <w:shd w:val="clear" w:color="auto" w:fill="auto"/>
          </w:tcPr>
          <w:p w14:paraId="0FC2F62C"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9,09</w:t>
            </w:r>
          </w:p>
        </w:tc>
      </w:tr>
      <w:tr w:rsidR="00191C75" w:rsidRPr="00191C75" w14:paraId="59AD52D4" w14:textId="77777777" w:rsidTr="00E652ED">
        <w:trPr>
          <w:jc w:val="center"/>
        </w:trPr>
        <w:tc>
          <w:tcPr>
            <w:tcW w:w="1309" w:type="dxa"/>
            <w:shd w:val="clear" w:color="auto" w:fill="auto"/>
          </w:tcPr>
          <w:p w14:paraId="2AE51206" w14:textId="77777777" w:rsidR="009131CC" w:rsidRPr="00191C75" w:rsidRDefault="009131CC" w:rsidP="008E7936">
            <w:pPr>
              <w:spacing w:after="0" w:line="240" w:lineRule="auto"/>
              <w:rPr>
                <w:rFonts w:ascii="Times New Roman" w:eastAsia="SimSun" w:hAnsi="Times New Roman"/>
                <w:sz w:val="20"/>
                <w:szCs w:val="20"/>
              </w:rPr>
            </w:pPr>
            <w:r w:rsidRPr="00191C75">
              <w:rPr>
                <w:rFonts w:ascii="Times New Roman" w:eastAsia="SimSun" w:hAnsi="Times New Roman"/>
                <w:sz w:val="20"/>
                <w:szCs w:val="20"/>
              </w:rPr>
              <w:t>Q4</w:t>
            </w:r>
          </w:p>
        </w:tc>
        <w:tc>
          <w:tcPr>
            <w:tcW w:w="425" w:type="dxa"/>
            <w:shd w:val="clear" w:color="auto" w:fill="auto"/>
          </w:tcPr>
          <w:p w14:paraId="30F14719"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4</w:t>
            </w:r>
          </w:p>
        </w:tc>
        <w:tc>
          <w:tcPr>
            <w:tcW w:w="850" w:type="dxa"/>
            <w:shd w:val="clear" w:color="auto" w:fill="auto"/>
          </w:tcPr>
          <w:p w14:paraId="33415888"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18,18</w:t>
            </w:r>
          </w:p>
        </w:tc>
        <w:tc>
          <w:tcPr>
            <w:tcW w:w="426" w:type="dxa"/>
            <w:shd w:val="clear" w:color="auto" w:fill="auto"/>
          </w:tcPr>
          <w:p w14:paraId="6CEE3A10"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4</w:t>
            </w:r>
          </w:p>
        </w:tc>
        <w:tc>
          <w:tcPr>
            <w:tcW w:w="850" w:type="dxa"/>
            <w:shd w:val="clear" w:color="auto" w:fill="auto"/>
          </w:tcPr>
          <w:p w14:paraId="0A365DCB"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19,05</w:t>
            </w:r>
          </w:p>
        </w:tc>
        <w:tc>
          <w:tcPr>
            <w:tcW w:w="425" w:type="dxa"/>
            <w:shd w:val="clear" w:color="auto" w:fill="auto"/>
          </w:tcPr>
          <w:p w14:paraId="62B8F076"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5</w:t>
            </w:r>
          </w:p>
        </w:tc>
        <w:tc>
          <w:tcPr>
            <w:tcW w:w="851" w:type="dxa"/>
            <w:shd w:val="clear" w:color="auto" w:fill="auto"/>
          </w:tcPr>
          <w:p w14:paraId="6BEDD627"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16,67</w:t>
            </w:r>
          </w:p>
        </w:tc>
        <w:tc>
          <w:tcPr>
            <w:tcW w:w="425" w:type="dxa"/>
            <w:shd w:val="clear" w:color="auto" w:fill="auto"/>
          </w:tcPr>
          <w:p w14:paraId="1E3D769A"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5</w:t>
            </w:r>
          </w:p>
        </w:tc>
        <w:tc>
          <w:tcPr>
            <w:tcW w:w="851" w:type="dxa"/>
            <w:shd w:val="clear" w:color="auto" w:fill="auto"/>
          </w:tcPr>
          <w:p w14:paraId="36FBC318"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16,67</w:t>
            </w:r>
          </w:p>
        </w:tc>
        <w:tc>
          <w:tcPr>
            <w:tcW w:w="425" w:type="dxa"/>
            <w:shd w:val="clear" w:color="auto" w:fill="auto"/>
          </w:tcPr>
          <w:p w14:paraId="73783EB1"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7</w:t>
            </w:r>
          </w:p>
        </w:tc>
        <w:tc>
          <w:tcPr>
            <w:tcW w:w="850" w:type="dxa"/>
            <w:shd w:val="clear" w:color="auto" w:fill="auto"/>
          </w:tcPr>
          <w:p w14:paraId="6709F75F"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19,44</w:t>
            </w:r>
          </w:p>
        </w:tc>
        <w:tc>
          <w:tcPr>
            <w:tcW w:w="426" w:type="dxa"/>
            <w:shd w:val="clear" w:color="auto" w:fill="auto"/>
          </w:tcPr>
          <w:p w14:paraId="0463E715"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6</w:t>
            </w:r>
          </w:p>
        </w:tc>
        <w:tc>
          <w:tcPr>
            <w:tcW w:w="850" w:type="dxa"/>
            <w:shd w:val="clear" w:color="auto" w:fill="auto"/>
          </w:tcPr>
          <w:p w14:paraId="07A4D5DE" w14:textId="77777777" w:rsidR="009131CC" w:rsidRPr="00191C75" w:rsidRDefault="009131CC"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18,18</w:t>
            </w:r>
          </w:p>
        </w:tc>
      </w:tr>
      <w:tr w:rsidR="009131CC" w:rsidRPr="00191C75" w14:paraId="47B3CB33" w14:textId="77777777" w:rsidTr="00E652ED">
        <w:trPr>
          <w:jc w:val="center"/>
        </w:trPr>
        <w:tc>
          <w:tcPr>
            <w:tcW w:w="1309" w:type="dxa"/>
            <w:shd w:val="clear" w:color="auto" w:fill="auto"/>
          </w:tcPr>
          <w:p w14:paraId="694F7D28" w14:textId="77777777" w:rsidR="009131CC" w:rsidRPr="00191C75" w:rsidRDefault="009131CC" w:rsidP="008E7936">
            <w:pPr>
              <w:spacing w:after="0" w:line="240" w:lineRule="auto"/>
              <w:rPr>
                <w:rFonts w:ascii="Times New Roman" w:eastAsia="SimSun" w:hAnsi="Times New Roman"/>
                <w:b/>
                <w:sz w:val="20"/>
                <w:szCs w:val="20"/>
              </w:rPr>
            </w:pPr>
            <w:r w:rsidRPr="00191C75">
              <w:rPr>
                <w:rFonts w:ascii="Times New Roman" w:eastAsia="SimSun" w:hAnsi="Times New Roman"/>
                <w:b/>
                <w:sz w:val="20"/>
                <w:szCs w:val="20"/>
              </w:rPr>
              <w:t>Total</w:t>
            </w:r>
          </w:p>
        </w:tc>
        <w:tc>
          <w:tcPr>
            <w:tcW w:w="425" w:type="dxa"/>
            <w:shd w:val="clear" w:color="auto" w:fill="auto"/>
          </w:tcPr>
          <w:p w14:paraId="2981682F"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22</w:t>
            </w:r>
          </w:p>
        </w:tc>
        <w:tc>
          <w:tcPr>
            <w:tcW w:w="850" w:type="dxa"/>
            <w:shd w:val="clear" w:color="auto" w:fill="auto"/>
          </w:tcPr>
          <w:p w14:paraId="6486A831"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100,00</w:t>
            </w:r>
          </w:p>
        </w:tc>
        <w:tc>
          <w:tcPr>
            <w:tcW w:w="426" w:type="dxa"/>
            <w:shd w:val="clear" w:color="auto" w:fill="auto"/>
          </w:tcPr>
          <w:p w14:paraId="1CEF46D4"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21</w:t>
            </w:r>
          </w:p>
        </w:tc>
        <w:tc>
          <w:tcPr>
            <w:tcW w:w="850" w:type="dxa"/>
            <w:shd w:val="clear" w:color="auto" w:fill="auto"/>
          </w:tcPr>
          <w:p w14:paraId="227D037E"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100,00</w:t>
            </w:r>
          </w:p>
        </w:tc>
        <w:tc>
          <w:tcPr>
            <w:tcW w:w="425" w:type="dxa"/>
            <w:shd w:val="clear" w:color="auto" w:fill="auto"/>
          </w:tcPr>
          <w:p w14:paraId="30FBAF66"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30</w:t>
            </w:r>
          </w:p>
        </w:tc>
        <w:tc>
          <w:tcPr>
            <w:tcW w:w="851" w:type="dxa"/>
            <w:shd w:val="clear" w:color="auto" w:fill="auto"/>
          </w:tcPr>
          <w:p w14:paraId="42849F7E"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100,00</w:t>
            </w:r>
          </w:p>
        </w:tc>
        <w:tc>
          <w:tcPr>
            <w:tcW w:w="425" w:type="dxa"/>
            <w:shd w:val="clear" w:color="auto" w:fill="auto"/>
          </w:tcPr>
          <w:p w14:paraId="74E76A87"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30</w:t>
            </w:r>
          </w:p>
        </w:tc>
        <w:tc>
          <w:tcPr>
            <w:tcW w:w="851" w:type="dxa"/>
            <w:shd w:val="clear" w:color="auto" w:fill="auto"/>
          </w:tcPr>
          <w:p w14:paraId="6CEEC15D"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100,00</w:t>
            </w:r>
          </w:p>
        </w:tc>
        <w:tc>
          <w:tcPr>
            <w:tcW w:w="425" w:type="dxa"/>
            <w:shd w:val="clear" w:color="auto" w:fill="auto"/>
          </w:tcPr>
          <w:p w14:paraId="1E7D0499"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36</w:t>
            </w:r>
          </w:p>
        </w:tc>
        <w:tc>
          <w:tcPr>
            <w:tcW w:w="850" w:type="dxa"/>
            <w:shd w:val="clear" w:color="auto" w:fill="auto"/>
          </w:tcPr>
          <w:p w14:paraId="3D262624"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100,00</w:t>
            </w:r>
          </w:p>
        </w:tc>
        <w:tc>
          <w:tcPr>
            <w:tcW w:w="426" w:type="dxa"/>
            <w:shd w:val="clear" w:color="auto" w:fill="auto"/>
          </w:tcPr>
          <w:p w14:paraId="7B9214A2"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33</w:t>
            </w:r>
          </w:p>
        </w:tc>
        <w:tc>
          <w:tcPr>
            <w:tcW w:w="850" w:type="dxa"/>
            <w:shd w:val="clear" w:color="auto" w:fill="auto"/>
          </w:tcPr>
          <w:p w14:paraId="2E2E77B9" w14:textId="77777777" w:rsidR="009131CC" w:rsidRPr="00191C75" w:rsidRDefault="009131CC"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100,00</w:t>
            </w:r>
          </w:p>
        </w:tc>
      </w:tr>
    </w:tbl>
    <w:p w14:paraId="578738F2" w14:textId="77777777" w:rsidR="009131CC" w:rsidRPr="00191C75" w:rsidRDefault="009131CC" w:rsidP="009131CC">
      <w:pPr>
        <w:spacing w:after="0" w:line="240" w:lineRule="auto"/>
        <w:rPr>
          <w:lang w:eastAsia="ja-JP"/>
        </w:rPr>
      </w:pPr>
    </w:p>
    <w:p w14:paraId="79A07873" w14:textId="77777777" w:rsidR="003E49D5" w:rsidRPr="00191C75" w:rsidRDefault="003E49D5" w:rsidP="009D2A19">
      <w:pPr>
        <w:spacing w:after="0" w:line="240" w:lineRule="auto"/>
        <w:ind w:firstLine="709"/>
        <w:jc w:val="both"/>
        <w:rPr>
          <w:rFonts w:ascii="Times New Roman" w:hAnsi="Times New Roman"/>
          <w:sz w:val="24"/>
          <w:szCs w:val="24"/>
          <w:lang w:eastAsia="pt-BR"/>
        </w:rPr>
      </w:pPr>
      <w:r w:rsidRPr="00191C75">
        <w:rPr>
          <w:rFonts w:ascii="Times New Roman" w:hAnsi="Times New Roman"/>
          <w:sz w:val="24"/>
          <w:szCs w:val="24"/>
          <w:lang w:eastAsia="pt-BR"/>
        </w:rPr>
        <w:t xml:space="preserve">Por fim, a tabela 9 apresenta as diferenças de </w:t>
      </w:r>
      <w:proofErr w:type="spellStart"/>
      <w:r w:rsidRPr="00191C75">
        <w:rPr>
          <w:rFonts w:ascii="Times New Roman" w:hAnsi="Times New Roman"/>
          <w:sz w:val="24"/>
          <w:szCs w:val="24"/>
          <w:lang w:eastAsia="pt-BR"/>
        </w:rPr>
        <w:t>CARs</w:t>
      </w:r>
      <w:proofErr w:type="spellEnd"/>
      <w:r w:rsidRPr="00191C75">
        <w:rPr>
          <w:rFonts w:ascii="Times New Roman" w:hAnsi="Times New Roman"/>
          <w:sz w:val="24"/>
          <w:szCs w:val="24"/>
          <w:lang w:eastAsia="pt-BR"/>
        </w:rPr>
        <w:t xml:space="preserve"> entre os quartis (Q4) e (Q1) para as janelas de 22, 132 e 264 pregões das companhias que possuem participação prévia nos fundos de VC/PE. A janela de 22 pregões tem a maior parte dos pregões com resultado negativo, sendo 86,36% (19) e 95,45% (21) para os índices Ibovespa e </w:t>
      </w:r>
      <w:proofErr w:type="spellStart"/>
      <w:r w:rsidRPr="00191C75">
        <w:rPr>
          <w:rFonts w:ascii="Times New Roman" w:hAnsi="Times New Roman"/>
          <w:sz w:val="24"/>
          <w:szCs w:val="24"/>
          <w:lang w:eastAsia="pt-BR"/>
        </w:rPr>
        <w:t>IBrX</w:t>
      </w:r>
      <w:proofErr w:type="spellEnd"/>
      <w:r w:rsidRPr="00191C75">
        <w:rPr>
          <w:rFonts w:ascii="Times New Roman" w:hAnsi="Times New Roman"/>
          <w:sz w:val="24"/>
          <w:szCs w:val="24"/>
          <w:lang w:eastAsia="pt-BR"/>
        </w:rPr>
        <w:t xml:space="preserve">. No caso da janela de 6 meses, os resultados negativos dos pregões também são a maioria e representam 68,18% (90) e 99,24% (131) para os índices Ibovespa e </w:t>
      </w:r>
      <w:proofErr w:type="spellStart"/>
      <w:r w:rsidRPr="00191C75">
        <w:rPr>
          <w:rFonts w:ascii="Times New Roman" w:hAnsi="Times New Roman"/>
          <w:sz w:val="24"/>
          <w:szCs w:val="24"/>
          <w:lang w:eastAsia="pt-BR"/>
        </w:rPr>
        <w:t>IBrX</w:t>
      </w:r>
      <w:proofErr w:type="spellEnd"/>
      <w:r w:rsidRPr="00191C75">
        <w:rPr>
          <w:rFonts w:ascii="Times New Roman" w:hAnsi="Times New Roman"/>
          <w:sz w:val="24"/>
          <w:szCs w:val="24"/>
          <w:lang w:eastAsia="pt-BR"/>
        </w:rPr>
        <w:t>, respectivamente. Já no caso da janela de 1 ano, os resultados negativos dos pregões novamente se destacam e passam a ser de 81,82% (216) e 100% (264). Assim, não é possível confirmar a H2 para as janelas de 22, 132 e 264 pregões - quanto maior a participação prévia dos fundos de VC/PE no capital dessas companhias, maior o retorno de suas ações.</w:t>
      </w:r>
    </w:p>
    <w:p w14:paraId="1C39BA22" w14:textId="77777777" w:rsidR="003E49D5" w:rsidRPr="00191C75" w:rsidRDefault="003E49D5" w:rsidP="00B37D61">
      <w:pPr>
        <w:spacing w:after="0" w:line="240" w:lineRule="auto"/>
        <w:ind w:firstLine="567"/>
        <w:jc w:val="both"/>
        <w:rPr>
          <w:rFonts w:ascii="Times New Roman" w:hAnsi="Times New Roman"/>
          <w:sz w:val="24"/>
          <w:szCs w:val="24"/>
          <w:lang w:eastAsia="pt-BR"/>
        </w:rPr>
      </w:pPr>
    </w:p>
    <w:p w14:paraId="6DA6629F" w14:textId="77777777" w:rsidR="003E49D5" w:rsidRPr="00191C75" w:rsidRDefault="003E49D5" w:rsidP="006F2559">
      <w:pPr>
        <w:spacing w:after="0" w:line="240" w:lineRule="auto"/>
        <w:jc w:val="center"/>
        <w:rPr>
          <w:rFonts w:ascii="Times New Roman" w:hAnsi="Times New Roman"/>
          <w:b/>
          <w:sz w:val="20"/>
          <w:szCs w:val="24"/>
        </w:rPr>
      </w:pPr>
      <w:r w:rsidRPr="00191C75">
        <w:rPr>
          <w:rFonts w:ascii="Times New Roman" w:hAnsi="Times New Roman"/>
          <w:b/>
          <w:sz w:val="20"/>
          <w:szCs w:val="24"/>
        </w:rPr>
        <w:t>Tabela 9 – Teste da H2</w:t>
      </w:r>
    </w:p>
    <w:p w14:paraId="2322576A" w14:textId="77777777" w:rsidR="006F2559" w:rsidRPr="00191C75" w:rsidRDefault="006F2559" w:rsidP="006F2559">
      <w:pPr>
        <w:spacing w:after="0" w:line="240" w:lineRule="auto"/>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22"/>
        <w:gridCol w:w="722"/>
        <w:gridCol w:w="723"/>
        <w:gridCol w:w="722"/>
        <w:gridCol w:w="723"/>
        <w:gridCol w:w="722"/>
        <w:gridCol w:w="722"/>
        <w:gridCol w:w="723"/>
        <w:gridCol w:w="722"/>
        <w:gridCol w:w="723"/>
      </w:tblGrid>
      <w:tr w:rsidR="00191C75" w:rsidRPr="00191C75" w14:paraId="1E29E053" w14:textId="77777777" w:rsidTr="00E652ED">
        <w:trPr>
          <w:jc w:val="center"/>
        </w:trPr>
        <w:tc>
          <w:tcPr>
            <w:tcW w:w="1838" w:type="dxa"/>
            <w:vMerge w:val="restart"/>
            <w:shd w:val="clear" w:color="auto" w:fill="auto"/>
          </w:tcPr>
          <w:p w14:paraId="7780357A" w14:textId="77777777" w:rsidR="006F2559" w:rsidRPr="00191C75" w:rsidRDefault="006F2559" w:rsidP="000314CC">
            <w:pPr>
              <w:spacing w:after="0" w:line="240" w:lineRule="auto"/>
              <w:rPr>
                <w:rFonts w:ascii="Times New Roman" w:eastAsia="SimSun" w:hAnsi="Times New Roman"/>
                <w:b/>
                <w:sz w:val="20"/>
                <w:szCs w:val="20"/>
              </w:rPr>
            </w:pPr>
            <w:r w:rsidRPr="00191C75">
              <w:rPr>
                <w:rFonts w:ascii="Times New Roman" w:eastAsia="SimSun" w:hAnsi="Times New Roman"/>
                <w:b/>
                <w:sz w:val="20"/>
                <w:szCs w:val="20"/>
              </w:rPr>
              <w:t>Janelas de comparação por pregão</w:t>
            </w:r>
          </w:p>
        </w:tc>
        <w:tc>
          <w:tcPr>
            <w:tcW w:w="7224" w:type="dxa"/>
            <w:gridSpan w:val="10"/>
            <w:shd w:val="clear" w:color="auto" w:fill="auto"/>
          </w:tcPr>
          <w:p w14:paraId="0C907D76" w14:textId="77777777" w:rsidR="006F2559" w:rsidRPr="00191C75" w:rsidRDefault="006F2559"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Índices de mercado</w:t>
            </w:r>
          </w:p>
        </w:tc>
      </w:tr>
      <w:tr w:rsidR="00191C75" w:rsidRPr="00191C75" w14:paraId="282F48DD" w14:textId="77777777" w:rsidTr="00E652ED">
        <w:trPr>
          <w:jc w:val="center"/>
        </w:trPr>
        <w:tc>
          <w:tcPr>
            <w:tcW w:w="1838" w:type="dxa"/>
            <w:vMerge/>
            <w:shd w:val="clear" w:color="auto" w:fill="auto"/>
          </w:tcPr>
          <w:p w14:paraId="478F9C6E" w14:textId="77777777" w:rsidR="006F2559" w:rsidRPr="00191C75" w:rsidRDefault="006F2559" w:rsidP="000314CC">
            <w:pPr>
              <w:spacing w:after="0" w:line="240" w:lineRule="auto"/>
              <w:rPr>
                <w:rFonts w:ascii="Times New Roman" w:eastAsia="SimSun" w:hAnsi="Times New Roman"/>
                <w:b/>
                <w:sz w:val="20"/>
                <w:szCs w:val="20"/>
              </w:rPr>
            </w:pPr>
          </w:p>
        </w:tc>
        <w:tc>
          <w:tcPr>
            <w:tcW w:w="3612" w:type="dxa"/>
            <w:gridSpan w:val="5"/>
            <w:shd w:val="clear" w:color="auto" w:fill="auto"/>
          </w:tcPr>
          <w:p w14:paraId="6B70FE5A" w14:textId="77777777" w:rsidR="006F2559" w:rsidRPr="00191C75" w:rsidRDefault="006F2559"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Ibovespa com médias ≠ 0</w:t>
            </w:r>
          </w:p>
        </w:tc>
        <w:tc>
          <w:tcPr>
            <w:tcW w:w="3612" w:type="dxa"/>
            <w:gridSpan w:val="5"/>
            <w:shd w:val="clear" w:color="auto" w:fill="auto"/>
          </w:tcPr>
          <w:p w14:paraId="68DAAD17" w14:textId="77777777" w:rsidR="006F2559" w:rsidRPr="00191C75" w:rsidRDefault="006F2559" w:rsidP="00E31814">
            <w:pPr>
              <w:spacing w:after="0" w:line="240" w:lineRule="auto"/>
              <w:jc w:val="center"/>
              <w:rPr>
                <w:rFonts w:ascii="Times New Roman" w:eastAsia="SimSun" w:hAnsi="Times New Roman"/>
                <w:b/>
                <w:sz w:val="20"/>
                <w:szCs w:val="20"/>
              </w:rPr>
            </w:pPr>
            <w:proofErr w:type="spellStart"/>
            <w:r w:rsidRPr="00191C75">
              <w:rPr>
                <w:rFonts w:ascii="Times New Roman" w:eastAsia="SimSun" w:hAnsi="Times New Roman"/>
                <w:b/>
                <w:sz w:val="20"/>
                <w:szCs w:val="20"/>
              </w:rPr>
              <w:t>IBrX</w:t>
            </w:r>
            <w:proofErr w:type="spellEnd"/>
            <w:r w:rsidRPr="00191C75">
              <w:rPr>
                <w:rFonts w:ascii="Times New Roman" w:eastAsia="SimSun" w:hAnsi="Times New Roman"/>
                <w:b/>
                <w:sz w:val="20"/>
                <w:szCs w:val="20"/>
              </w:rPr>
              <w:t xml:space="preserve"> com médias ≠ 0</w:t>
            </w:r>
          </w:p>
        </w:tc>
      </w:tr>
      <w:tr w:rsidR="00191C75" w:rsidRPr="00191C75" w14:paraId="3006C012" w14:textId="77777777" w:rsidTr="00E652ED">
        <w:trPr>
          <w:jc w:val="center"/>
        </w:trPr>
        <w:tc>
          <w:tcPr>
            <w:tcW w:w="1838" w:type="dxa"/>
            <w:vMerge/>
            <w:shd w:val="clear" w:color="auto" w:fill="auto"/>
          </w:tcPr>
          <w:p w14:paraId="390B0347" w14:textId="77777777" w:rsidR="006F2559" w:rsidRPr="00191C75" w:rsidRDefault="006F2559" w:rsidP="000314CC">
            <w:pPr>
              <w:spacing w:after="0" w:line="240" w:lineRule="auto"/>
              <w:rPr>
                <w:rFonts w:ascii="Times New Roman" w:eastAsia="SimSun" w:hAnsi="Times New Roman"/>
                <w:b/>
                <w:sz w:val="20"/>
                <w:szCs w:val="20"/>
              </w:rPr>
            </w:pPr>
          </w:p>
        </w:tc>
        <w:tc>
          <w:tcPr>
            <w:tcW w:w="722" w:type="dxa"/>
            <w:shd w:val="clear" w:color="auto" w:fill="auto"/>
          </w:tcPr>
          <w:p w14:paraId="76898F16" w14:textId="77777777" w:rsidR="006F2559" w:rsidRPr="00191C75" w:rsidRDefault="006F2559"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Q4 (a)</w:t>
            </w:r>
          </w:p>
        </w:tc>
        <w:tc>
          <w:tcPr>
            <w:tcW w:w="722" w:type="dxa"/>
            <w:shd w:val="clear" w:color="auto" w:fill="auto"/>
          </w:tcPr>
          <w:p w14:paraId="16432619" w14:textId="77777777" w:rsidR="006F2559" w:rsidRPr="00191C75" w:rsidRDefault="006F2559" w:rsidP="00E31814">
            <w:pPr>
              <w:spacing w:after="0" w:line="240" w:lineRule="auto"/>
              <w:ind w:hanging="6"/>
              <w:jc w:val="center"/>
              <w:rPr>
                <w:rFonts w:ascii="Times New Roman" w:eastAsia="SimSun" w:hAnsi="Times New Roman"/>
                <w:b/>
                <w:sz w:val="20"/>
                <w:szCs w:val="20"/>
              </w:rPr>
            </w:pPr>
            <w:r w:rsidRPr="00191C75">
              <w:rPr>
                <w:rFonts w:ascii="Times New Roman" w:eastAsia="SimSun" w:hAnsi="Times New Roman"/>
                <w:b/>
                <w:sz w:val="20"/>
                <w:szCs w:val="20"/>
              </w:rPr>
              <w:t>Q1 (a)</w:t>
            </w:r>
          </w:p>
        </w:tc>
        <w:tc>
          <w:tcPr>
            <w:tcW w:w="723" w:type="dxa"/>
            <w:shd w:val="clear" w:color="auto" w:fill="auto"/>
          </w:tcPr>
          <w:p w14:paraId="29193E29" w14:textId="77777777" w:rsidR="006F2559" w:rsidRPr="00191C75" w:rsidRDefault="006F2559"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w:t>
            </w:r>
          </w:p>
          <w:p w14:paraId="487283C2" w14:textId="77777777" w:rsidR="006F2559" w:rsidRPr="00191C75" w:rsidRDefault="006F2559"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(b)</w:t>
            </w:r>
          </w:p>
        </w:tc>
        <w:tc>
          <w:tcPr>
            <w:tcW w:w="722" w:type="dxa"/>
            <w:shd w:val="clear" w:color="auto" w:fill="auto"/>
          </w:tcPr>
          <w:p w14:paraId="6C3593A6" w14:textId="77777777" w:rsidR="006F2559" w:rsidRPr="00191C75" w:rsidRDefault="006F2559"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w:t>
            </w:r>
          </w:p>
          <w:p w14:paraId="5E6E2FE7" w14:textId="77777777" w:rsidR="006F2559" w:rsidRPr="00191C75" w:rsidRDefault="006F2559"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(c)</w:t>
            </w:r>
          </w:p>
        </w:tc>
        <w:tc>
          <w:tcPr>
            <w:tcW w:w="723" w:type="dxa"/>
            <w:shd w:val="clear" w:color="auto" w:fill="auto"/>
          </w:tcPr>
          <w:p w14:paraId="4430A0A3" w14:textId="77777777" w:rsidR="006F2559" w:rsidRPr="00191C75" w:rsidRDefault="006F2559"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w:t>
            </w:r>
          </w:p>
          <w:p w14:paraId="188F6063" w14:textId="77777777" w:rsidR="006F2559" w:rsidRPr="00191C75" w:rsidRDefault="006F2559"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(c)</w:t>
            </w:r>
          </w:p>
        </w:tc>
        <w:tc>
          <w:tcPr>
            <w:tcW w:w="722" w:type="dxa"/>
            <w:shd w:val="clear" w:color="auto" w:fill="auto"/>
          </w:tcPr>
          <w:p w14:paraId="4F718144" w14:textId="77777777" w:rsidR="006F2559" w:rsidRPr="00191C75" w:rsidRDefault="006F2559"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Q4 (a)</w:t>
            </w:r>
          </w:p>
        </w:tc>
        <w:tc>
          <w:tcPr>
            <w:tcW w:w="722" w:type="dxa"/>
            <w:shd w:val="clear" w:color="auto" w:fill="auto"/>
          </w:tcPr>
          <w:p w14:paraId="5078FC99" w14:textId="77777777" w:rsidR="006F2559" w:rsidRPr="00191C75" w:rsidRDefault="006F2559" w:rsidP="00E31814">
            <w:pPr>
              <w:spacing w:after="0" w:line="240" w:lineRule="auto"/>
              <w:ind w:hanging="6"/>
              <w:jc w:val="center"/>
              <w:rPr>
                <w:rFonts w:ascii="Times New Roman" w:eastAsia="SimSun" w:hAnsi="Times New Roman"/>
                <w:b/>
                <w:sz w:val="20"/>
                <w:szCs w:val="20"/>
              </w:rPr>
            </w:pPr>
            <w:r w:rsidRPr="00191C75">
              <w:rPr>
                <w:rFonts w:ascii="Times New Roman" w:eastAsia="SimSun" w:hAnsi="Times New Roman"/>
                <w:b/>
                <w:sz w:val="20"/>
                <w:szCs w:val="20"/>
              </w:rPr>
              <w:t>Q1 (a)</w:t>
            </w:r>
          </w:p>
        </w:tc>
        <w:tc>
          <w:tcPr>
            <w:tcW w:w="723" w:type="dxa"/>
            <w:shd w:val="clear" w:color="auto" w:fill="auto"/>
          </w:tcPr>
          <w:p w14:paraId="4C7F4CD4" w14:textId="77777777" w:rsidR="006F2559" w:rsidRPr="00191C75" w:rsidRDefault="006F2559"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w:t>
            </w:r>
          </w:p>
          <w:p w14:paraId="4AB33349" w14:textId="77777777" w:rsidR="006F2559" w:rsidRPr="00191C75" w:rsidRDefault="006F2559"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(b)</w:t>
            </w:r>
          </w:p>
        </w:tc>
        <w:tc>
          <w:tcPr>
            <w:tcW w:w="722" w:type="dxa"/>
            <w:shd w:val="clear" w:color="auto" w:fill="auto"/>
          </w:tcPr>
          <w:p w14:paraId="57C3624B" w14:textId="77777777" w:rsidR="006F2559" w:rsidRPr="00191C75" w:rsidRDefault="006F2559"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w:t>
            </w:r>
          </w:p>
          <w:p w14:paraId="7D9EAADD" w14:textId="77777777" w:rsidR="006F2559" w:rsidRPr="00191C75" w:rsidRDefault="006F2559"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(c)</w:t>
            </w:r>
          </w:p>
        </w:tc>
        <w:tc>
          <w:tcPr>
            <w:tcW w:w="723" w:type="dxa"/>
            <w:shd w:val="clear" w:color="auto" w:fill="auto"/>
          </w:tcPr>
          <w:p w14:paraId="4B0DD566" w14:textId="77777777" w:rsidR="006F2559" w:rsidRPr="00191C75" w:rsidRDefault="006F2559"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w:t>
            </w:r>
          </w:p>
          <w:p w14:paraId="6CC0804B" w14:textId="77777777" w:rsidR="006F2559" w:rsidRPr="00191C75" w:rsidRDefault="006F2559" w:rsidP="00E31814">
            <w:pPr>
              <w:spacing w:after="0" w:line="240" w:lineRule="auto"/>
              <w:jc w:val="center"/>
              <w:rPr>
                <w:rFonts w:ascii="Times New Roman" w:eastAsia="SimSun" w:hAnsi="Times New Roman"/>
                <w:b/>
                <w:sz w:val="20"/>
                <w:szCs w:val="20"/>
              </w:rPr>
            </w:pPr>
            <w:r w:rsidRPr="00191C75">
              <w:rPr>
                <w:rFonts w:ascii="Times New Roman" w:eastAsia="SimSun" w:hAnsi="Times New Roman"/>
                <w:b/>
                <w:sz w:val="20"/>
                <w:szCs w:val="20"/>
              </w:rPr>
              <w:t>(c)</w:t>
            </w:r>
          </w:p>
        </w:tc>
      </w:tr>
      <w:tr w:rsidR="00191C75" w:rsidRPr="00191C75" w14:paraId="6313247B" w14:textId="77777777" w:rsidTr="00E652ED">
        <w:trPr>
          <w:trHeight w:val="182"/>
          <w:jc w:val="center"/>
        </w:trPr>
        <w:tc>
          <w:tcPr>
            <w:tcW w:w="1838" w:type="dxa"/>
            <w:shd w:val="clear" w:color="auto" w:fill="auto"/>
          </w:tcPr>
          <w:p w14:paraId="0E035213" w14:textId="77777777" w:rsidR="006F2559" w:rsidRPr="00191C75" w:rsidRDefault="006F2559" w:rsidP="000314CC">
            <w:pPr>
              <w:spacing w:after="0" w:line="240" w:lineRule="auto"/>
              <w:rPr>
                <w:rFonts w:ascii="Times New Roman" w:eastAsia="SimSun" w:hAnsi="Times New Roman"/>
                <w:sz w:val="20"/>
                <w:szCs w:val="20"/>
              </w:rPr>
            </w:pPr>
            <w:r w:rsidRPr="00191C75">
              <w:rPr>
                <w:rFonts w:ascii="Times New Roman" w:eastAsia="SimSun" w:hAnsi="Times New Roman"/>
                <w:sz w:val="20"/>
                <w:szCs w:val="20"/>
              </w:rPr>
              <w:t>1 mês ou 22 dias</w:t>
            </w:r>
          </w:p>
        </w:tc>
        <w:tc>
          <w:tcPr>
            <w:tcW w:w="722" w:type="dxa"/>
            <w:shd w:val="clear" w:color="auto" w:fill="auto"/>
          </w:tcPr>
          <w:p w14:paraId="30706D15" w14:textId="77777777" w:rsidR="006F2559" w:rsidRPr="00191C75" w:rsidRDefault="006F2559" w:rsidP="00E31814">
            <w:pPr>
              <w:spacing w:after="0" w:line="240" w:lineRule="auto"/>
              <w:ind w:firstLine="18"/>
              <w:jc w:val="center"/>
              <w:rPr>
                <w:rFonts w:ascii="Times New Roman" w:eastAsia="SimSun" w:hAnsi="Times New Roman"/>
                <w:sz w:val="20"/>
                <w:szCs w:val="20"/>
              </w:rPr>
            </w:pPr>
            <w:r w:rsidRPr="00191C75">
              <w:rPr>
                <w:rFonts w:ascii="Times New Roman" w:eastAsia="SimSun" w:hAnsi="Times New Roman"/>
                <w:sz w:val="20"/>
                <w:szCs w:val="20"/>
              </w:rPr>
              <w:t>4</w:t>
            </w:r>
          </w:p>
        </w:tc>
        <w:tc>
          <w:tcPr>
            <w:tcW w:w="722" w:type="dxa"/>
            <w:shd w:val="clear" w:color="auto" w:fill="auto"/>
          </w:tcPr>
          <w:p w14:paraId="641591B9" w14:textId="77777777" w:rsidR="006F2559" w:rsidRPr="00191C75" w:rsidRDefault="006F2559"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11</w:t>
            </w:r>
          </w:p>
        </w:tc>
        <w:tc>
          <w:tcPr>
            <w:tcW w:w="723" w:type="dxa"/>
            <w:shd w:val="clear" w:color="auto" w:fill="auto"/>
          </w:tcPr>
          <w:p w14:paraId="2A8450E8" w14:textId="77777777" w:rsidR="006F2559" w:rsidRPr="00191C75" w:rsidRDefault="006F2559"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0,00</w:t>
            </w:r>
          </w:p>
        </w:tc>
        <w:tc>
          <w:tcPr>
            <w:tcW w:w="722" w:type="dxa"/>
            <w:shd w:val="clear" w:color="auto" w:fill="auto"/>
          </w:tcPr>
          <w:p w14:paraId="3120A0EF" w14:textId="77777777" w:rsidR="006F2559" w:rsidRPr="00191C75" w:rsidRDefault="006F2559"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3</w:t>
            </w:r>
          </w:p>
        </w:tc>
        <w:tc>
          <w:tcPr>
            <w:tcW w:w="723" w:type="dxa"/>
            <w:shd w:val="clear" w:color="auto" w:fill="auto"/>
          </w:tcPr>
          <w:p w14:paraId="4BCAC3B2" w14:textId="77777777" w:rsidR="006F2559" w:rsidRPr="00191C75" w:rsidRDefault="006F2559"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19</w:t>
            </w:r>
          </w:p>
        </w:tc>
        <w:tc>
          <w:tcPr>
            <w:tcW w:w="722" w:type="dxa"/>
            <w:shd w:val="clear" w:color="auto" w:fill="auto"/>
          </w:tcPr>
          <w:p w14:paraId="3CC25975" w14:textId="77777777" w:rsidR="006F2559" w:rsidRPr="00191C75" w:rsidRDefault="006F2559"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4</w:t>
            </w:r>
          </w:p>
        </w:tc>
        <w:tc>
          <w:tcPr>
            <w:tcW w:w="722" w:type="dxa"/>
            <w:shd w:val="clear" w:color="auto" w:fill="auto"/>
          </w:tcPr>
          <w:p w14:paraId="06EEB686" w14:textId="77777777" w:rsidR="006F2559" w:rsidRPr="00191C75" w:rsidRDefault="006F2559"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10</w:t>
            </w:r>
          </w:p>
        </w:tc>
        <w:tc>
          <w:tcPr>
            <w:tcW w:w="723" w:type="dxa"/>
            <w:shd w:val="clear" w:color="auto" w:fill="auto"/>
          </w:tcPr>
          <w:p w14:paraId="0EDCDE11" w14:textId="77777777" w:rsidR="006F2559" w:rsidRPr="00191C75" w:rsidRDefault="006F2559"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0,00</w:t>
            </w:r>
          </w:p>
        </w:tc>
        <w:tc>
          <w:tcPr>
            <w:tcW w:w="722" w:type="dxa"/>
            <w:shd w:val="clear" w:color="auto" w:fill="auto"/>
          </w:tcPr>
          <w:p w14:paraId="4A3FEC2C" w14:textId="77777777" w:rsidR="006F2559" w:rsidRPr="00191C75" w:rsidRDefault="006F2559"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w:t>
            </w:r>
          </w:p>
        </w:tc>
        <w:tc>
          <w:tcPr>
            <w:tcW w:w="723" w:type="dxa"/>
            <w:shd w:val="clear" w:color="auto" w:fill="auto"/>
          </w:tcPr>
          <w:p w14:paraId="11541E17" w14:textId="77777777" w:rsidR="006F2559" w:rsidRPr="00191C75" w:rsidRDefault="006F2559"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21</w:t>
            </w:r>
          </w:p>
        </w:tc>
      </w:tr>
      <w:tr w:rsidR="00191C75" w:rsidRPr="00191C75" w14:paraId="144F4E82" w14:textId="77777777" w:rsidTr="00E652ED">
        <w:trPr>
          <w:jc w:val="center"/>
        </w:trPr>
        <w:tc>
          <w:tcPr>
            <w:tcW w:w="1838" w:type="dxa"/>
            <w:shd w:val="clear" w:color="auto" w:fill="auto"/>
          </w:tcPr>
          <w:p w14:paraId="706B7180" w14:textId="77777777" w:rsidR="006F2559" w:rsidRPr="00191C75" w:rsidRDefault="006F2559" w:rsidP="000314CC">
            <w:pPr>
              <w:spacing w:after="0" w:line="240" w:lineRule="auto"/>
              <w:rPr>
                <w:rFonts w:ascii="Times New Roman" w:eastAsia="SimSun" w:hAnsi="Times New Roman"/>
                <w:sz w:val="20"/>
                <w:szCs w:val="20"/>
              </w:rPr>
            </w:pPr>
            <w:r w:rsidRPr="00191C75">
              <w:rPr>
                <w:rFonts w:ascii="Times New Roman" w:eastAsia="SimSun" w:hAnsi="Times New Roman"/>
                <w:sz w:val="20"/>
                <w:szCs w:val="20"/>
              </w:rPr>
              <w:t>6 meses ou 132 dias</w:t>
            </w:r>
          </w:p>
        </w:tc>
        <w:tc>
          <w:tcPr>
            <w:tcW w:w="722" w:type="dxa"/>
            <w:shd w:val="clear" w:color="auto" w:fill="auto"/>
          </w:tcPr>
          <w:p w14:paraId="64EE2E23" w14:textId="77777777" w:rsidR="006F2559" w:rsidRPr="00191C75" w:rsidRDefault="006F2559" w:rsidP="00E31814">
            <w:pPr>
              <w:spacing w:after="0" w:line="240" w:lineRule="auto"/>
              <w:ind w:firstLine="18"/>
              <w:jc w:val="center"/>
              <w:rPr>
                <w:rFonts w:ascii="Times New Roman" w:eastAsia="SimSun" w:hAnsi="Times New Roman"/>
                <w:sz w:val="20"/>
                <w:szCs w:val="20"/>
              </w:rPr>
            </w:pPr>
            <w:r w:rsidRPr="00191C75">
              <w:rPr>
                <w:rFonts w:ascii="Times New Roman" w:eastAsia="SimSun" w:hAnsi="Times New Roman"/>
                <w:sz w:val="20"/>
                <w:szCs w:val="20"/>
              </w:rPr>
              <w:t>5</w:t>
            </w:r>
          </w:p>
        </w:tc>
        <w:tc>
          <w:tcPr>
            <w:tcW w:w="722" w:type="dxa"/>
            <w:shd w:val="clear" w:color="auto" w:fill="auto"/>
          </w:tcPr>
          <w:p w14:paraId="206CF19F" w14:textId="77777777" w:rsidR="006F2559" w:rsidRPr="00191C75" w:rsidRDefault="006F2559"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11</w:t>
            </w:r>
          </w:p>
        </w:tc>
        <w:tc>
          <w:tcPr>
            <w:tcW w:w="723" w:type="dxa"/>
            <w:shd w:val="clear" w:color="auto" w:fill="auto"/>
          </w:tcPr>
          <w:p w14:paraId="0E7E32BD" w14:textId="77777777" w:rsidR="006F2559" w:rsidRPr="00191C75" w:rsidRDefault="006F2559"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0,00</w:t>
            </w:r>
          </w:p>
        </w:tc>
        <w:tc>
          <w:tcPr>
            <w:tcW w:w="722" w:type="dxa"/>
            <w:shd w:val="clear" w:color="auto" w:fill="auto"/>
          </w:tcPr>
          <w:p w14:paraId="1A6D2533" w14:textId="77777777" w:rsidR="006F2559" w:rsidRPr="00191C75" w:rsidRDefault="006F2559"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42</w:t>
            </w:r>
          </w:p>
        </w:tc>
        <w:tc>
          <w:tcPr>
            <w:tcW w:w="723" w:type="dxa"/>
            <w:shd w:val="clear" w:color="auto" w:fill="auto"/>
          </w:tcPr>
          <w:p w14:paraId="6838D344" w14:textId="77777777" w:rsidR="006F2559" w:rsidRPr="00191C75" w:rsidRDefault="006F2559"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90</w:t>
            </w:r>
          </w:p>
        </w:tc>
        <w:tc>
          <w:tcPr>
            <w:tcW w:w="722" w:type="dxa"/>
            <w:shd w:val="clear" w:color="auto" w:fill="auto"/>
          </w:tcPr>
          <w:p w14:paraId="670DCB51" w14:textId="77777777" w:rsidR="006F2559" w:rsidRPr="00191C75" w:rsidRDefault="006F2559"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5</w:t>
            </w:r>
          </w:p>
        </w:tc>
        <w:tc>
          <w:tcPr>
            <w:tcW w:w="722" w:type="dxa"/>
            <w:shd w:val="clear" w:color="auto" w:fill="auto"/>
          </w:tcPr>
          <w:p w14:paraId="173DC6AF" w14:textId="77777777" w:rsidR="006F2559" w:rsidRPr="00191C75" w:rsidRDefault="006F2559"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11</w:t>
            </w:r>
          </w:p>
        </w:tc>
        <w:tc>
          <w:tcPr>
            <w:tcW w:w="723" w:type="dxa"/>
            <w:shd w:val="clear" w:color="auto" w:fill="auto"/>
          </w:tcPr>
          <w:p w14:paraId="37FBDC66" w14:textId="77777777" w:rsidR="006F2559" w:rsidRPr="00191C75" w:rsidRDefault="006F2559"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0,00</w:t>
            </w:r>
          </w:p>
        </w:tc>
        <w:tc>
          <w:tcPr>
            <w:tcW w:w="722" w:type="dxa"/>
            <w:shd w:val="clear" w:color="auto" w:fill="auto"/>
          </w:tcPr>
          <w:p w14:paraId="54431111" w14:textId="77777777" w:rsidR="006F2559" w:rsidRPr="00191C75" w:rsidRDefault="006F2559"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w:t>
            </w:r>
          </w:p>
        </w:tc>
        <w:tc>
          <w:tcPr>
            <w:tcW w:w="723" w:type="dxa"/>
            <w:shd w:val="clear" w:color="auto" w:fill="auto"/>
          </w:tcPr>
          <w:p w14:paraId="2BF2951D" w14:textId="77777777" w:rsidR="006F2559" w:rsidRPr="00191C75" w:rsidRDefault="006F2559"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131</w:t>
            </w:r>
          </w:p>
        </w:tc>
      </w:tr>
      <w:tr w:rsidR="006F2559" w:rsidRPr="00191C75" w14:paraId="76E855FD" w14:textId="77777777" w:rsidTr="00E652ED">
        <w:trPr>
          <w:jc w:val="center"/>
        </w:trPr>
        <w:tc>
          <w:tcPr>
            <w:tcW w:w="1838" w:type="dxa"/>
            <w:shd w:val="clear" w:color="auto" w:fill="auto"/>
          </w:tcPr>
          <w:p w14:paraId="418383F4" w14:textId="77777777" w:rsidR="006F2559" w:rsidRPr="00191C75" w:rsidRDefault="006F2559" w:rsidP="000314CC">
            <w:pPr>
              <w:spacing w:after="0" w:line="240" w:lineRule="auto"/>
              <w:rPr>
                <w:rFonts w:ascii="Times New Roman" w:eastAsia="SimSun" w:hAnsi="Times New Roman"/>
                <w:sz w:val="20"/>
                <w:szCs w:val="20"/>
              </w:rPr>
            </w:pPr>
            <w:r w:rsidRPr="00191C75">
              <w:rPr>
                <w:rFonts w:ascii="Times New Roman" w:eastAsia="SimSun" w:hAnsi="Times New Roman"/>
                <w:sz w:val="20"/>
                <w:szCs w:val="20"/>
              </w:rPr>
              <w:t>1 ano ou 264 dias</w:t>
            </w:r>
          </w:p>
        </w:tc>
        <w:tc>
          <w:tcPr>
            <w:tcW w:w="722" w:type="dxa"/>
            <w:shd w:val="clear" w:color="auto" w:fill="auto"/>
          </w:tcPr>
          <w:p w14:paraId="6D6A005A" w14:textId="77777777" w:rsidR="006F2559" w:rsidRPr="00191C75" w:rsidRDefault="006F2559" w:rsidP="00E31814">
            <w:pPr>
              <w:spacing w:after="0" w:line="240" w:lineRule="auto"/>
              <w:ind w:firstLine="18"/>
              <w:jc w:val="center"/>
              <w:rPr>
                <w:rFonts w:ascii="Times New Roman" w:eastAsia="SimSun" w:hAnsi="Times New Roman"/>
                <w:sz w:val="20"/>
                <w:szCs w:val="20"/>
              </w:rPr>
            </w:pPr>
            <w:r w:rsidRPr="00191C75">
              <w:rPr>
                <w:rFonts w:ascii="Times New Roman" w:eastAsia="SimSun" w:hAnsi="Times New Roman"/>
                <w:sz w:val="20"/>
                <w:szCs w:val="20"/>
              </w:rPr>
              <w:t>7</w:t>
            </w:r>
          </w:p>
        </w:tc>
        <w:tc>
          <w:tcPr>
            <w:tcW w:w="722" w:type="dxa"/>
            <w:shd w:val="clear" w:color="auto" w:fill="auto"/>
          </w:tcPr>
          <w:p w14:paraId="169C7F4C" w14:textId="77777777" w:rsidR="006F2559" w:rsidRPr="00191C75" w:rsidRDefault="006F2559"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15</w:t>
            </w:r>
          </w:p>
        </w:tc>
        <w:tc>
          <w:tcPr>
            <w:tcW w:w="723" w:type="dxa"/>
            <w:shd w:val="clear" w:color="auto" w:fill="auto"/>
          </w:tcPr>
          <w:p w14:paraId="0CCC512B" w14:textId="77777777" w:rsidR="006F2559" w:rsidRPr="00191C75" w:rsidRDefault="006F2559"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0,00</w:t>
            </w:r>
          </w:p>
        </w:tc>
        <w:tc>
          <w:tcPr>
            <w:tcW w:w="722" w:type="dxa"/>
            <w:shd w:val="clear" w:color="auto" w:fill="auto"/>
          </w:tcPr>
          <w:p w14:paraId="155287D6" w14:textId="77777777" w:rsidR="006F2559" w:rsidRPr="00191C75" w:rsidRDefault="006F2559"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48</w:t>
            </w:r>
          </w:p>
        </w:tc>
        <w:tc>
          <w:tcPr>
            <w:tcW w:w="723" w:type="dxa"/>
            <w:shd w:val="clear" w:color="auto" w:fill="auto"/>
          </w:tcPr>
          <w:p w14:paraId="1A31CC79" w14:textId="77777777" w:rsidR="006F2559" w:rsidRPr="00191C75" w:rsidRDefault="006F2559"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216</w:t>
            </w:r>
          </w:p>
        </w:tc>
        <w:tc>
          <w:tcPr>
            <w:tcW w:w="722" w:type="dxa"/>
            <w:shd w:val="clear" w:color="auto" w:fill="auto"/>
          </w:tcPr>
          <w:p w14:paraId="037E0C7C" w14:textId="77777777" w:rsidR="006F2559" w:rsidRPr="00191C75" w:rsidRDefault="006F2559"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6</w:t>
            </w:r>
          </w:p>
        </w:tc>
        <w:tc>
          <w:tcPr>
            <w:tcW w:w="722" w:type="dxa"/>
            <w:shd w:val="clear" w:color="auto" w:fill="auto"/>
          </w:tcPr>
          <w:p w14:paraId="15B1B250" w14:textId="77777777" w:rsidR="006F2559" w:rsidRPr="00191C75" w:rsidRDefault="006F2559"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14</w:t>
            </w:r>
          </w:p>
        </w:tc>
        <w:tc>
          <w:tcPr>
            <w:tcW w:w="723" w:type="dxa"/>
            <w:shd w:val="clear" w:color="auto" w:fill="auto"/>
          </w:tcPr>
          <w:p w14:paraId="5D12628E" w14:textId="77777777" w:rsidR="006F2559" w:rsidRPr="00191C75" w:rsidRDefault="006F2559"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0,00</w:t>
            </w:r>
          </w:p>
        </w:tc>
        <w:tc>
          <w:tcPr>
            <w:tcW w:w="722" w:type="dxa"/>
            <w:shd w:val="clear" w:color="auto" w:fill="auto"/>
          </w:tcPr>
          <w:p w14:paraId="255BC3F8" w14:textId="77777777" w:rsidR="006F2559" w:rsidRPr="00191C75" w:rsidRDefault="006F2559"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0</w:t>
            </w:r>
          </w:p>
        </w:tc>
        <w:tc>
          <w:tcPr>
            <w:tcW w:w="723" w:type="dxa"/>
            <w:shd w:val="clear" w:color="auto" w:fill="auto"/>
          </w:tcPr>
          <w:p w14:paraId="4C79C787" w14:textId="77777777" w:rsidR="006F2559" w:rsidRPr="00191C75" w:rsidRDefault="006F2559" w:rsidP="00E31814">
            <w:pPr>
              <w:spacing w:after="0" w:line="240" w:lineRule="auto"/>
              <w:jc w:val="center"/>
              <w:rPr>
                <w:rFonts w:ascii="Times New Roman" w:eastAsia="SimSun" w:hAnsi="Times New Roman"/>
                <w:sz w:val="20"/>
                <w:szCs w:val="20"/>
              </w:rPr>
            </w:pPr>
            <w:r w:rsidRPr="00191C75">
              <w:rPr>
                <w:rFonts w:ascii="Times New Roman" w:eastAsia="SimSun" w:hAnsi="Times New Roman"/>
                <w:sz w:val="20"/>
                <w:szCs w:val="20"/>
              </w:rPr>
              <w:t>264</w:t>
            </w:r>
          </w:p>
        </w:tc>
      </w:tr>
    </w:tbl>
    <w:p w14:paraId="4A37C3D8" w14:textId="77777777" w:rsidR="006F2559" w:rsidRPr="00191C75" w:rsidRDefault="006F2559" w:rsidP="006F2559">
      <w:pPr>
        <w:spacing w:after="0" w:line="240" w:lineRule="auto"/>
        <w:ind w:firstLine="567"/>
        <w:jc w:val="both"/>
        <w:rPr>
          <w:rFonts w:ascii="Times New Roman" w:hAnsi="Times New Roman"/>
          <w:sz w:val="24"/>
          <w:szCs w:val="24"/>
          <w:lang w:eastAsia="pt-BR"/>
        </w:rPr>
      </w:pPr>
    </w:p>
    <w:p w14:paraId="586115E6" w14:textId="77777777" w:rsidR="003E49D5" w:rsidRPr="00191C75" w:rsidRDefault="003E49D5" w:rsidP="008A55EA">
      <w:pPr>
        <w:spacing w:after="0" w:line="240" w:lineRule="auto"/>
        <w:jc w:val="both"/>
        <w:rPr>
          <w:rFonts w:ascii="Times New Roman" w:hAnsi="Times New Roman"/>
          <w:sz w:val="20"/>
          <w:szCs w:val="20"/>
          <w:lang w:eastAsia="pt-BR"/>
        </w:rPr>
      </w:pPr>
      <w:proofErr w:type="spellStart"/>
      <w:r w:rsidRPr="00191C75">
        <w:rPr>
          <w:rFonts w:ascii="Times New Roman" w:hAnsi="Times New Roman"/>
          <w:sz w:val="20"/>
          <w:szCs w:val="20"/>
          <w:lang w:eastAsia="pt-BR"/>
        </w:rPr>
        <w:t>Obs</w:t>
      </w:r>
      <w:proofErr w:type="spellEnd"/>
      <w:r w:rsidRPr="00191C75">
        <w:rPr>
          <w:rFonts w:ascii="Times New Roman" w:hAnsi="Times New Roman"/>
          <w:sz w:val="20"/>
          <w:szCs w:val="20"/>
          <w:lang w:eastAsia="pt-BR"/>
        </w:rPr>
        <w:t xml:space="preserve">: (a) número de companhias com CAR estatisticamente diferentes de zero; (b) valor do </w:t>
      </w:r>
      <w:r w:rsidRPr="00191C75">
        <w:rPr>
          <w:rFonts w:ascii="Times New Roman" w:hAnsi="Times New Roman"/>
          <w:i/>
          <w:sz w:val="20"/>
          <w:szCs w:val="20"/>
          <w:lang w:eastAsia="pt-BR"/>
        </w:rPr>
        <w:t>p-</w:t>
      </w:r>
      <w:proofErr w:type="spellStart"/>
      <w:r w:rsidRPr="00191C75">
        <w:rPr>
          <w:rFonts w:ascii="Times New Roman" w:hAnsi="Times New Roman"/>
          <w:i/>
          <w:sz w:val="20"/>
          <w:szCs w:val="20"/>
          <w:lang w:eastAsia="pt-BR"/>
        </w:rPr>
        <w:t>value</w:t>
      </w:r>
      <w:proofErr w:type="spellEnd"/>
      <w:r w:rsidRPr="00191C75">
        <w:rPr>
          <w:rFonts w:ascii="Times New Roman" w:hAnsi="Times New Roman"/>
          <w:sz w:val="20"/>
          <w:szCs w:val="20"/>
          <w:lang w:eastAsia="pt-BR"/>
        </w:rPr>
        <w:t xml:space="preserve"> para o teste de diferença de médias e (c) número de pregões.</w:t>
      </w:r>
    </w:p>
    <w:p w14:paraId="1F920FFE" w14:textId="77777777" w:rsidR="003E49D5" w:rsidRPr="00191C75" w:rsidRDefault="003E49D5" w:rsidP="00B37D61">
      <w:pPr>
        <w:spacing w:after="0" w:line="240" w:lineRule="auto"/>
        <w:ind w:firstLine="567"/>
        <w:jc w:val="both"/>
        <w:rPr>
          <w:rFonts w:ascii="Times New Roman" w:hAnsi="Times New Roman"/>
          <w:sz w:val="24"/>
          <w:szCs w:val="24"/>
          <w:lang w:eastAsia="pt-BR"/>
        </w:rPr>
      </w:pPr>
    </w:p>
    <w:p w14:paraId="417C4B48" w14:textId="77777777" w:rsidR="003E49D5" w:rsidRPr="00191C75" w:rsidRDefault="003E49D5" w:rsidP="00B37D61">
      <w:pPr>
        <w:spacing w:after="0" w:line="240" w:lineRule="auto"/>
        <w:ind w:firstLine="567"/>
        <w:jc w:val="both"/>
        <w:rPr>
          <w:rFonts w:ascii="Times New Roman" w:hAnsi="Times New Roman"/>
          <w:sz w:val="24"/>
          <w:szCs w:val="24"/>
          <w:lang w:eastAsia="pt-BR"/>
        </w:rPr>
      </w:pPr>
    </w:p>
    <w:p w14:paraId="5860D1FC" w14:textId="7D45F576" w:rsidR="003E49D5" w:rsidRPr="00191C75" w:rsidRDefault="00131831" w:rsidP="00131831">
      <w:pPr>
        <w:pStyle w:val="Heading1"/>
        <w:spacing w:line="240" w:lineRule="auto"/>
        <w:jc w:val="both"/>
        <w:rPr>
          <w:color w:val="auto"/>
          <w:lang w:val="pt-BR"/>
        </w:rPr>
      </w:pPr>
      <w:bookmarkStart w:id="17" w:name="_Toc498228383"/>
      <w:r w:rsidRPr="00191C75">
        <w:rPr>
          <w:color w:val="auto"/>
          <w:lang w:val="pt-BR"/>
        </w:rPr>
        <w:t xml:space="preserve">5.      </w:t>
      </w:r>
      <w:r w:rsidR="003E49D5" w:rsidRPr="00191C75">
        <w:rPr>
          <w:color w:val="auto"/>
          <w:lang w:val="pt-BR"/>
        </w:rPr>
        <w:t>Conclusão</w:t>
      </w:r>
      <w:bookmarkEnd w:id="17"/>
    </w:p>
    <w:p w14:paraId="15649FAB" w14:textId="77777777" w:rsidR="003E49D5" w:rsidRPr="00191C75" w:rsidRDefault="003E49D5" w:rsidP="00B37D61">
      <w:pPr>
        <w:spacing w:after="0" w:line="240" w:lineRule="auto"/>
        <w:ind w:firstLine="567"/>
        <w:jc w:val="both"/>
        <w:rPr>
          <w:rFonts w:ascii="Times New Roman" w:hAnsi="Times New Roman"/>
          <w:sz w:val="24"/>
          <w:szCs w:val="24"/>
          <w:shd w:val="clear" w:color="auto" w:fill="FFFFFF"/>
        </w:rPr>
      </w:pPr>
    </w:p>
    <w:p w14:paraId="504E24E8" w14:textId="77777777" w:rsidR="003E49D5" w:rsidRPr="00191C75" w:rsidRDefault="003E49D5" w:rsidP="009D2A19">
      <w:pPr>
        <w:spacing w:after="0" w:line="240" w:lineRule="auto"/>
        <w:ind w:firstLine="709"/>
        <w:jc w:val="both"/>
        <w:rPr>
          <w:rFonts w:ascii="Times New Roman" w:hAnsi="Times New Roman"/>
          <w:sz w:val="24"/>
          <w:szCs w:val="24"/>
          <w:shd w:val="clear" w:color="auto" w:fill="FFFFFF"/>
        </w:rPr>
      </w:pPr>
      <w:r w:rsidRPr="00191C75">
        <w:rPr>
          <w:rFonts w:ascii="Times New Roman" w:hAnsi="Times New Roman"/>
          <w:sz w:val="24"/>
          <w:szCs w:val="24"/>
          <w:shd w:val="clear" w:color="auto" w:fill="FFFFFF"/>
        </w:rPr>
        <w:t xml:space="preserve">Esse estudo tem por objetivo verificar, sob a perspectiva da teoria da sinalização, se as companhias que recebem aportes de fundos de VC/PE apresentam melhores retornos, após seu IPO, do que aquelas que não contam com essa alternativa de financiamento. Para isso, é realizado um estudo de evento, no nível de eficiência de mercado semiforte, para identificar as seguintes hipóteses: </w:t>
      </w:r>
      <w:r w:rsidRPr="00191C75">
        <w:rPr>
          <w:rFonts w:ascii="Times New Roman" w:hAnsi="Times New Roman"/>
          <w:sz w:val="24"/>
          <w:szCs w:val="24"/>
          <w:lang w:eastAsia="pt-BR"/>
        </w:rPr>
        <w:t>H1 - companhias - com participação prévia de fundos de VC/PE - possuem retornos superiores àquelas sem tais participações e H2 – quanto maior a participação prévia dos fundos de VC/PE no capital dessas companhias, maior o retorno de suas ações.</w:t>
      </w:r>
    </w:p>
    <w:p w14:paraId="60EAC48D" w14:textId="77777777" w:rsidR="003E49D5" w:rsidRPr="00191C75" w:rsidRDefault="003E49D5" w:rsidP="009D2A19">
      <w:pPr>
        <w:spacing w:after="0" w:line="240" w:lineRule="auto"/>
        <w:ind w:firstLine="709"/>
        <w:jc w:val="both"/>
        <w:rPr>
          <w:rFonts w:ascii="Times New Roman" w:hAnsi="Times New Roman"/>
          <w:sz w:val="24"/>
          <w:szCs w:val="24"/>
          <w:highlight w:val="yellow"/>
          <w:shd w:val="clear" w:color="auto" w:fill="FFFFFF"/>
        </w:rPr>
      </w:pPr>
    </w:p>
    <w:p w14:paraId="2983411F" w14:textId="385AC813" w:rsidR="003E49D5" w:rsidRPr="00191C75" w:rsidRDefault="003E49D5" w:rsidP="000538F2">
      <w:pPr>
        <w:spacing w:after="0" w:line="240" w:lineRule="auto"/>
        <w:ind w:firstLine="709"/>
        <w:jc w:val="both"/>
        <w:rPr>
          <w:rFonts w:ascii="Times New Roman" w:hAnsi="Times New Roman"/>
          <w:sz w:val="24"/>
          <w:szCs w:val="24"/>
          <w:lang w:eastAsia="pt-BR"/>
        </w:rPr>
      </w:pPr>
      <w:r w:rsidRPr="00191C75">
        <w:rPr>
          <w:rFonts w:ascii="Times New Roman" w:hAnsi="Times New Roman"/>
          <w:sz w:val="24"/>
          <w:szCs w:val="24"/>
          <w:shd w:val="clear" w:color="auto" w:fill="FFFFFF"/>
        </w:rPr>
        <w:t xml:space="preserve">Assim, é utilizada uma amostra final de 83 ações - sendo 36 com </w:t>
      </w:r>
      <w:r w:rsidRPr="00191C75">
        <w:rPr>
          <w:rFonts w:ascii="Times New Roman" w:hAnsi="Times New Roman"/>
          <w:sz w:val="24"/>
          <w:szCs w:val="24"/>
          <w:lang w:eastAsia="pt-BR"/>
        </w:rPr>
        <w:t xml:space="preserve">e 47 sem a participação prévia de investidores relacionados aos fundos de investimento em VC/PE - no período de janeiro de 2005 e dezembro de 2016, com janelas de estudo de 22, 132 e 264 pregões. Como </w:t>
      </w:r>
      <w:r w:rsidRPr="00191C75">
        <w:rPr>
          <w:rFonts w:ascii="Times New Roman" w:hAnsi="Times New Roman"/>
          <w:sz w:val="24"/>
          <w:szCs w:val="24"/>
          <w:lang w:eastAsia="pt-BR"/>
        </w:rPr>
        <w:lastRenderedPageBreak/>
        <w:t xml:space="preserve">resultado, verifica-se que a janela de 22 pregões é estatisticamente igual a zero, tanto para o índice Ibovespa, quanto para ao índice </w:t>
      </w:r>
      <w:proofErr w:type="spellStart"/>
      <w:r w:rsidRPr="00191C75">
        <w:rPr>
          <w:rFonts w:ascii="Times New Roman" w:hAnsi="Times New Roman"/>
          <w:sz w:val="24"/>
          <w:szCs w:val="24"/>
          <w:lang w:eastAsia="pt-BR"/>
        </w:rPr>
        <w:t>IBrX</w:t>
      </w:r>
      <w:proofErr w:type="spellEnd"/>
      <w:r w:rsidRPr="00191C75">
        <w:rPr>
          <w:rFonts w:ascii="Times New Roman" w:hAnsi="Times New Roman"/>
          <w:sz w:val="24"/>
          <w:szCs w:val="24"/>
          <w:lang w:eastAsia="pt-BR"/>
        </w:rPr>
        <w:t>. Tal fato pode ser justificado pela falta de</w:t>
      </w:r>
      <w:r w:rsidR="00D84C0C" w:rsidRPr="00191C75">
        <w:rPr>
          <w:rFonts w:ascii="Times New Roman" w:hAnsi="Times New Roman"/>
          <w:sz w:val="24"/>
          <w:szCs w:val="24"/>
          <w:lang w:eastAsia="pt-BR"/>
        </w:rPr>
        <w:t xml:space="preserve"> disponibilização de</w:t>
      </w:r>
      <w:r w:rsidRPr="00191C75">
        <w:rPr>
          <w:rFonts w:ascii="Times New Roman" w:hAnsi="Times New Roman"/>
          <w:sz w:val="24"/>
          <w:szCs w:val="24"/>
          <w:lang w:eastAsia="pt-BR"/>
        </w:rPr>
        <w:t xml:space="preserve"> informaç</w:t>
      </w:r>
      <w:r w:rsidR="00D84C0C" w:rsidRPr="00191C75">
        <w:rPr>
          <w:rFonts w:ascii="Times New Roman" w:hAnsi="Times New Roman"/>
          <w:sz w:val="24"/>
          <w:szCs w:val="24"/>
          <w:lang w:eastAsia="pt-BR"/>
        </w:rPr>
        <w:t>ões</w:t>
      </w:r>
      <w:r w:rsidR="00996386" w:rsidRPr="00191C75">
        <w:rPr>
          <w:rFonts w:ascii="Times New Roman" w:hAnsi="Times New Roman"/>
          <w:sz w:val="24"/>
          <w:szCs w:val="24"/>
          <w:lang w:eastAsia="pt-BR"/>
        </w:rPr>
        <w:t>,</w:t>
      </w:r>
      <w:r w:rsidRPr="00191C75">
        <w:rPr>
          <w:rFonts w:ascii="Times New Roman" w:hAnsi="Times New Roman"/>
          <w:sz w:val="24"/>
          <w:szCs w:val="24"/>
          <w:lang w:eastAsia="pt-BR"/>
        </w:rPr>
        <w:t xml:space="preserve"> imediatamente após </w:t>
      </w:r>
      <w:r w:rsidR="00996386" w:rsidRPr="00191C75">
        <w:rPr>
          <w:rFonts w:ascii="Times New Roman" w:hAnsi="Times New Roman"/>
          <w:sz w:val="24"/>
          <w:szCs w:val="24"/>
          <w:lang w:eastAsia="pt-BR"/>
        </w:rPr>
        <w:t>o</w:t>
      </w:r>
      <w:r w:rsidRPr="00191C75">
        <w:rPr>
          <w:rFonts w:ascii="Times New Roman" w:hAnsi="Times New Roman"/>
          <w:sz w:val="24"/>
          <w:szCs w:val="24"/>
          <w:lang w:eastAsia="pt-BR"/>
        </w:rPr>
        <w:t xml:space="preserve"> IPO</w:t>
      </w:r>
      <w:r w:rsidR="00996386" w:rsidRPr="00191C75">
        <w:rPr>
          <w:rFonts w:ascii="Times New Roman" w:hAnsi="Times New Roman"/>
          <w:sz w:val="24"/>
          <w:szCs w:val="24"/>
          <w:lang w:eastAsia="pt-BR"/>
        </w:rPr>
        <w:t xml:space="preserve">, bem como </w:t>
      </w:r>
      <w:r w:rsidRPr="00191C75">
        <w:rPr>
          <w:rFonts w:ascii="Times New Roman" w:hAnsi="Times New Roman"/>
          <w:sz w:val="24"/>
          <w:szCs w:val="24"/>
          <w:lang w:eastAsia="pt-BR"/>
        </w:rPr>
        <w:t>ao curto histórico observável das empresas no mercado de capitais</w:t>
      </w:r>
      <w:r w:rsidR="00996386" w:rsidRPr="00191C75">
        <w:rPr>
          <w:rFonts w:ascii="Times New Roman" w:hAnsi="Times New Roman"/>
          <w:sz w:val="24"/>
          <w:szCs w:val="24"/>
          <w:lang w:eastAsia="pt-BR"/>
        </w:rPr>
        <w:t xml:space="preserve">. </w:t>
      </w:r>
      <w:r w:rsidR="000538F2" w:rsidRPr="00191C75">
        <w:rPr>
          <w:rFonts w:ascii="Times New Roman" w:hAnsi="Times New Roman"/>
          <w:sz w:val="24"/>
          <w:szCs w:val="24"/>
          <w:lang w:eastAsia="pt-BR"/>
        </w:rPr>
        <w:t xml:space="preserve">Esses motivos </w:t>
      </w:r>
      <w:r w:rsidRPr="00191C75">
        <w:rPr>
          <w:rFonts w:ascii="Times New Roman" w:hAnsi="Times New Roman"/>
          <w:sz w:val="24"/>
          <w:szCs w:val="24"/>
          <w:lang w:eastAsia="pt-BR"/>
        </w:rPr>
        <w:t>promove</w:t>
      </w:r>
      <w:r w:rsidR="00996386" w:rsidRPr="00191C75">
        <w:rPr>
          <w:rFonts w:ascii="Times New Roman" w:hAnsi="Times New Roman"/>
          <w:sz w:val="24"/>
          <w:szCs w:val="24"/>
          <w:lang w:eastAsia="pt-BR"/>
        </w:rPr>
        <w:t>m</w:t>
      </w:r>
      <w:r w:rsidRPr="00191C75">
        <w:rPr>
          <w:rFonts w:ascii="Times New Roman" w:hAnsi="Times New Roman"/>
          <w:sz w:val="24"/>
          <w:szCs w:val="24"/>
          <w:lang w:eastAsia="pt-BR"/>
        </w:rPr>
        <w:t xml:space="preserve"> comportamentos similares entre os dois grupos.</w:t>
      </w:r>
    </w:p>
    <w:p w14:paraId="2B660B52" w14:textId="77777777" w:rsidR="003E49D5" w:rsidRPr="00191C75" w:rsidRDefault="003E49D5" w:rsidP="00B37D61">
      <w:pPr>
        <w:spacing w:after="0" w:line="240" w:lineRule="auto"/>
        <w:ind w:firstLine="567"/>
        <w:jc w:val="both"/>
        <w:rPr>
          <w:rFonts w:ascii="Times New Roman" w:hAnsi="Times New Roman"/>
          <w:sz w:val="24"/>
          <w:szCs w:val="24"/>
          <w:lang w:eastAsia="pt-BR"/>
        </w:rPr>
      </w:pPr>
    </w:p>
    <w:p w14:paraId="04CD0017" w14:textId="77777777" w:rsidR="003E49D5" w:rsidRPr="00191C75" w:rsidRDefault="003E49D5" w:rsidP="009D2A19">
      <w:pPr>
        <w:spacing w:after="0" w:line="240" w:lineRule="auto"/>
        <w:ind w:firstLine="709"/>
        <w:jc w:val="both"/>
        <w:rPr>
          <w:rFonts w:ascii="Times New Roman" w:hAnsi="Times New Roman"/>
          <w:sz w:val="24"/>
          <w:szCs w:val="24"/>
        </w:rPr>
      </w:pPr>
      <w:r w:rsidRPr="00191C75">
        <w:rPr>
          <w:rFonts w:ascii="Times New Roman" w:hAnsi="Times New Roman"/>
          <w:sz w:val="24"/>
          <w:szCs w:val="24"/>
          <w:lang w:eastAsia="pt-BR"/>
        </w:rPr>
        <w:t xml:space="preserve">Para as janelas de 132 e 264 pregões, as médias dos </w:t>
      </w:r>
      <w:proofErr w:type="spellStart"/>
      <w:r w:rsidRPr="00191C75">
        <w:rPr>
          <w:rFonts w:ascii="Times New Roman" w:hAnsi="Times New Roman"/>
          <w:sz w:val="24"/>
          <w:szCs w:val="24"/>
          <w:lang w:eastAsia="pt-BR"/>
        </w:rPr>
        <w:t>CARs</w:t>
      </w:r>
      <w:proofErr w:type="spellEnd"/>
      <w:r w:rsidRPr="00191C75">
        <w:rPr>
          <w:rFonts w:ascii="Times New Roman" w:hAnsi="Times New Roman"/>
          <w:sz w:val="24"/>
          <w:szCs w:val="24"/>
          <w:lang w:eastAsia="pt-BR"/>
        </w:rPr>
        <w:t xml:space="preserve"> das amostras com e sem participação prévia de fundos de VC/PE são estatisticamente diferentes de zero, sendo que a maioria dos resultados são positivos (Ibovespa e </w:t>
      </w:r>
      <w:proofErr w:type="spellStart"/>
      <w:r w:rsidRPr="00191C75">
        <w:rPr>
          <w:rFonts w:ascii="Times New Roman" w:hAnsi="Times New Roman"/>
          <w:sz w:val="24"/>
          <w:szCs w:val="24"/>
          <w:lang w:eastAsia="pt-BR"/>
        </w:rPr>
        <w:t>IBrX</w:t>
      </w:r>
      <w:proofErr w:type="spellEnd"/>
      <w:r w:rsidRPr="00191C75">
        <w:rPr>
          <w:rFonts w:ascii="Times New Roman" w:hAnsi="Times New Roman"/>
          <w:sz w:val="24"/>
          <w:szCs w:val="24"/>
          <w:lang w:eastAsia="pt-BR"/>
        </w:rPr>
        <w:t xml:space="preserve">). Logo, confirma-se H1 para essas janelas. Além disso, observa-se que quanto maior a janela, maior o número de resultados positivos. Isso se deve à quantidade superior de informações divulgadas antes de seus IPOs e à confiabilidade quanto a precisão dessas companhias, mediante diligências executadas pelos fundos de VC/PE. À medida em que as companhias disponibilizam mais informações no mercado, elas atraem mais </w:t>
      </w:r>
      <w:r w:rsidRPr="00191C75">
        <w:rPr>
          <w:rFonts w:ascii="Times New Roman" w:hAnsi="Times New Roman"/>
          <w:sz w:val="24"/>
          <w:szCs w:val="24"/>
        </w:rPr>
        <w:t xml:space="preserve">investidores - gestores de fundos de ações, </w:t>
      </w:r>
      <w:proofErr w:type="spellStart"/>
      <w:r w:rsidRPr="00191C75">
        <w:rPr>
          <w:rFonts w:ascii="Times New Roman" w:hAnsi="Times New Roman"/>
          <w:i/>
          <w:sz w:val="24"/>
          <w:szCs w:val="24"/>
        </w:rPr>
        <w:t>insiders</w:t>
      </w:r>
      <w:proofErr w:type="spellEnd"/>
      <w:r w:rsidRPr="00191C75">
        <w:rPr>
          <w:rFonts w:ascii="Times New Roman" w:hAnsi="Times New Roman"/>
          <w:sz w:val="24"/>
          <w:szCs w:val="24"/>
        </w:rPr>
        <w:t xml:space="preserve"> e </w:t>
      </w:r>
      <w:r w:rsidRPr="00191C75">
        <w:rPr>
          <w:rFonts w:ascii="Times New Roman" w:hAnsi="Times New Roman"/>
          <w:i/>
          <w:sz w:val="24"/>
          <w:szCs w:val="24"/>
        </w:rPr>
        <w:t>outsiders</w:t>
      </w:r>
      <w:r w:rsidRPr="00191C75">
        <w:rPr>
          <w:rFonts w:ascii="Times New Roman" w:hAnsi="Times New Roman"/>
          <w:sz w:val="24"/>
          <w:szCs w:val="24"/>
        </w:rPr>
        <w:t xml:space="preserve"> - aumentando a transparência de dados divulgados.</w:t>
      </w:r>
    </w:p>
    <w:p w14:paraId="478927C7" w14:textId="77777777" w:rsidR="003E49D5" w:rsidRPr="00191C75" w:rsidRDefault="003E49D5" w:rsidP="009D2A19">
      <w:pPr>
        <w:spacing w:after="0" w:line="240" w:lineRule="auto"/>
        <w:ind w:firstLine="709"/>
        <w:jc w:val="both"/>
        <w:rPr>
          <w:rFonts w:ascii="Times New Roman" w:eastAsia="MS Mincho" w:hAnsi="Times New Roman"/>
          <w:sz w:val="24"/>
          <w:szCs w:val="24"/>
        </w:rPr>
      </w:pPr>
    </w:p>
    <w:p w14:paraId="73C7EAAF" w14:textId="77777777" w:rsidR="003E49D5" w:rsidRPr="00191C75" w:rsidRDefault="003E49D5" w:rsidP="009D2A19">
      <w:pPr>
        <w:spacing w:after="0" w:line="240" w:lineRule="auto"/>
        <w:ind w:firstLine="709"/>
        <w:jc w:val="both"/>
        <w:rPr>
          <w:rFonts w:ascii="Times New Roman" w:hAnsi="Times New Roman"/>
          <w:sz w:val="24"/>
          <w:szCs w:val="24"/>
          <w:lang w:eastAsia="pt-BR"/>
        </w:rPr>
      </w:pPr>
      <w:r w:rsidRPr="00191C75">
        <w:rPr>
          <w:rFonts w:ascii="Times New Roman" w:hAnsi="Times New Roman"/>
          <w:sz w:val="24"/>
          <w:szCs w:val="24"/>
          <w:lang w:eastAsia="pt-BR"/>
        </w:rPr>
        <w:t xml:space="preserve">Em contrapartida, no teste da H2, para as janelas de 22, 132 e 264 pregões, a maioria dos resultados da diferença entre as médias dos </w:t>
      </w:r>
      <w:proofErr w:type="spellStart"/>
      <w:r w:rsidRPr="00191C75">
        <w:rPr>
          <w:rFonts w:ascii="Times New Roman" w:hAnsi="Times New Roman"/>
          <w:sz w:val="24"/>
          <w:szCs w:val="24"/>
          <w:lang w:eastAsia="pt-BR"/>
        </w:rPr>
        <w:t>CARs</w:t>
      </w:r>
      <w:proofErr w:type="spellEnd"/>
      <w:r w:rsidRPr="00191C75">
        <w:rPr>
          <w:rFonts w:ascii="Times New Roman" w:hAnsi="Times New Roman"/>
          <w:sz w:val="24"/>
          <w:szCs w:val="24"/>
          <w:lang w:eastAsia="pt-BR"/>
        </w:rPr>
        <w:t xml:space="preserve"> é negativa. Além disso, também se verifica que quanto maior o tempo da janela, mais resultados negativos são visualizados (Ibovespa e </w:t>
      </w:r>
      <w:proofErr w:type="spellStart"/>
      <w:r w:rsidRPr="00191C75">
        <w:rPr>
          <w:rFonts w:ascii="Times New Roman" w:hAnsi="Times New Roman"/>
          <w:sz w:val="24"/>
          <w:szCs w:val="24"/>
          <w:lang w:eastAsia="pt-BR"/>
        </w:rPr>
        <w:t>IBrX</w:t>
      </w:r>
      <w:proofErr w:type="spellEnd"/>
      <w:r w:rsidRPr="00191C75">
        <w:rPr>
          <w:rFonts w:ascii="Times New Roman" w:hAnsi="Times New Roman"/>
          <w:sz w:val="24"/>
          <w:szCs w:val="24"/>
          <w:lang w:eastAsia="pt-BR"/>
        </w:rPr>
        <w:t>). Logo, não é possível confirmar a H2 para essas janelas.</w:t>
      </w:r>
    </w:p>
    <w:p w14:paraId="57834345" w14:textId="77777777" w:rsidR="003E49D5" w:rsidRPr="00191C75" w:rsidRDefault="003E49D5" w:rsidP="009D2A19">
      <w:pPr>
        <w:spacing w:after="0" w:line="240" w:lineRule="auto"/>
        <w:ind w:firstLine="709"/>
        <w:jc w:val="both"/>
        <w:rPr>
          <w:rFonts w:ascii="Times New Roman" w:hAnsi="Times New Roman"/>
          <w:sz w:val="24"/>
          <w:szCs w:val="24"/>
        </w:rPr>
      </w:pPr>
    </w:p>
    <w:p w14:paraId="61B8861B" w14:textId="77777777" w:rsidR="003E49D5" w:rsidRPr="00191C75" w:rsidRDefault="003E49D5" w:rsidP="009D2A19">
      <w:pPr>
        <w:spacing w:after="0" w:line="240" w:lineRule="auto"/>
        <w:ind w:firstLine="709"/>
        <w:jc w:val="both"/>
        <w:rPr>
          <w:rFonts w:ascii="Times New Roman" w:hAnsi="Times New Roman"/>
          <w:sz w:val="24"/>
          <w:szCs w:val="24"/>
        </w:rPr>
      </w:pPr>
      <w:r w:rsidRPr="00191C75">
        <w:rPr>
          <w:rFonts w:ascii="Times New Roman" w:hAnsi="Times New Roman"/>
          <w:sz w:val="24"/>
          <w:szCs w:val="24"/>
        </w:rPr>
        <w:t xml:space="preserve">Para evolução do tema apresentado, sugere-se a análise do efeito da participação dos fundos de </w:t>
      </w:r>
      <w:proofErr w:type="spellStart"/>
      <w:r w:rsidRPr="00191C75">
        <w:rPr>
          <w:rFonts w:ascii="Times New Roman" w:hAnsi="Times New Roman"/>
          <w:sz w:val="24"/>
          <w:szCs w:val="24"/>
        </w:rPr>
        <w:t>VC</w:t>
      </w:r>
      <w:proofErr w:type="spellEnd"/>
      <w:r w:rsidRPr="00191C75">
        <w:rPr>
          <w:rFonts w:ascii="Times New Roman" w:hAnsi="Times New Roman"/>
          <w:sz w:val="24"/>
          <w:szCs w:val="24"/>
        </w:rPr>
        <w:t xml:space="preserve">/PE em IPOs de diferentes setores de mercado isoladamente. O objetivo é investigar a possível existência de grupos mais ou menos favoráveis a tais investimentos. Tanto o setor, quanto seu nível de desenvolvimento, podem influenciar a percepção dos mecanismos de VC/PE descritos nesse trabalho. Adicionalmente, sugere-se a análise da participação dos fundos de VC/PE em empresas cujo capital é muito pulverizado. Essa dispersão pode atingir o ponto no qual o acionista controlador possua participação individual inferior à soma das participações dos referidos fundos no capital da empresa. Nesse caso, busca-se verificar a confirmação das hipóteses ora mencionadas. </w:t>
      </w:r>
    </w:p>
    <w:p w14:paraId="7EFDA40E" w14:textId="77777777" w:rsidR="003E49D5" w:rsidRPr="00191C75" w:rsidRDefault="003E49D5" w:rsidP="00B37D61">
      <w:pPr>
        <w:spacing w:after="0" w:line="240" w:lineRule="auto"/>
        <w:ind w:firstLine="567"/>
        <w:jc w:val="both"/>
        <w:rPr>
          <w:rFonts w:ascii="Times New Roman" w:hAnsi="Times New Roman"/>
          <w:sz w:val="24"/>
          <w:szCs w:val="24"/>
        </w:rPr>
      </w:pPr>
    </w:p>
    <w:p w14:paraId="638B9CA7" w14:textId="77777777" w:rsidR="003E49D5" w:rsidRPr="00191C75" w:rsidRDefault="003E49D5" w:rsidP="00B37D61">
      <w:pPr>
        <w:spacing w:after="0" w:line="240" w:lineRule="auto"/>
        <w:ind w:firstLine="567"/>
        <w:rPr>
          <w:rFonts w:ascii="Times New Roman" w:hAnsi="Times New Roman"/>
          <w:sz w:val="24"/>
          <w:szCs w:val="24"/>
        </w:rPr>
      </w:pPr>
    </w:p>
    <w:p w14:paraId="7E059E56" w14:textId="77777777" w:rsidR="003E49D5" w:rsidRPr="00191C75" w:rsidRDefault="003E49D5" w:rsidP="00B37D61">
      <w:pPr>
        <w:spacing w:after="0" w:line="240" w:lineRule="auto"/>
        <w:ind w:firstLine="567"/>
        <w:rPr>
          <w:rFonts w:ascii="Times New Roman" w:hAnsi="Times New Roman"/>
          <w:sz w:val="24"/>
          <w:szCs w:val="24"/>
          <w:highlight w:val="yellow"/>
        </w:rPr>
      </w:pPr>
      <w:r w:rsidRPr="00191C75">
        <w:rPr>
          <w:rFonts w:ascii="Times New Roman" w:hAnsi="Times New Roman"/>
          <w:sz w:val="24"/>
          <w:szCs w:val="24"/>
          <w:highlight w:val="yellow"/>
        </w:rPr>
        <w:br w:type="page"/>
      </w:r>
    </w:p>
    <w:p w14:paraId="45604AEC" w14:textId="77777777" w:rsidR="003E49D5" w:rsidRPr="00191C75" w:rsidRDefault="003E49D5" w:rsidP="007C46C5">
      <w:pPr>
        <w:pStyle w:val="Heading1"/>
        <w:spacing w:line="240" w:lineRule="auto"/>
        <w:ind w:firstLine="567"/>
        <w:jc w:val="left"/>
        <w:rPr>
          <w:color w:val="auto"/>
          <w:lang w:val="pt-BR"/>
        </w:rPr>
      </w:pPr>
      <w:r w:rsidRPr="00191C75">
        <w:rPr>
          <w:color w:val="auto"/>
          <w:lang w:val="pt-BR"/>
        </w:rPr>
        <w:lastRenderedPageBreak/>
        <w:t>Referências</w:t>
      </w:r>
    </w:p>
    <w:p w14:paraId="66D157DE" w14:textId="77777777" w:rsidR="006928A3" w:rsidRPr="00191C75" w:rsidRDefault="006928A3" w:rsidP="007C46C5">
      <w:pPr>
        <w:spacing w:after="0" w:line="240" w:lineRule="auto"/>
        <w:rPr>
          <w:lang w:eastAsia="ja-JP"/>
        </w:rPr>
      </w:pPr>
    </w:p>
    <w:p w14:paraId="692C8CA6" w14:textId="63DC9A87" w:rsidR="00E0088C" w:rsidRPr="00191C75" w:rsidRDefault="00CE7FCE" w:rsidP="007C46C5">
      <w:pPr>
        <w:pStyle w:val="Bibliography"/>
        <w:spacing w:line="240" w:lineRule="auto"/>
        <w:ind w:left="0" w:firstLine="567"/>
        <w:jc w:val="both"/>
        <w:rPr>
          <w:noProof/>
          <w:color w:val="auto"/>
        </w:rPr>
      </w:pPr>
      <w:r w:rsidRPr="00191C75">
        <w:rPr>
          <w:noProof/>
          <w:color w:val="auto"/>
          <w:lang w:val="pt-BR"/>
        </w:rPr>
        <w:t>AGÊNCIA BRASILEIRA DE DESENVOLVIMENTO INDUSTRIAL</w:t>
      </w:r>
      <w:r w:rsidR="00E0088C" w:rsidRPr="00191C75">
        <w:rPr>
          <w:noProof/>
          <w:color w:val="auto"/>
          <w:lang w:val="pt-BR"/>
        </w:rPr>
        <w:t xml:space="preserve"> (ABDI). </w:t>
      </w:r>
      <w:r w:rsidR="00E0088C" w:rsidRPr="00191C75">
        <w:rPr>
          <w:b/>
          <w:iCs/>
          <w:noProof/>
          <w:color w:val="auto"/>
          <w:lang w:val="pt-BR"/>
        </w:rPr>
        <w:t xml:space="preserve">Introdução ao </w:t>
      </w:r>
      <w:r w:rsidR="00E0088C" w:rsidRPr="00191C75">
        <w:rPr>
          <w:b/>
          <w:i/>
          <w:iCs/>
          <w:noProof/>
          <w:color w:val="auto"/>
          <w:lang w:val="pt-BR"/>
        </w:rPr>
        <w:t>private equity e venture capital</w:t>
      </w:r>
      <w:r w:rsidR="00E0088C" w:rsidRPr="00191C75">
        <w:rPr>
          <w:b/>
          <w:iCs/>
          <w:noProof/>
          <w:color w:val="auto"/>
          <w:lang w:val="pt-BR"/>
        </w:rPr>
        <w:t xml:space="preserve"> para empreendedores</w:t>
      </w:r>
      <w:r w:rsidR="00025BB4" w:rsidRPr="00191C75">
        <w:rPr>
          <w:iCs/>
          <w:noProof/>
          <w:color w:val="auto"/>
          <w:lang w:val="pt-BR"/>
        </w:rPr>
        <w:t>, 2010.</w:t>
      </w:r>
      <w:r w:rsidR="00E0088C" w:rsidRPr="00191C75">
        <w:rPr>
          <w:noProof/>
          <w:color w:val="auto"/>
          <w:lang w:val="pt-BR"/>
        </w:rPr>
        <w:t xml:space="preserve"> </w:t>
      </w:r>
      <w:r w:rsidRPr="00191C75">
        <w:rPr>
          <w:noProof/>
          <w:color w:val="auto"/>
          <w:lang w:val="pt-BR"/>
        </w:rPr>
        <w:t>Disponível em:</w:t>
      </w:r>
      <w:r w:rsidR="00E0088C" w:rsidRPr="00191C75">
        <w:rPr>
          <w:noProof/>
          <w:color w:val="auto"/>
          <w:lang w:val="pt-BR"/>
        </w:rPr>
        <w:t xml:space="preserve"> </w:t>
      </w:r>
      <w:r w:rsidR="00025BB4" w:rsidRPr="00191C75">
        <w:rPr>
          <w:noProof/>
          <w:color w:val="auto"/>
          <w:lang w:val="pt-BR"/>
        </w:rPr>
        <w:t>&lt;</w:t>
      </w:r>
      <w:hyperlink r:id="rId10" w:history="1">
        <w:r w:rsidR="00025BB4" w:rsidRPr="00191C75">
          <w:rPr>
            <w:rStyle w:val="Hyperlink"/>
            <w:noProof/>
            <w:color w:val="auto"/>
            <w:lang w:val="pt-BR"/>
          </w:rPr>
          <w:t>http://www.abdi.com.br/reunioescndi/curso.pdf</w:t>
        </w:r>
      </w:hyperlink>
      <w:r w:rsidR="00025BB4" w:rsidRPr="00191C75">
        <w:rPr>
          <w:noProof/>
          <w:color w:val="auto"/>
          <w:lang w:val="pt-BR"/>
        </w:rPr>
        <w:t xml:space="preserve">&gt;. </w:t>
      </w:r>
      <w:r w:rsidR="00025BB4" w:rsidRPr="00191C75">
        <w:rPr>
          <w:noProof/>
          <w:color w:val="auto"/>
        </w:rPr>
        <w:t>Acesso em: 02 mar. 2017</w:t>
      </w:r>
    </w:p>
    <w:p w14:paraId="6D1CB516" w14:textId="77777777" w:rsidR="00E0088C" w:rsidRPr="00191C75" w:rsidRDefault="00E0088C" w:rsidP="00BC04E7">
      <w:pPr>
        <w:pStyle w:val="Bibliography"/>
        <w:spacing w:line="240" w:lineRule="auto"/>
        <w:ind w:left="0" w:firstLine="567"/>
        <w:jc w:val="both"/>
        <w:rPr>
          <w:noProof/>
          <w:color w:val="auto"/>
        </w:rPr>
      </w:pPr>
    </w:p>
    <w:p w14:paraId="015C05B5" w14:textId="7F1C8117" w:rsidR="00E0088C" w:rsidRPr="00191C75" w:rsidRDefault="00223D8D" w:rsidP="00BC04E7">
      <w:pPr>
        <w:pStyle w:val="Bibliography"/>
        <w:spacing w:line="240" w:lineRule="auto"/>
        <w:ind w:left="0" w:firstLine="567"/>
        <w:jc w:val="both"/>
        <w:rPr>
          <w:noProof/>
          <w:color w:val="auto"/>
        </w:rPr>
      </w:pPr>
      <w:r w:rsidRPr="00191C75">
        <w:rPr>
          <w:noProof/>
          <w:color w:val="auto"/>
        </w:rPr>
        <w:t xml:space="preserve">AKERLOF, A. G. </w:t>
      </w:r>
      <w:r w:rsidR="00E0088C" w:rsidRPr="00191C75">
        <w:rPr>
          <w:i/>
          <w:noProof/>
          <w:color w:val="auto"/>
        </w:rPr>
        <w:t>The market for lemons: quality uncertainty and the market mechanism</w:t>
      </w:r>
      <w:r w:rsidR="00E0088C" w:rsidRPr="00191C75">
        <w:rPr>
          <w:noProof/>
          <w:color w:val="auto"/>
        </w:rPr>
        <w:t xml:space="preserve">. </w:t>
      </w:r>
      <w:r w:rsidR="00E0088C" w:rsidRPr="00191C75">
        <w:rPr>
          <w:b/>
          <w:noProof/>
          <w:color w:val="auto"/>
        </w:rPr>
        <w:t>Quarterly Journal of Economics</w:t>
      </w:r>
      <w:r w:rsidR="00E0088C" w:rsidRPr="00191C75">
        <w:rPr>
          <w:noProof/>
          <w:color w:val="auto"/>
        </w:rPr>
        <w:t xml:space="preserve">, </w:t>
      </w:r>
      <w:r w:rsidRPr="00191C75">
        <w:rPr>
          <w:noProof/>
          <w:color w:val="auto"/>
        </w:rPr>
        <w:t>v.</w:t>
      </w:r>
      <w:r w:rsidR="00E0088C" w:rsidRPr="00191C75">
        <w:rPr>
          <w:noProof/>
          <w:color w:val="auto"/>
        </w:rPr>
        <w:t>84</w:t>
      </w:r>
      <w:r w:rsidRPr="00191C75">
        <w:rPr>
          <w:noProof/>
          <w:color w:val="auto"/>
        </w:rPr>
        <w:t>, n.</w:t>
      </w:r>
      <w:r w:rsidR="00E0088C" w:rsidRPr="00191C75">
        <w:rPr>
          <w:noProof/>
          <w:color w:val="auto"/>
        </w:rPr>
        <w:t>3, p. 488-500</w:t>
      </w:r>
      <w:r w:rsidRPr="00191C75">
        <w:rPr>
          <w:noProof/>
          <w:color w:val="auto"/>
        </w:rPr>
        <w:t>,</w:t>
      </w:r>
      <w:r w:rsidR="000D46EE" w:rsidRPr="00191C75">
        <w:rPr>
          <w:noProof/>
          <w:color w:val="auto"/>
        </w:rPr>
        <w:t xml:space="preserve"> 1970.</w:t>
      </w:r>
    </w:p>
    <w:p w14:paraId="425395D8" w14:textId="77777777" w:rsidR="00E0088C" w:rsidRPr="00191C75" w:rsidRDefault="00E0088C" w:rsidP="00BC04E7">
      <w:pPr>
        <w:pStyle w:val="Bibliography"/>
        <w:spacing w:line="240" w:lineRule="auto"/>
        <w:ind w:left="0" w:firstLine="567"/>
        <w:jc w:val="both"/>
        <w:rPr>
          <w:noProof/>
          <w:color w:val="auto"/>
        </w:rPr>
      </w:pPr>
    </w:p>
    <w:p w14:paraId="1BA855F1" w14:textId="08889A7B" w:rsidR="00E0088C" w:rsidRPr="00191C75" w:rsidRDefault="00681ED8" w:rsidP="00BC04E7">
      <w:pPr>
        <w:pStyle w:val="Bibliography"/>
        <w:spacing w:line="240" w:lineRule="auto"/>
        <w:ind w:left="0" w:firstLine="567"/>
        <w:jc w:val="both"/>
        <w:rPr>
          <w:noProof/>
          <w:color w:val="auto"/>
          <w:lang w:val="pt-BR"/>
        </w:rPr>
      </w:pPr>
      <w:r w:rsidRPr="00191C75">
        <w:rPr>
          <w:noProof/>
          <w:color w:val="auto"/>
        </w:rPr>
        <w:t>ANDERSON, D. R.</w:t>
      </w:r>
      <w:r w:rsidR="00D506B9" w:rsidRPr="00191C75">
        <w:rPr>
          <w:noProof/>
          <w:color w:val="auto"/>
        </w:rPr>
        <w:t>;</w:t>
      </w:r>
      <w:r w:rsidRPr="00191C75">
        <w:rPr>
          <w:noProof/>
          <w:color w:val="auto"/>
        </w:rPr>
        <w:t xml:space="preserve"> SWEENEY, D. J.; WILLIAMS, T. A.</w:t>
      </w:r>
      <w:r w:rsidR="000D46EE" w:rsidRPr="00191C75">
        <w:rPr>
          <w:noProof/>
          <w:color w:val="auto"/>
        </w:rPr>
        <w:t xml:space="preserve"> </w:t>
      </w:r>
      <w:r w:rsidR="00E0088C" w:rsidRPr="00191C75">
        <w:rPr>
          <w:b/>
          <w:noProof/>
          <w:color w:val="auto"/>
        </w:rPr>
        <w:t>Estatística aplicada à administração e economia</w:t>
      </w:r>
      <w:r w:rsidR="00E0088C" w:rsidRPr="00191C75">
        <w:rPr>
          <w:noProof/>
          <w:color w:val="auto"/>
        </w:rPr>
        <w:t xml:space="preserve">. </w:t>
      </w:r>
      <w:r w:rsidR="00E0088C" w:rsidRPr="00191C75">
        <w:rPr>
          <w:noProof/>
          <w:color w:val="auto"/>
          <w:lang w:val="pt-BR"/>
        </w:rPr>
        <w:t>São Paulo: Thomson</w:t>
      </w:r>
      <w:r w:rsidR="00B30FF0" w:rsidRPr="00191C75">
        <w:rPr>
          <w:noProof/>
          <w:color w:val="auto"/>
          <w:lang w:val="pt-BR"/>
        </w:rPr>
        <w:t>,</w:t>
      </w:r>
      <w:r w:rsidR="000D46EE" w:rsidRPr="00191C75">
        <w:rPr>
          <w:noProof/>
          <w:color w:val="auto"/>
          <w:lang w:val="pt-BR"/>
        </w:rPr>
        <w:t xml:space="preserve"> 2007.</w:t>
      </w:r>
    </w:p>
    <w:p w14:paraId="23F5AEA8" w14:textId="77777777" w:rsidR="00E0088C" w:rsidRPr="00191C75" w:rsidRDefault="00E0088C" w:rsidP="00BC04E7">
      <w:pPr>
        <w:pStyle w:val="Bibliography"/>
        <w:spacing w:line="240" w:lineRule="auto"/>
        <w:ind w:left="0" w:firstLine="567"/>
        <w:jc w:val="both"/>
        <w:rPr>
          <w:noProof/>
          <w:color w:val="auto"/>
          <w:lang w:val="pt-BR"/>
        </w:rPr>
      </w:pPr>
    </w:p>
    <w:p w14:paraId="233A2E09" w14:textId="58DB7BA4" w:rsidR="00E0088C" w:rsidRPr="00191C75" w:rsidRDefault="007C6442" w:rsidP="00BC04E7">
      <w:pPr>
        <w:pStyle w:val="Bibliography"/>
        <w:spacing w:line="240" w:lineRule="auto"/>
        <w:ind w:left="0" w:firstLine="567"/>
        <w:jc w:val="both"/>
        <w:rPr>
          <w:noProof/>
          <w:color w:val="auto"/>
          <w:lang w:val="pt-BR"/>
        </w:rPr>
      </w:pPr>
      <w:r w:rsidRPr="00191C75">
        <w:rPr>
          <w:noProof/>
          <w:color w:val="auto"/>
          <w:lang w:val="pt-BR"/>
        </w:rPr>
        <w:t>ARAÚJO,</w:t>
      </w:r>
      <w:r w:rsidR="00E0088C" w:rsidRPr="00191C75">
        <w:rPr>
          <w:noProof/>
          <w:color w:val="auto"/>
          <w:lang w:val="pt-BR"/>
        </w:rPr>
        <w:t xml:space="preserve"> J. P. </w:t>
      </w:r>
      <w:r w:rsidR="00E0088C" w:rsidRPr="00191C75">
        <w:rPr>
          <w:b/>
          <w:noProof/>
          <w:color w:val="auto"/>
          <w:lang w:val="pt-BR"/>
        </w:rPr>
        <w:t xml:space="preserve">Análise da influência do </w:t>
      </w:r>
      <w:r w:rsidR="00E0088C" w:rsidRPr="00191C75">
        <w:rPr>
          <w:b/>
          <w:i/>
          <w:noProof/>
          <w:color w:val="auto"/>
          <w:lang w:val="pt-BR"/>
        </w:rPr>
        <w:t>venture capital e private equity</w:t>
      </w:r>
      <w:r w:rsidR="00E0088C" w:rsidRPr="00191C75">
        <w:rPr>
          <w:b/>
          <w:noProof/>
          <w:color w:val="auto"/>
          <w:lang w:val="pt-BR"/>
        </w:rPr>
        <w:t xml:space="preserve"> (VC/PE) no retorno e no risco das ações das empresas que realizaram IPO como forma de desinvestimento</w:t>
      </w:r>
      <w:r w:rsidR="00E0088C" w:rsidRPr="00191C75">
        <w:rPr>
          <w:noProof/>
          <w:color w:val="auto"/>
          <w:lang w:val="pt-BR"/>
        </w:rPr>
        <w:t>. Dissertação de mestrado, Universidade Federal de Pernambuco, Recife, PE, Brasil</w:t>
      </w:r>
      <w:r w:rsidR="00B30FF0" w:rsidRPr="00191C75">
        <w:rPr>
          <w:noProof/>
          <w:color w:val="auto"/>
          <w:lang w:val="pt-BR"/>
        </w:rPr>
        <w:t>,</w:t>
      </w:r>
      <w:r w:rsidR="000D46EE" w:rsidRPr="00191C75">
        <w:rPr>
          <w:noProof/>
          <w:color w:val="auto"/>
          <w:lang w:val="pt-BR"/>
        </w:rPr>
        <w:t xml:space="preserve"> 2014.</w:t>
      </w:r>
    </w:p>
    <w:p w14:paraId="0A04E24B" w14:textId="77777777" w:rsidR="00E0088C" w:rsidRPr="00191C75" w:rsidRDefault="00E0088C" w:rsidP="00BC04E7">
      <w:pPr>
        <w:pStyle w:val="Bibliography"/>
        <w:spacing w:line="240" w:lineRule="auto"/>
        <w:ind w:left="0" w:firstLine="567"/>
        <w:jc w:val="both"/>
        <w:rPr>
          <w:noProof/>
          <w:color w:val="auto"/>
          <w:lang w:val="pt-BR"/>
        </w:rPr>
      </w:pPr>
    </w:p>
    <w:p w14:paraId="786A149C" w14:textId="38D5FD4D" w:rsidR="00E0088C" w:rsidRPr="00191C75" w:rsidRDefault="00421061" w:rsidP="00BC04E7">
      <w:pPr>
        <w:pStyle w:val="Bibliography"/>
        <w:spacing w:line="240" w:lineRule="auto"/>
        <w:ind w:left="0" w:firstLine="567"/>
        <w:jc w:val="both"/>
        <w:rPr>
          <w:noProof/>
          <w:color w:val="auto"/>
        </w:rPr>
      </w:pPr>
      <w:r w:rsidRPr="00191C75">
        <w:rPr>
          <w:noProof/>
          <w:color w:val="auto"/>
          <w:lang w:val="pt-BR"/>
        </w:rPr>
        <w:t xml:space="preserve">ASSOCIAÇÃO BRASILEIRA DE VENTURE CAPITAL E PRIVATE EQUITY </w:t>
      </w:r>
      <w:r w:rsidR="00E0088C" w:rsidRPr="00191C75">
        <w:rPr>
          <w:noProof/>
          <w:color w:val="auto"/>
          <w:lang w:val="pt-BR"/>
        </w:rPr>
        <w:t xml:space="preserve">(ABVCAP). </w:t>
      </w:r>
      <w:r w:rsidR="00E0088C" w:rsidRPr="00191C75">
        <w:rPr>
          <w:b/>
          <w:noProof/>
          <w:color w:val="auto"/>
          <w:lang w:val="pt-BR"/>
        </w:rPr>
        <w:t>Sobre o setor</w:t>
      </w:r>
      <w:r w:rsidR="00F46C9E" w:rsidRPr="00191C75">
        <w:rPr>
          <w:noProof/>
          <w:color w:val="auto"/>
          <w:lang w:val="pt-BR"/>
        </w:rPr>
        <w:t>, 2017.</w:t>
      </w:r>
      <w:r w:rsidR="00961E4B" w:rsidRPr="00191C75">
        <w:rPr>
          <w:noProof/>
          <w:color w:val="auto"/>
          <w:lang w:val="pt-BR"/>
        </w:rPr>
        <w:t xml:space="preserve"> Disponível em:</w:t>
      </w:r>
      <w:r w:rsidR="00E0088C" w:rsidRPr="00191C75">
        <w:rPr>
          <w:noProof/>
          <w:color w:val="auto"/>
          <w:lang w:val="pt-BR"/>
        </w:rPr>
        <w:t xml:space="preserve"> </w:t>
      </w:r>
      <w:r w:rsidR="00FB2679" w:rsidRPr="00191C75">
        <w:rPr>
          <w:noProof/>
          <w:color w:val="auto"/>
          <w:lang w:val="pt-BR"/>
        </w:rPr>
        <w:t>&lt;</w:t>
      </w:r>
      <w:hyperlink r:id="rId11" w:history="1">
        <w:r w:rsidR="00FB2679" w:rsidRPr="00191C75">
          <w:rPr>
            <w:rStyle w:val="Hyperlink"/>
            <w:noProof/>
            <w:color w:val="auto"/>
            <w:lang w:val="pt-BR"/>
          </w:rPr>
          <w:t>http://www.abvcap.com.br/industria-de-pe-vc/sobre-osetor.aspx</w:t>
        </w:r>
      </w:hyperlink>
      <w:r w:rsidR="00FB2679" w:rsidRPr="00191C75">
        <w:rPr>
          <w:noProof/>
          <w:color w:val="auto"/>
          <w:lang w:val="pt-BR"/>
        </w:rPr>
        <w:t>&gt;</w:t>
      </w:r>
      <w:r w:rsidR="00961E4B" w:rsidRPr="00191C75">
        <w:rPr>
          <w:noProof/>
          <w:color w:val="auto"/>
          <w:lang w:val="pt-BR"/>
        </w:rPr>
        <w:t xml:space="preserve">. </w:t>
      </w:r>
      <w:r w:rsidR="00961E4B" w:rsidRPr="00191C75">
        <w:rPr>
          <w:noProof/>
          <w:color w:val="auto"/>
        </w:rPr>
        <w:t>Acesso em: 23 mar</w:t>
      </w:r>
      <w:r w:rsidR="009C78F2" w:rsidRPr="00191C75">
        <w:rPr>
          <w:noProof/>
          <w:color w:val="auto"/>
        </w:rPr>
        <w:t>.</w:t>
      </w:r>
      <w:r w:rsidR="00961E4B" w:rsidRPr="00191C75">
        <w:rPr>
          <w:noProof/>
          <w:color w:val="auto"/>
        </w:rPr>
        <w:t xml:space="preserve"> 2017</w:t>
      </w:r>
    </w:p>
    <w:p w14:paraId="18A59BD0" w14:textId="77777777" w:rsidR="00E0088C" w:rsidRPr="00191C75" w:rsidRDefault="00E0088C" w:rsidP="00BC04E7">
      <w:pPr>
        <w:pStyle w:val="Bibliography"/>
        <w:spacing w:line="240" w:lineRule="auto"/>
        <w:ind w:left="0" w:firstLine="567"/>
        <w:jc w:val="both"/>
        <w:rPr>
          <w:noProof/>
          <w:color w:val="auto"/>
        </w:rPr>
      </w:pPr>
    </w:p>
    <w:p w14:paraId="245726D9" w14:textId="451586B3" w:rsidR="00E0088C" w:rsidRPr="00191C75" w:rsidRDefault="00BD38A3" w:rsidP="00BC04E7">
      <w:pPr>
        <w:pStyle w:val="Bibliography"/>
        <w:spacing w:line="240" w:lineRule="auto"/>
        <w:ind w:left="0" w:firstLine="567"/>
        <w:jc w:val="both"/>
        <w:rPr>
          <w:noProof/>
          <w:color w:val="auto"/>
          <w:lang w:val="pt-BR"/>
        </w:rPr>
      </w:pPr>
      <w:r w:rsidRPr="00191C75">
        <w:rPr>
          <w:noProof/>
          <w:color w:val="auto"/>
        </w:rPr>
        <w:t>BAINBRIDGE, S. M</w:t>
      </w:r>
      <w:r w:rsidR="00E0088C" w:rsidRPr="00191C75">
        <w:rPr>
          <w:noProof/>
          <w:color w:val="auto"/>
        </w:rPr>
        <w:t xml:space="preserve">. </w:t>
      </w:r>
      <w:r w:rsidR="00E0088C" w:rsidRPr="00191C75">
        <w:rPr>
          <w:i/>
          <w:noProof/>
          <w:color w:val="auto"/>
        </w:rPr>
        <w:t>Insider trading: an overview</w:t>
      </w:r>
      <w:r w:rsidR="00E0088C" w:rsidRPr="00191C75">
        <w:rPr>
          <w:noProof/>
          <w:color w:val="auto"/>
        </w:rPr>
        <w:t xml:space="preserve">. </w:t>
      </w:r>
      <w:r w:rsidR="00FA7A38" w:rsidRPr="00191C75">
        <w:rPr>
          <w:i/>
          <w:noProof/>
          <w:color w:val="auto"/>
        </w:rPr>
        <w:t xml:space="preserve">Working </w:t>
      </w:r>
      <w:r w:rsidR="00961E4B" w:rsidRPr="00191C75">
        <w:rPr>
          <w:i/>
          <w:noProof/>
          <w:color w:val="auto"/>
        </w:rPr>
        <w:t>p</w:t>
      </w:r>
      <w:r w:rsidR="00FA7A38" w:rsidRPr="00191C75">
        <w:rPr>
          <w:i/>
          <w:noProof/>
          <w:color w:val="auto"/>
        </w:rPr>
        <w:t>aper</w:t>
      </w:r>
      <w:r w:rsidR="00FA7A38" w:rsidRPr="00191C75">
        <w:rPr>
          <w:noProof/>
          <w:color w:val="auto"/>
        </w:rPr>
        <w:t xml:space="preserve"> SSRN-id132529/1-39]</w:t>
      </w:r>
      <w:r w:rsidR="00B85292" w:rsidRPr="00191C75">
        <w:rPr>
          <w:noProof/>
          <w:color w:val="auto"/>
        </w:rPr>
        <w:t xml:space="preserve">. </w:t>
      </w:r>
      <w:r w:rsidR="00B85292" w:rsidRPr="00191C75">
        <w:rPr>
          <w:b/>
          <w:noProof/>
          <w:color w:val="auto"/>
          <w:lang w:val="pt-BR"/>
        </w:rPr>
        <w:t>Social Science Research Network</w:t>
      </w:r>
      <w:r w:rsidR="00B85292" w:rsidRPr="00191C75">
        <w:rPr>
          <w:noProof/>
          <w:color w:val="auto"/>
          <w:lang w:val="pt-BR"/>
        </w:rPr>
        <w:t>.</w:t>
      </w:r>
      <w:r w:rsidR="00197358" w:rsidRPr="00191C75">
        <w:rPr>
          <w:noProof/>
          <w:color w:val="auto"/>
          <w:lang w:val="pt-BR"/>
        </w:rPr>
        <w:t>, 2000.</w:t>
      </w:r>
      <w:r w:rsidR="00B85292" w:rsidRPr="00191C75">
        <w:rPr>
          <w:noProof/>
          <w:color w:val="auto"/>
          <w:lang w:val="pt-BR"/>
        </w:rPr>
        <w:t xml:space="preserve"> </w:t>
      </w:r>
      <w:r w:rsidR="00B41D7B" w:rsidRPr="00191C75">
        <w:rPr>
          <w:noProof/>
          <w:color w:val="auto"/>
          <w:lang w:val="pt-BR"/>
        </w:rPr>
        <w:t xml:space="preserve">Disponível em: </w:t>
      </w:r>
      <w:hyperlink r:id="rId12" w:history="1">
        <w:r w:rsidR="00662803" w:rsidRPr="00191C75">
          <w:rPr>
            <w:rStyle w:val="Hyperlink"/>
            <w:noProof/>
            <w:color w:val="auto"/>
            <w:lang w:val="pt-BR"/>
          </w:rPr>
          <w:t>https://papers.ssrn.com/sol3/Delivery.cfm/98092505.pdf?abstractid=132529&amp;mirid=1</w:t>
        </w:r>
      </w:hyperlink>
      <w:r w:rsidR="00B41D7B" w:rsidRPr="00191C75">
        <w:rPr>
          <w:noProof/>
          <w:color w:val="auto"/>
          <w:lang w:val="pt-BR"/>
        </w:rPr>
        <w:t xml:space="preserve">. </w:t>
      </w:r>
      <w:r w:rsidR="00662803" w:rsidRPr="00191C75">
        <w:rPr>
          <w:noProof/>
          <w:color w:val="auto"/>
          <w:lang w:val="pt-BR"/>
        </w:rPr>
        <w:t>A</w:t>
      </w:r>
      <w:r w:rsidR="00B41D7B" w:rsidRPr="00191C75">
        <w:rPr>
          <w:noProof/>
          <w:color w:val="auto"/>
          <w:lang w:val="pt-BR"/>
        </w:rPr>
        <w:t>cesso em: 01 mai. 2017</w:t>
      </w:r>
    </w:p>
    <w:p w14:paraId="3E7A13B8" w14:textId="77777777" w:rsidR="00E0088C" w:rsidRPr="00191C75" w:rsidRDefault="00E0088C" w:rsidP="00BC04E7">
      <w:pPr>
        <w:pStyle w:val="Bibliography"/>
        <w:spacing w:line="240" w:lineRule="auto"/>
        <w:ind w:left="0" w:firstLine="567"/>
        <w:jc w:val="both"/>
        <w:rPr>
          <w:noProof/>
          <w:color w:val="auto"/>
          <w:lang w:val="pt-BR"/>
        </w:rPr>
      </w:pPr>
    </w:p>
    <w:p w14:paraId="6C535F38" w14:textId="27BDF3A1" w:rsidR="00E0088C" w:rsidRPr="00191C75" w:rsidRDefault="005C7354" w:rsidP="00BC04E7">
      <w:pPr>
        <w:pStyle w:val="Bibliography"/>
        <w:spacing w:line="240" w:lineRule="auto"/>
        <w:ind w:left="0" w:firstLine="567"/>
        <w:jc w:val="both"/>
        <w:rPr>
          <w:noProof/>
          <w:color w:val="auto"/>
        </w:rPr>
      </w:pPr>
      <w:r w:rsidRPr="00191C75">
        <w:rPr>
          <w:noProof/>
          <w:color w:val="auto"/>
          <w:lang w:val="pt-BR"/>
        </w:rPr>
        <w:t>BELO, M. N.; BRASIL, G. H</w:t>
      </w:r>
      <w:r w:rsidR="00E0088C" w:rsidRPr="00191C75">
        <w:rPr>
          <w:noProof/>
          <w:color w:val="auto"/>
          <w:lang w:val="pt-BR"/>
        </w:rPr>
        <w:t xml:space="preserve">. Assimetria informacional e eficiência semiforte do mercado. </w:t>
      </w:r>
      <w:r w:rsidR="00E0088C" w:rsidRPr="00191C75">
        <w:rPr>
          <w:b/>
          <w:noProof/>
          <w:color w:val="auto"/>
        </w:rPr>
        <w:t>Revista de Administração de Empresas</w:t>
      </w:r>
      <w:r w:rsidR="00E0088C" w:rsidRPr="00191C75">
        <w:rPr>
          <w:noProof/>
          <w:color w:val="auto"/>
        </w:rPr>
        <w:t xml:space="preserve">, </w:t>
      </w:r>
      <w:r w:rsidRPr="00191C75">
        <w:rPr>
          <w:noProof/>
          <w:color w:val="auto"/>
        </w:rPr>
        <w:t>v.</w:t>
      </w:r>
      <w:r w:rsidR="00E0088C" w:rsidRPr="00191C75">
        <w:rPr>
          <w:noProof/>
          <w:color w:val="auto"/>
        </w:rPr>
        <w:t>46</w:t>
      </w:r>
      <w:r w:rsidRPr="00191C75">
        <w:rPr>
          <w:noProof/>
          <w:color w:val="auto"/>
        </w:rPr>
        <w:t>, n.</w:t>
      </w:r>
      <w:r w:rsidR="00E0088C" w:rsidRPr="00191C75">
        <w:rPr>
          <w:noProof/>
          <w:color w:val="auto"/>
        </w:rPr>
        <w:t>3, p. 48-57</w:t>
      </w:r>
      <w:r w:rsidRPr="00191C75">
        <w:rPr>
          <w:noProof/>
          <w:color w:val="auto"/>
        </w:rPr>
        <w:t>,</w:t>
      </w:r>
      <w:r w:rsidR="000D46EE" w:rsidRPr="00191C75">
        <w:rPr>
          <w:noProof/>
          <w:color w:val="auto"/>
        </w:rPr>
        <w:t xml:space="preserve"> 2006.</w:t>
      </w:r>
    </w:p>
    <w:p w14:paraId="5578DE54" w14:textId="77777777" w:rsidR="00E0088C" w:rsidRPr="00191C75" w:rsidRDefault="00E0088C" w:rsidP="00BC04E7">
      <w:pPr>
        <w:pStyle w:val="Bibliography"/>
        <w:spacing w:line="240" w:lineRule="auto"/>
        <w:ind w:left="0" w:firstLine="567"/>
        <w:jc w:val="both"/>
        <w:rPr>
          <w:noProof/>
          <w:color w:val="auto"/>
        </w:rPr>
      </w:pPr>
    </w:p>
    <w:p w14:paraId="18F62771" w14:textId="03588D1D" w:rsidR="00E0088C" w:rsidRPr="00191C75" w:rsidRDefault="00CE19FD" w:rsidP="00BC04E7">
      <w:pPr>
        <w:pStyle w:val="Bibliography"/>
        <w:spacing w:line="240" w:lineRule="auto"/>
        <w:ind w:left="0" w:firstLine="567"/>
        <w:jc w:val="both"/>
        <w:rPr>
          <w:noProof/>
          <w:color w:val="auto"/>
        </w:rPr>
      </w:pPr>
      <w:r w:rsidRPr="00191C75">
        <w:rPr>
          <w:noProof/>
          <w:color w:val="auto"/>
        </w:rPr>
        <w:t>BENY, L. N.</w:t>
      </w:r>
      <w:r w:rsidR="00E0088C" w:rsidRPr="00191C75">
        <w:rPr>
          <w:noProof/>
          <w:color w:val="auto"/>
        </w:rPr>
        <w:t xml:space="preserve"> </w:t>
      </w:r>
      <w:r w:rsidR="00E0088C" w:rsidRPr="00191C75">
        <w:rPr>
          <w:i/>
          <w:noProof/>
          <w:color w:val="auto"/>
        </w:rPr>
        <w:t>A comparative empirical investigation of agency and market theories of insider trading</w:t>
      </w:r>
      <w:r w:rsidR="00E0088C" w:rsidRPr="00191C75">
        <w:rPr>
          <w:noProof/>
          <w:color w:val="auto"/>
        </w:rPr>
        <w:t xml:space="preserve">. </w:t>
      </w:r>
      <w:r w:rsidR="00E0088C" w:rsidRPr="00191C75">
        <w:rPr>
          <w:b/>
          <w:noProof/>
          <w:color w:val="auto"/>
        </w:rPr>
        <w:t>University of Michigan Law School</w:t>
      </w:r>
      <w:r w:rsidR="00E0088C" w:rsidRPr="00191C75">
        <w:rPr>
          <w:noProof/>
          <w:color w:val="auto"/>
        </w:rPr>
        <w:t xml:space="preserve">. </w:t>
      </w:r>
      <w:r w:rsidR="000D46EE" w:rsidRPr="00191C75">
        <w:rPr>
          <w:noProof/>
          <w:color w:val="auto"/>
        </w:rPr>
        <w:t xml:space="preserve">2004. </w:t>
      </w:r>
      <w:r w:rsidRPr="00191C75">
        <w:rPr>
          <w:noProof/>
          <w:color w:val="auto"/>
        </w:rPr>
        <w:t>Disponível em: &lt;</w:t>
      </w:r>
      <w:hyperlink r:id="rId13" w:history="1">
        <w:r w:rsidRPr="00191C75">
          <w:rPr>
            <w:rStyle w:val="Hyperlink"/>
            <w:noProof/>
            <w:color w:val="auto"/>
          </w:rPr>
          <w:t>http://repository.law.umich.edu/cgi/viewcontent.cgi?article=1003&amp;context=law_econ_archive</w:t>
        </w:r>
      </w:hyperlink>
      <w:r w:rsidRPr="00191C75">
        <w:rPr>
          <w:noProof/>
          <w:color w:val="auto"/>
        </w:rPr>
        <w:t xml:space="preserve">&gt;. Acesso em: </w:t>
      </w:r>
      <w:r w:rsidR="00E0088C" w:rsidRPr="00191C75">
        <w:rPr>
          <w:noProof/>
          <w:color w:val="auto"/>
        </w:rPr>
        <w:t>01 abr</w:t>
      </w:r>
      <w:r w:rsidRPr="00191C75">
        <w:rPr>
          <w:noProof/>
          <w:color w:val="auto"/>
        </w:rPr>
        <w:t>.</w:t>
      </w:r>
      <w:r w:rsidR="00E0088C" w:rsidRPr="00191C75">
        <w:rPr>
          <w:noProof/>
          <w:color w:val="auto"/>
        </w:rPr>
        <w:t xml:space="preserve"> 2017</w:t>
      </w:r>
    </w:p>
    <w:p w14:paraId="3653D53F" w14:textId="77777777" w:rsidR="00E0088C" w:rsidRPr="00191C75" w:rsidRDefault="00E0088C" w:rsidP="00BC04E7">
      <w:pPr>
        <w:pStyle w:val="Bibliography"/>
        <w:spacing w:line="240" w:lineRule="auto"/>
        <w:ind w:left="0" w:firstLine="567"/>
        <w:jc w:val="both"/>
        <w:rPr>
          <w:noProof/>
          <w:color w:val="auto"/>
        </w:rPr>
      </w:pPr>
    </w:p>
    <w:p w14:paraId="49289865" w14:textId="7765FBEA" w:rsidR="00E0088C" w:rsidRPr="00191C75" w:rsidRDefault="00AF0FE1" w:rsidP="00BC04E7">
      <w:pPr>
        <w:pStyle w:val="Bibliography"/>
        <w:spacing w:line="240" w:lineRule="auto"/>
        <w:ind w:left="0" w:firstLine="567"/>
        <w:jc w:val="both"/>
        <w:rPr>
          <w:noProof/>
          <w:color w:val="auto"/>
          <w:lang w:val="pt-BR"/>
        </w:rPr>
      </w:pPr>
      <w:r w:rsidRPr="00191C75">
        <w:rPr>
          <w:noProof/>
          <w:color w:val="auto"/>
        </w:rPr>
        <w:t>BERGH, J.; LARSSON, R</w:t>
      </w:r>
      <w:r w:rsidR="00E0088C" w:rsidRPr="00191C75">
        <w:rPr>
          <w:noProof/>
          <w:color w:val="auto"/>
        </w:rPr>
        <w:t xml:space="preserve">. </w:t>
      </w:r>
      <w:r w:rsidR="00E0088C" w:rsidRPr="00191C75">
        <w:rPr>
          <w:b/>
          <w:i/>
          <w:noProof/>
          <w:color w:val="auto"/>
        </w:rPr>
        <w:t>The aftermarket long-run performance of sponsor-backed and non-sponsored initial public offering in the Nordic market: an agency perspective</w:t>
      </w:r>
      <w:r w:rsidR="00E0088C" w:rsidRPr="00191C75">
        <w:rPr>
          <w:b/>
          <w:noProof/>
          <w:color w:val="auto"/>
        </w:rPr>
        <w:t>.</w:t>
      </w:r>
      <w:r w:rsidR="00E0088C" w:rsidRPr="00191C75">
        <w:rPr>
          <w:noProof/>
          <w:color w:val="auto"/>
        </w:rPr>
        <w:t xml:space="preserve"> </w:t>
      </w:r>
      <w:r w:rsidR="00E0088C" w:rsidRPr="00191C75">
        <w:rPr>
          <w:noProof/>
          <w:color w:val="auto"/>
          <w:lang w:val="pt-BR"/>
        </w:rPr>
        <w:t>Dissertação de Mestrado em Economia e Administração</w:t>
      </w:r>
      <w:r w:rsidR="00E16236" w:rsidRPr="00191C75">
        <w:rPr>
          <w:noProof/>
          <w:color w:val="auto"/>
          <w:lang w:val="pt-BR"/>
        </w:rPr>
        <w:t>,</w:t>
      </w:r>
      <w:r w:rsidR="00E0088C" w:rsidRPr="00191C75">
        <w:rPr>
          <w:noProof/>
          <w:color w:val="auto"/>
          <w:lang w:val="pt-BR"/>
        </w:rPr>
        <w:t xml:space="preserve"> Copenhagen Business School</w:t>
      </w:r>
      <w:r w:rsidR="00E16236" w:rsidRPr="00191C75">
        <w:rPr>
          <w:noProof/>
          <w:color w:val="auto"/>
          <w:lang w:val="pt-BR"/>
        </w:rPr>
        <w:t>, Copenhagen, Denmark</w:t>
      </w:r>
      <w:r w:rsidR="00F15A99" w:rsidRPr="00191C75">
        <w:rPr>
          <w:noProof/>
          <w:color w:val="auto"/>
          <w:lang w:val="pt-BR"/>
        </w:rPr>
        <w:t>,</w:t>
      </w:r>
      <w:r w:rsidR="000D46EE" w:rsidRPr="00191C75">
        <w:rPr>
          <w:noProof/>
          <w:color w:val="auto"/>
          <w:lang w:val="pt-BR"/>
        </w:rPr>
        <w:t xml:space="preserve"> 2014.</w:t>
      </w:r>
    </w:p>
    <w:p w14:paraId="356B319C" w14:textId="77777777" w:rsidR="00E0088C" w:rsidRPr="00191C75" w:rsidRDefault="00E0088C" w:rsidP="00BC04E7">
      <w:pPr>
        <w:pStyle w:val="Bibliography"/>
        <w:spacing w:line="240" w:lineRule="auto"/>
        <w:ind w:left="0" w:firstLine="567"/>
        <w:jc w:val="both"/>
        <w:rPr>
          <w:noProof/>
          <w:color w:val="auto"/>
          <w:lang w:val="pt-BR"/>
        </w:rPr>
      </w:pPr>
    </w:p>
    <w:p w14:paraId="6C5AFC1F" w14:textId="6C1ECD30" w:rsidR="00E0088C" w:rsidRPr="00191C75" w:rsidRDefault="00F15A99" w:rsidP="00BC04E7">
      <w:pPr>
        <w:pStyle w:val="Bibliography"/>
        <w:spacing w:line="240" w:lineRule="auto"/>
        <w:ind w:left="0" w:firstLine="567"/>
        <w:jc w:val="both"/>
        <w:rPr>
          <w:noProof/>
          <w:color w:val="auto"/>
          <w:lang w:val="pt-BR"/>
        </w:rPr>
      </w:pPr>
      <w:r w:rsidRPr="00191C75">
        <w:rPr>
          <w:noProof/>
          <w:color w:val="auto"/>
        </w:rPr>
        <w:t xml:space="preserve">BOURRAT, S.; WOLFF, </w:t>
      </w:r>
      <w:r w:rsidR="00E0088C" w:rsidRPr="00191C75">
        <w:rPr>
          <w:noProof/>
          <w:color w:val="auto"/>
        </w:rPr>
        <w:t xml:space="preserve">G. </w:t>
      </w:r>
      <w:r w:rsidR="00E0088C" w:rsidRPr="00191C75">
        <w:rPr>
          <w:b/>
          <w:i/>
          <w:noProof/>
          <w:color w:val="auto"/>
        </w:rPr>
        <w:t xml:space="preserve">Underpricing and long‐term performance of private‐equity backed IPOs compared to non‐private‐equity backed IPOs: </w:t>
      </w:r>
      <w:r w:rsidR="00E16236" w:rsidRPr="00191C75">
        <w:rPr>
          <w:b/>
          <w:i/>
          <w:noProof/>
          <w:color w:val="auto"/>
        </w:rPr>
        <w:t>A</w:t>
      </w:r>
      <w:r w:rsidR="00E0088C" w:rsidRPr="00191C75">
        <w:rPr>
          <w:b/>
          <w:i/>
          <w:noProof/>
          <w:color w:val="auto"/>
        </w:rPr>
        <w:t xml:space="preserve"> French perspective.</w:t>
      </w:r>
      <w:r w:rsidR="00E0088C" w:rsidRPr="00191C75">
        <w:rPr>
          <w:i/>
          <w:noProof/>
          <w:color w:val="auto"/>
        </w:rPr>
        <w:t xml:space="preserve"> </w:t>
      </w:r>
      <w:r w:rsidR="00E0088C" w:rsidRPr="00191C75">
        <w:rPr>
          <w:noProof/>
          <w:color w:val="auto"/>
          <w:lang w:val="pt-BR"/>
        </w:rPr>
        <w:t>Dissertação de Mestrado em Finanças Corporativas</w:t>
      </w:r>
      <w:r w:rsidR="00E16236" w:rsidRPr="00191C75">
        <w:rPr>
          <w:noProof/>
          <w:color w:val="auto"/>
          <w:lang w:val="pt-BR"/>
        </w:rPr>
        <w:t>,</w:t>
      </w:r>
      <w:r w:rsidR="00E0088C" w:rsidRPr="00191C75">
        <w:rPr>
          <w:noProof/>
          <w:color w:val="auto"/>
          <w:lang w:val="pt-BR"/>
        </w:rPr>
        <w:t xml:space="preserve"> Edhec Business School, Roubaix</w:t>
      </w:r>
      <w:r w:rsidR="00E16236" w:rsidRPr="00191C75">
        <w:rPr>
          <w:noProof/>
          <w:color w:val="auto"/>
          <w:lang w:val="pt-BR"/>
        </w:rPr>
        <w:t>, France</w:t>
      </w:r>
      <w:r w:rsidRPr="00191C75">
        <w:rPr>
          <w:noProof/>
          <w:color w:val="auto"/>
          <w:lang w:val="pt-BR"/>
        </w:rPr>
        <w:t>,</w:t>
      </w:r>
      <w:r w:rsidR="000D46EE" w:rsidRPr="00191C75">
        <w:rPr>
          <w:noProof/>
          <w:color w:val="auto"/>
          <w:lang w:val="pt-BR"/>
        </w:rPr>
        <w:t xml:space="preserve"> 2013.</w:t>
      </w:r>
    </w:p>
    <w:p w14:paraId="798711EB" w14:textId="502FA6AD" w:rsidR="00E0088C" w:rsidRPr="00191C75" w:rsidRDefault="00E0088C" w:rsidP="00BC04E7">
      <w:pPr>
        <w:pStyle w:val="Bibliography"/>
        <w:spacing w:line="240" w:lineRule="auto"/>
        <w:ind w:left="0" w:firstLine="567"/>
        <w:jc w:val="both"/>
        <w:rPr>
          <w:noProof/>
          <w:color w:val="auto"/>
          <w:lang w:val="pt-BR"/>
        </w:rPr>
      </w:pPr>
    </w:p>
    <w:p w14:paraId="32D9D722" w14:textId="77777777" w:rsidR="00605D0B" w:rsidRPr="00191C75" w:rsidRDefault="00605D0B">
      <w:pPr>
        <w:spacing w:after="0" w:line="240" w:lineRule="auto"/>
        <w:rPr>
          <w:rFonts w:ascii="Times New Roman" w:eastAsia="SimSun" w:hAnsi="Times New Roman"/>
          <w:sz w:val="24"/>
          <w:szCs w:val="24"/>
          <w:lang w:eastAsia="ja-JP"/>
        </w:rPr>
      </w:pPr>
      <w:r w:rsidRPr="00191C75">
        <w:br w:type="page"/>
      </w:r>
    </w:p>
    <w:p w14:paraId="1895E91A" w14:textId="2AC71769" w:rsidR="00315057" w:rsidRPr="00191C75" w:rsidRDefault="00315057" w:rsidP="00315057">
      <w:pPr>
        <w:pStyle w:val="Bibliography"/>
        <w:spacing w:line="240" w:lineRule="auto"/>
        <w:ind w:left="0" w:firstLine="567"/>
        <w:jc w:val="both"/>
        <w:rPr>
          <w:noProof/>
          <w:color w:val="auto"/>
          <w:lang w:val="pt-BR"/>
        </w:rPr>
      </w:pPr>
      <w:r w:rsidRPr="00191C75">
        <w:rPr>
          <w:color w:val="auto"/>
          <w:lang w:val="pt-BR"/>
        </w:rPr>
        <w:lastRenderedPageBreak/>
        <w:t xml:space="preserve">BRASIL. </w:t>
      </w:r>
      <w:r w:rsidRPr="00191C75">
        <w:rPr>
          <w:noProof/>
          <w:color w:val="auto"/>
          <w:lang w:val="pt-BR"/>
        </w:rPr>
        <w:t xml:space="preserve">Instrução normativa no. 400, de 29 de dezembro de 2003. </w:t>
      </w:r>
      <w:r w:rsidRPr="00191C75">
        <w:rPr>
          <w:b/>
          <w:noProof/>
          <w:color w:val="auto"/>
          <w:lang w:val="pt-BR"/>
        </w:rPr>
        <w:t>Diário Oficial da União</w:t>
      </w:r>
      <w:r w:rsidRPr="00191C75">
        <w:rPr>
          <w:noProof/>
          <w:color w:val="auto"/>
          <w:lang w:val="pt-BR"/>
        </w:rPr>
        <w:t>. Brasília, DF: Comissão de Valores Mobiliários</w:t>
      </w:r>
      <w:r w:rsidR="00BE7A89" w:rsidRPr="00191C75">
        <w:rPr>
          <w:noProof/>
          <w:color w:val="auto"/>
          <w:lang w:val="pt-BR"/>
        </w:rPr>
        <w:t xml:space="preserve"> (CVM)</w:t>
      </w:r>
      <w:r w:rsidRPr="00191C75">
        <w:rPr>
          <w:noProof/>
          <w:color w:val="auto"/>
          <w:lang w:val="pt-BR"/>
        </w:rPr>
        <w:t>. 2003. Disponível em: &lt;</w:t>
      </w:r>
      <w:hyperlink r:id="rId14" w:history="1">
        <w:r w:rsidRPr="00191C75">
          <w:rPr>
            <w:rStyle w:val="Hyperlink"/>
            <w:noProof/>
            <w:color w:val="auto"/>
            <w:lang w:val="pt-BR"/>
          </w:rPr>
          <w:t>http://www.cvm.gov.br/export/sites/cvm/legislacao/inst/anexos/400/inst400.pdf</w:t>
        </w:r>
      </w:hyperlink>
      <w:r w:rsidRPr="00191C75">
        <w:rPr>
          <w:noProof/>
          <w:color w:val="auto"/>
          <w:lang w:val="pt-BR"/>
        </w:rPr>
        <w:t>&gt;. Acesso em: 18 mai 2017.</w:t>
      </w:r>
    </w:p>
    <w:p w14:paraId="5EDA5186" w14:textId="77777777" w:rsidR="00501F2C" w:rsidRPr="00191C75" w:rsidRDefault="00501F2C" w:rsidP="00501F2C">
      <w:pPr>
        <w:pStyle w:val="Bibliography"/>
        <w:spacing w:line="240" w:lineRule="auto"/>
        <w:ind w:left="0" w:firstLine="567"/>
        <w:jc w:val="both"/>
        <w:rPr>
          <w:noProof/>
          <w:color w:val="auto"/>
          <w:lang w:val="pt-BR"/>
        </w:rPr>
      </w:pPr>
    </w:p>
    <w:p w14:paraId="78765838" w14:textId="1A717C53" w:rsidR="00501F2C" w:rsidRPr="00191C75" w:rsidRDefault="00501F2C" w:rsidP="00501F2C">
      <w:pPr>
        <w:pStyle w:val="Bibliography"/>
        <w:spacing w:line="240" w:lineRule="auto"/>
        <w:ind w:left="0" w:firstLine="567"/>
        <w:jc w:val="both"/>
        <w:rPr>
          <w:noProof/>
          <w:color w:val="auto"/>
          <w:lang w:val="pt-BR"/>
        </w:rPr>
      </w:pPr>
      <w:r w:rsidRPr="00191C75">
        <w:rPr>
          <w:noProof/>
          <w:color w:val="auto"/>
          <w:lang w:val="pt-BR"/>
        </w:rPr>
        <w:t xml:space="preserve">BRASIL. Instrução normativa no. 476, de 16 de janeiro de 2009. </w:t>
      </w:r>
      <w:r w:rsidRPr="00191C75">
        <w:rPr>
          <w:b/>
          <w:noProof/>
          <w:color w:val="auto"/>
          <w:lang w:val="pt-BR"/>
        </w:rPr>
        <w:t>Diário Oficial da União.</w:t>
      </w:r>
      <w:r w:rsidRPr="00191C75">
        <w:rPr>
          <w:noProof/>
          <w:color w:val="auto"/>
          <w:lang w:val="pt-BR"/>
        </w:rPr>
        <w:t xml:space="preserve"> Brasília, DF: Comissão de Valores Mobiliários</w:t>
      </w:r>
      <w:r w:rsidR="00BE7A89" w:rsidRPr="00191C75">
        <w:rPr>
          <w:noProof/>
          <w:color w:val="auto"/>
          <w:lang w:val="pt-BR"/>
        </w:rPr>
        <w:t xml:space="preserve"> (CVM)</w:t>
      </w:r>
      <w:r w:rsidRPr="00191C75">
        <w:rPr>
          <w:noProof/>
          <w:color w:val="auto"/>
          <w:lang w:val="pt-BR"/>
        </w:rPr>
        <w:t>. 2009. Disponível em: &lt;</w:t>
      </w:r>
      <w:r w:rsidRPr="00191C75">
        <w:rPr>
          <w:noProof/>
          <w:color w:val="auto"/>
          <w:u w:val="single"/>
          <w:lang w:val="pt-BR"/>
        </w:rPr>
        <w:t>http://www.cvm.gov.br/export/sites/cvm/legislacao/inst/anexos/400/inst476.pdf</w:t>
      </w:r>
      <w:r w:rsidR="0062254E" w:rsidRPr="00191C75">
        <w:rPr>
          <w:noProof/>
          <w:color w:val="auto"/>
          <w:lang w:val="pt-BR"/>
        </w:rPr>
        <w:t xml:space="preserve">&gt;. Acesso em: </w:t>
      </w:r>
      <w:r w:rsidRPr="00191C75">
        <w:rPr>
          <w:noProof/>
          <w:color w:val="auto"/>
          <w:lang w:val="pt-BR"/>
        </w:rPr>
        <w:t>18 mai</w:t>
      </w:r>
      <w:r w:rsidR="0062254E" w:rsidRPr="00191C75">
        <w:rPr>
          <w:noProof/>
          <w:color w:val="auto"/>
          <w:lang w:val="pt-BR"/>
        </w:rPr>
        <w:t>.</w:t>
      </w:r>
      <w:r w:rsidRPr="00191C75">
        <w:rPr>
          <w:noProof/>
          <w:color w:val="auto"/>
          <w:lang w:val="pt-BR"/>
        </w:rPr>
        <w:t xml:space="preserve"> 2017</w:t>
      </w:r>
      <w:r w:rsidR="0062254E" w:rsidRPr="00191C75">
        <w:rPr>
          <w:noProof/>
          <w:color w:val="auto"/>
          <w:lang w:val="pt-BR"/>
        </w:rPr>
        <w:t>.</w:t>
      </w:r>
    </w:p>
    <w:p w14:paraId="015C6C02" w14:textId="77777777" w:rsidR="0077678B" w:rsidRPr="00191C75" w:rsidRDefault="0077678B" w:rsidP="00BC04E7">
      <w:pPr>
        <w:pStyle w:val="Bibliography"/>
        <w:spacing w:line="240" w:lineRule="auto"/>
        <w:ind w:left="0" w:firstLine="567"/>
        <w:jc w:val="both"/>
        <w:rPr>
          <w:noProof/>
          <w:color w:val="auto"/>
          <w:lang w:val="pt-BR"/>
        </w:rPr>
      </w:pPr>
    </w:p>
    <w:p w14:paraId="7E21DB3D" w14:textId="0BD18EB5" w:rsidR="00E0088C" w:rsidRPr="00191C75" w:rsidRDefault="007E4755" w:rsidP="0077678B">
      <w:pPr>
        <w:pStyle w:val="Bibliography"/>
        <w:spacing w:line="240" w:lineRule="auto"/>
        <w:ind w:left="0" w:firstLine="567"/>
        <w:jc w:val="both"/>
        <w:rPr>
          <w:noProof/>
          <w:color w:val="auto"/>
          <w:lang w:val="pt-BR"/>
        </w:rPr>
      </w:pPr>
      <w:r w:rsidRPr="00191C75">
        <w:rPr>
          <w:noProof/>
          <w:color w:val="auto"/>
          <w:lang w:val="pt-BR"/>
        </w:rPr>
        <w:t>CAMARGOS, M. A.; BARBOSA, F. V</w:t>
      </w:r>
      <w:r w:rsidR="00E0088C" w:rsidRPr="00191C75">
        <w:rPr>
          <w:noProof/>
          <w:color w:val="auto"/>
          <w:lang w:val="pt-BR"/>
        </w:rPr>
        <w:t xml:space="preserve">. Estudos de evento: teoria e operacionalização. </w:t>
      </w:r>
      <w:r w:rsidR="00E0088C" w:rsidRPr="00191C75">
        <w:rPr>
          <w:b/>
          <w:noProof/>
          <w:color w:val="auto"/>
          <w:lang w:val="pt-BR"/>
        </w:rPr>
        <w:t>Cadernos de Pesquisas em Administração</w:t>
      </w:r>
      <w:r w:rsidR="00E0088C" w:rsidRPr="00191C75">
        <w:rPr>
          <w:noProof/>
          <w:color w:val="auto"/>
          <w:lang w:val="pt-BR"/>
        </w:rPr>
        <w:t xml:space="preserve">, </w:t>
      </w:r>
      <w:r w:rsidRPr="00191C75">
        <w:rPr>
          <w:noProof/>
          <w:color w:val="auto"/>
          <w:lang w:val="pt-BR"/>
        </w:rPr>
        <w:t>v.</w:t>
      </w:r>
      <w:r w:rsidR="00E0088C" w:rsidRPr="00191C75">
        <w:rPr>
          <w:noProof/>
          <w:color w:val="auto"/>
          <w:lang w:val="pt-BR"/>
        </w:rPr>
        <w:t>10</w:t>
      </w:r>
      <w:r w:rsidRPr="00191C75">
        <w:rPr>
          <w:noProof/>
          <w:color w:val="auto"/>
          <w:lang w:val="pt-BR"/>
        </w:rPr>
        <w:t>, n.</w:t>
      </w:r>
      <w:r w:rsidR="00E0088C" w:rsidRPr="00191C75">
        <w:rPr>
          <w:noProof/>
          <w:color w:val="auto"/>
          <w:lang w:val="pt-BR"/>
        </w:rPr>
        <w:t>3</w:t>
      </w:r>
      <w:r w:rsidRPr="00191C75">
        <w:rPr>
          <w:noProof/>
          <w:color w:val="auto"/>
          <w:lang w:val="pt-BR"/>
        </w:rPr>
        <w:t>,</w:t>
      </w:r>
      <w:r w:rsidR="00E0088C" w:rsidRPr="00191C75">
        <w:rPr>
          <w:noProof/>
          <w:color w:val="auto"/>
          <w:lang w:val="pt-BR"/>
        </w:rPr>
        <w:t xml:space="preserve"> p. 1-20</w:t>
      </w:r>
      <w:r w:rsidR="00B30FF0" w:rsidRPr="00191C75">
        <w:rPr>
          <w:noProof/>
          <w:color w:val="auto"/>
          <w:lang w:val="pt-BR"/>
        </w:rPr>
        <w:t>,</w:t>
      </w:r>
      <w:r w:rsidR="000D46EE" w:rsidRPr="00191C75">
        <w:rPr>
          <w:noProof/>
          <w:color w:val="auto"/>
          <w:lang w:val="pt-BR"/>
        </w:rPr>
        <w:t xml:space="preserve"> 2003.</w:t>
      </w:r>
    </w:p>
    <w:p w14:paraId="73E4BCCD" w14:textId="77777777" w:rsidR="00E0088C" w:rsidRPr="00191C75" w:rsidRDefault="00E0088C" w:rsidP="0077678B">
      <w:pPr>
        <w:pStyle w:val="Bibliography"/>
        <w:spacing w:line="240" w:lineRule="auto"/>
        <w:ind w:left="0" w:firstLine="567"/>
        <w:jc w:val="both"/>
        <w:rPr>
          <w:noProof/>
          <w:color w:val="auto"/>
          <w:lang w:val="pt-BR"/>
        </w:rPr>
      </w:pPr>
    </w:p>
    <w:p w14:paraId="292BF83D" w14:textId="3DB84E88" w:rsidR="00E0088C" w:rsidRPr="00191C75" w:rsidRDefault="00475061" w:rsidP="0077678B">
      <w:pPr>
        <w:pStyle w:val="Bibliography"/>
        <w:spacing w:line="240" w:lineRule="auto"/>
        <w:ind w:left="0" w:firstLine="567"/>
        <w:jc w:val="both"/>
        <w:rPr>
          <w:noProof/>
          <w:color w:val="auto"/>
          <w:lang w:val="pt-BR"/>
        </w:rPr>
      </w:pPr>
      <w:r w:rsidRPr="00191C75">
        <w:rPr>
          <w:noProof/>
          <w:color w:val="auto"/>
          <w:lang w:val="pt-BR"/>
        </w:rPr>
        <w:t>CAMPBELL, J.</w:t>
      </w:r>
      <w:r w:rsidR="00095C15" w:rsidRPr="00191C75">
        <w:rPr>
          <w:noProof/>
          <w:color w:val="auto"/>
          <w:lang w:val="pt-BR"/>
        </w:rPr>
        <w:t>;</w:t>
      </w:r>
      <w:r w:rsidRPr="00191C75">
        <w:rPr>
          <w:noProof/>
          <w:color w:val="auto"/>
          <w:lang w:val="pt-BR"/>
        </w:rPr>
        <w:t xml:space="preserve"> LO, A. W.; MACKINLEY, </w:t>
      </w:r>
      <w:r w:rsidR="00E0088C" w:rsidRPr="00191C75">
        <w:rPr>
          <w:noProof/>
          <w:color w:val="auto"/>
          <w:lang w:val="pt-BR"/>
        </w:rPr>
        <w:t xml:space="preserve">A. </w:t>
      </w:r>
      <w:r w:rsidR="00E0088C" w:rsidRPr="00191C75">
        <w:rPr>
          <w:b/>
          <w:i/>
          <w:noProof/>
          <w:color w:val="auto"/>
          <w:lang w:val="pt-BR"/>
        </w:rPr>
        <w:t>The econometrics of financial markets.</w:t>
      </w:r>
      <w:r w:rsidR="00E0088C" w:rsidRPr="00191C75">
        <w:rPr>
          <w:i/>
          <w:noProof/>
          <w:color w:val="auto"/>
          <w:lang w:val="pt-BR"/>
        </w:rPr>
        <w:t xml:space="preserve"> </w:t>
      </w:r>
      <w:r w:rsidR="00E0088C" w:rsidRPr="00191C75">
        <w:rPr>
          <w:noProof/>
          <w:color w:val="auto"/>
          <w:lang w:val="pt-BR"/>
        </w:rPr>
        <w:t>New Jersey: Princeton University Press</w:t>
      </w:r>
      <w:r w:rsidR="00783A98" w:rsidRPr="00191C75">
        <w:rPr>
          <w:noProof/>
          <w:color w:val="auto"/>
          <w:lang w:val="pt-BR"/>
        </w:rPr>
        <w:t>,</w:t>
      </w:r>
      <w:r w:rsidR="000D46EE" w:rsidRPr="00191C75">
        <w:rPr>
          <w:noProof/>
          <w:color w:val="auto"/>
          <w:lang w:val="pt-BR"/>
        </w:rPr>
        <w:t xml:space="preserve"> 1997.</w:t>
      </w:r>
    </w:p>
    <w:p w14:paraId="16DF0811" w14:textId="77777777" w:rsidR="00E0088C" w:rsidRPr="00191C75" w:rsidRDefault="00E0088C" w:rsidP="0077678B">
      <w:pPr>
        <w:pStyle w:val="Bibliography"/>
        <w:spacing w:line="240" w:lineRule="auto"/>
        <w:ind w:left="0" w:firstLine="567"/>
        <w:jc w:val="both"/>
        <w:rPr>
          <w:noProof/>
          <w:color w:val="auto"/>
          <w:lang w:val="pt-BR"/>
        </w:rPr>
      </w:pPr>
    </w:p>
    <w:p w14:paraId="054527BB" w14:textId="6AE8EFFC" w:rsidR="00E0088C" w:rsidRPr="00191C75" w:rsidRDefault="00805622" w:rsidP="0077678B">
      <w:pPr>
        <w:pStyle w:val="Bibliography"/>
        <w:spacing w:line="240" w:lineRule="auto"/>
        <w:ind w:left="0" w:firstLine="567"/>
        <w:jc w:val="both"/>
        <w:rPr>
          <w:noProof/>
          <w:color w:val="auto"/>
          <w:lang w:val="pt-BR"/>
        </w:rPr>
      </w:pPr>
      <w:r w:rsidRPr="00191C75">
        <w:rPr>
          <w:noProof/>
          <w:color w:val="auto"/>
          <w:lang w:val="pt-BR"/>
        </w:rPr>
        <w:t>CARVALHO, A. G.</w:t>
      </w:r>
      <w:r w:rsidR="00095C15" w:rsidRPr="00191C75">
        <w:rPr>
          <w:noProof/>
          <w:color w:val="auto"/>
          <w:lang w:val="pt-BR"/>
        </w:rPr>
        <w:t>;</w:t>
      </w:r>
      <w:r w:rsidRPr="00191C75">
        <w:rPr>
          <w:noProof/>
          <w:color w:val="auto"/>
          <w:lang w:val="pt-BR"/>
        </w:rPr>
        <w:t xml:space="preserve"> RIBEIRO, L. L.</w:t>
      </w:r>
      <w:r w:rsidR="00095C15" w:rsidRPr="00191C75">
        <w:rPr>
          <w:noProof/>
          <w:color w:val="auto"/>
          <w:lang w:val="pt-BR"/>
        </w:rPr>
        <w:t>;</w:t>
      </w:r>
      <w:r w:rsidRPr="00191C75">
        <w:rPr>
          <w:noProof/>
          <w:color w:val="auto"/>
          <w:lang w:val="pt-BR"/>
        </w:rPr>
        <w:t xml:space="preserve"> FURTADO, C</w:t>
      </w:r>
      <w:r w:rsidR="00E0088C" w:rsidRPr="00191C75">
        <w:rPr>
          <w:noProof/>
          <w:color w:val="auto"/>
          <w:lang w:val="pt-BR"/>
        </w:rPr>
        <w:t xml:space="preserve">. V. </w:t>
      </w:r>
      <w:r w:rsidR="00E0088C" w:rsidRPr="00191C75">
        <w:rPr>
          <w:b/>
          <w:noProof/>
          <w:color w:val="auto"/>
          <w:lang w:val="pt-BR"/>
        </w:rPr>
        <w:t xml:space="preserve">A indústria de </w:t>
      </w:r>
      <w:r w:rsidR="00E0088C" w:rsidRPr="00191C75">
        <w:rPr>
          <w:b/>
          <w:i/>
          <w:noProof/>
          <w:color w:val="auto"/>
          <w:lang w:val="pt-BR"/>
        </w:rPr>
        <w:t>private equity e venture capital</w:t>
      </w:r>
      <w:r w:rsidR="00E0088C" w:rsidRPr="00191C75">
        <w:rPr>
          <w:b/>
          <w:noProof/>
          <w:color w:val="auto"/>
          <w:lang w:val="pt-BR"/>
        </w:rPr>
        <w:t xml:space="preserve"> – primeiro censo brasileiro.</w:t>
      </w:r>
      <w:r w:rsidR="00E0088C" w:rsidRPr="00191C75">
        <w:rPr>
          <w:noProof/>
          <w:color w:val="auto"/>
          <w:lang w:val="pt-BR"/>
        </w:rPr>
        <w:t xml:space="preserve"> São Paulo: Saraiva</w:t>
      </w:r>
      <w:r w:rsidRPr="00191C75">
        <w:rPr>
          <w:noProof/>
          <w:color w:val="auto"/>
          <w:lang w:val="pt-BR"/>
        </w:rPr>
        <w:t>,</w:t>
      </w:r>
      <w:r w:rsidR="000D46EE" w:rsidRPr="00191C75">
        <w:rPr>
          <w:noProof/>
          <w:color w:val="auto"/>
          <w:lang w:val="pt-BR"/>
        </w:rPr>
        <w:t xml:space="preserve"> 2006.</w:t>
      </w:r>
    </w:p>
    <w:p w14:paraId="4911E336" w14:textId="77777777" w:rsidR="00E0088C" w:rsidRPr="00191C75" w:rsidRDefault="00E0088C" w:rsidP="0077678B">
      <w:pPr>
        <w:pStyle w:val="Bibliography"/>
        <w:spacing w:line="240" w:lineRule="auto"/>
        <w:ind w:left="0" w:firstLine="567"/>
        <w:jc w:val="both"/>
        <w:rPr>
          <w:noProof/>
          <w:color w:val="auto"/>
          <w:lang w:val="pt-BR"/>
        </w:rPr>
      </w:pPr>
    </w:p>
    <w:p w14:paraId="4E549EDB" w14:textId="308B0F35" w:rsidR="00F05365" w:rsidRPr="00191C75" w:rsidRDefault="00F05365" w:rsidP="0077678B">
      <w:pPr>
        <w:pStyle w:val="Bibliography"/>
        <w:spacing w:line="240" w:lineRule="auto"/>
        <w:ind w:left="0" w:firstLine="567"/>
        <w:jc w:val="both"/>
        <w:rPr>
          <w:noProof/>
          <w:color w:val="auto"/>
        </w:rPr>
      </w:pPr>
      <w:r w:rsidRPr="00191C75">
        <w:rPr>
          <w:noProof/>
          <w:color w:val="auto"/>
          <w:lang w:val="pt-BR"/>
        </w:rPr>
        <w:t xml:space="preserve">CENTRO DE ESTUDOS EM PRIVATE EQUITY E VENTURE CAPITAL DA FGV-EAESP </w:t>
      </w:r>
      <w:r w:rsidR="00E0088C" w:rsidRPr="00191C75">
        <w:rPr>
          <w:noProof/>
          <w:color w:val="auto"/>
          <w:lang w:val="pt-BR"/>
        </w:rPr>
        <w:t xml:space="preserve">(GVCEPE). </w:t>
      </w:r>
      <w:r w:rsidR="00E0088C" w:rsidRPr="00191C75">
        <w:rPr>
          <w:b/>
          <w:noProof/>
          <w:color w:val="auto"/>
          <w:lang w:val="pt-BR"/>
        </w:rPr>
        <w:t xml:space="preserve">Panorama da indústria de </w:t>
      </w:r>
      <w:r w:rsidR="00E0088C" w:rsidRPr="00191C75">
        <w:rPr>
          <w:b/>
          <w:i/>
          <w:noProof/>
          <w:color w:val="auto"/>
          <w:lang w:val="pt-BR"/>
        </w:rPr>
        <w:t>private equity e venture capital</w:t>
      </w:r>
      <w:r w:rsidR="00E0088C" w:rsidRPr="00191C75">
        <w:rPr>
          <w:noProof/>
          <w:color w:val="auto"/>
          <w:lang w:val="pt-BR"/>
        </w:rPr>
        <w:t>. São Paulo: GVCEPE.</w:t>
      </w:r>
      <w:r w:rsidR="004E75DE" w:rsidRPr="00191C75">
        <w:rPr>
          <w:noProof/>
          <w:color w:val="auto"/>
          <w:lang w:val="pt-BR"/>
        </w:rPr>
        <w:t xml:space="preserve"> </w:t>
      </w:r>
      <w:r w:rsidR="000D46EE" w:rsidRPr="00191C75">
        <w:rPr>
          <w:noProof/>
          <w:color w:val="auto"/>
          <w:lang w:val="pt-BR"/>
        </w:rPr>
        <w:t xml:space="preserve">2008. </w:t>
      </w:r>
      <w:r w:rsidRPr="00191C75">
        <w:rPr>
          <w:noProof/>
          <w:color w:val="auto"/>
          <w:lang w:val="pt-BR"/>
        </w:rPr>
        <w:t>Disponível em: &lt;</w:t>
      </w:r>
      <w:hyperlink r:id="rId15" w:history="1">
        <w:r w:rsidRPr="00191C75">
          <w:rPr>
            <w:rStyle w:val="Hyperlink"/>
            <w:noProof/>
            <w:color w:val="auto"/>
            <w:lang w:val="pt-BR"/>
          </w:rPr>
          <w:t>https://bibliotecadigital.fgv.br/dspace/ bitstream/handle/10438/13439/Panorama%20da%20ind%C3%BAstria%20brasileira%20de%20Private%20Equity%20e%20Venture%20Vapital_2008.pdf?sequence=1&amp;isAllowed=y</w:t>
        </w:r>
      </w:hyperlink>
      <w:r w:rsidRPr="00191C75">
        <w:rPr>
          <w:noProof/>
          <w:color w:val="auto"/>
          <w:lang w:val="pt-BR"/>
        </w:rPr>
        <w:t xml:space="preserve">&gt;. </w:t>
      </w:r>
      <w:r w:rsidRPr="00191C75">
        <w:rPr>
          <w:noProof/>
          <w:color w:val="auto"/>
        </w:rPr>
        <w:t>Acesso em: 5 mar. 2017.</w:t>
      </w:r>
    </w:p>
    <w:p w14:paraId="2EA3BF3C" w14:textId="77777777" w:rsidR="00255F4F" w:rsidRPr="00191C75" w:rsidRDefault="00255F4F" w:rsidP="0077678B">
      <w:pPr>
        <w:pStyle w:val="Bibliography"/>
        <w:spacing w:line="240" w:lineRule="auto"/>
        <w:ind w:left="0" w:firstLine="567"/>
        <w:jc w:val="both"/>
        <w:rPr>
          <w:noProof/>
          <w:color w:val="auto"/>
        </w:rPr>
      </w:pPr>
    </w:p>
    <w:p w14:paraId="37BEB668" w14:textId="4BDC09A1" w:rsidR="00E0088C" w:rsidRPr="00191C75" w:rsidRDefault="00255F4F" w:rsidP="0077678B">
      <w:pPr>
        <w:pStyle w:val="Bibliography"/>
        <w:spacing w:line="240" w:lineRule="auto"/>
        <w:ind w:left="0" w:firstLine="567"/>
        <w:jc w:val="both"/>
        <w:rPr>
          <w:noProof/>
          <w:color w:val="auto"/>
        </w:rPr>
      </w:pPr>
      <w:r w:rsidRPr="00191C75">
        <w:rPr>
          <w:noProof/>
          <w:color w:val="auto"/>
        </w:rPr>
        <w:t>CUMMING, D. J.</w:t>
      </w:r>
      <w:r w:rsidR="00396D88" w:rsidRPr="00191C75">
        <w:rPr>
          <w:noProof/>
          <w:color w:val="auto"/>
        </w:rPr>
        <w:t>;</w:t>
      </w:r>
      <w:r w:rsidRPr="00191C75">
        <w:rPr>
          <w:noProof/>
          <w:color w:val="auto"/>
        </w:rPr>
        <w:t xml:space="preserve"> JOHAN, S</w:t>
      </w:r>
      <w:r w:rsidR="00E0088C" w:rsidRPr="00191C75">
        <w:rPr>
          <w:noProof/>
          <w:color w:val="auto"/>
        </w:rPr>
        <w:t xml:space="preserve">. </w:t>
      </w:r>
      <w:r w:rsidR="00E0088C" w:rsidRPr="00191C75">
        <w:rPr>
          <w:i/>
          <w:noProof/>
          <w:color w:val="auto"/>
        </w:rPr>
        <w:t xml:space="preserve">Information asymmetries, agency costs and venture capital exit outcomes. Venture </w:t>
      </w:r>
      <w:r w:rsidRPr="00191C75">
        <w:rPr>
          <w:i/>
          <w:noProof/>
          <w:color w:val="auto"/>
        </w:rPr>
        <w:t>c</w:t>
      </w:r>
      <w:r w:rsidR="00E0088C" w:rsidRPr="00191C75">
        <w:rPr>
          <w:i/>
          <w:noProof/>
          <w:color w:val="auto"/>
        </w:rPr>
        <w:t>apital</w:t>
      </w:r>
      <w:r w:rsidR="0010486D" w:rsidRPr="00191C75">
        <w:rPr>
          <w:noProof/>
          <w:color w:val="auto"/>
        </w:rPr>
        <w:t>.</w:t>
      </w:r>
      <w:r w:rsidR="00E0088C" w:rsidRPr="00191C75">
        <w:rPr>
          <w:noProof/>
          <w:color w:val="auto"/>
        </w:rPr>
        <w:t xml:space="preserve"> </w:t>
      </w:r>
      <w:r w:rsidR="00E0088C" w:rsidRPr="00191C75">
        <w:rPr>
          <w:b/>
          <w:noProof/>
          <w:color w:val="auto"/>
        </w:rPr>
        <w:t>An International Journal of Entrepreneurial Finance</w:t>
      </w:r>
      <w:r w:rsidR="00E0088C" w:rsidRPr="00191C75">
        <w:rPr>
          <w:noProof/>
          <w:color w:val="auto"/>
        </w:rPr>
        <w:t xml:space="preserve">, </w:t>
      </w:r>
      <w:r w:rsidRPr="00191C75">
        <w:rPr>
          <w:noProof/>
          <w:color w:val="auto"/>
        </w:rPr>
        <w:t>v.</w:t>
      </w:r>
      <w:r w:rsidR="00E0088C" w:rsidRPr="00191C75">
        <w:rPr>
          <w:noProof/>
          <w:color w:val="auto"/>
        </w:rPr>
        <w:t>10</w:t>
      </w:r>
      <w:r w:rsidRPr="00191C75">
        <w:rPr>
          <w:noProof/>
          <w:color w:val="auto"/>
        </w:rPr>
        <w:t>, n.</w:t>
      </w:r>
      <w:r w:rsidR="0010486D" w:rsidRPr="00191C75">
        <w:rPr>
          <w:noProof/>
          <w:color w:val="auto"/>
        </w:rPr>
        <w:t>3</w:t>
      </w:r>
      <w:r w:rsidR="00E0088C" w:rsidRPr="00191C75">
        <w:rPr>
          <w:noProof/>
          <w:color w:val="auto"/>
        </w:rPr>
        <w:t>, p. 197-231</w:t>
      </w:r>
      <w:r w:rsidRPr="00191C75">
        <w:rPr>
          <w:noProof/>
          <w:color w:val="auto"/>
        </w:rPr>
        <w:t>,</w:t>
      </w:r>
      <w:r w:rsidR="000D46EE" w:rsidRPr="00191C75">
        <w:rPr>
          <w:noProof/>
          <w:color w:val="auto"/>
        </w:rPr>
        <w:t xml:space="preserve"> 2008.</w:t>
      </w:r>
    </w:p>
    <w:p w14:paraId="2A689185" w14:textId="77777777" w:rsidR="00E0088C" w:rsidRPr="00191C75" w:rsidRDefault="00E0088C" w:rsidP="0077678B">
      <w:pPr>
        <w:pStyle w:val="Bibliography"/>
        <w:spacing w:line="240" w:lineRule="auto"/>
        <w:ind w:left="0" w:firstLine="567"/>
        <w:jc w:val="both"/>
        <w:rPr>
          <w:noProof/>
          <w:color w:val="auto"/>
        </w:rPr>
      </w:pPr>
    </w:p>
    <w:p w14:paraId="08A357B6" w14:textId="5DF7C350" w:rsidR="00E0088C" w:rsidRPr="00191C75" w:rsidRDefault="001F1006" w:rsidP="0077678B">
      <w:pPr>
        <w:pStyle w:val="Bibliography"/>
        <w:spacing w:line="240" w:lineRule="auto"/>
        <w:ind w:left="0" w:firstLine="567"/>
        <w:jc w:val="both"/>
        <w:rPr>
          <w:noProof/>
          <w:color w:val="auto"/>
        </w:rPr>
      </w:pPr>
      <w:r w:rsidRPr="00191C75">
        <w:rPr>
          <w:noProof/>
          <w:color w:val="auto"/>
        </w:rPr>
        <w:t>CUMMING, D. J.</w:t>
      </w:r>
      <w:r w:rsidR="00EF7624" w:rsidRPr="00191C75">
        <w:rPr>
          <w:noProof/>
          <w:color w:val="auto"/>
        </w:rPr>
        <w:t>;</w:t>
      </w:r>
      <w:r w:rsidRPr="00191C75">
        <w:rPr>
          <w:noProof/>
          <w:color w:val="auto"/>
        </w:rPr>
        <w:t xml:space="preserve"> JOHAN, S. A</w:t>
      </w:r>
      <w:r w:rsidR="000D46EE" w:rsidRPr="00191C75">
        <w:rPr>
          <w:noProof/>
          <w:color w:val="auto"/>
        </w:rPr>
        <w:t>.</w:t>
      </w:r>
      <w:r w:rsidR="00E0088C" w:rsidRPr="00191C75">
        <w:rPr>
          <w:noProof/>
          <w:color w:val="auto"/>
        </w:rPr>
        <w:t xml:space="preserve"> </w:t>
      </w:r>
      <w:r w:rsidR="00E0088C" w:rsidRPr="00191C75">
        <w:rPr>
          <w:b/>
          <w:noProof/>
          <w:color w:val="auto"/>
        </w:rPr>
        <w:t>V</w:t>
      </w:r>
      <w:r w:rsidR="00E0088C" w:rsidRPr="00191C75">
        <w:rPr>
          <w:b/>
          <w:i/>
          <w:noProof/>
          <w:color w:val="auto"/>
        </w:rPr>
        <w:t>enture capital and private equity contracting: an international perspective</w:t>
      </w:r>
      <w:r w:rsidR="00E0088C" w:rsidRPr="00191C75">
        <w:rPr>
          <w:b/>
          <w:noProof/>
          <w:color w:val="auto"/>
        </w:rPr>
        <w:t>.</w:t>
      </w:r>
      <w:r w:rsidR="00E0088C" w:rsidRPr="00191C75">
        <w:rPr>
          <w:noProof/>
          <w:color w:val="auto"/>
        </w:rPr>
        <w:t xml:space="preserve"> Waltham: Elsevier</w:t>
      </w:r>
      <w:r w:rsidRPr="00191C75">
        <w:rPr>
          <w:noProof/>
          <w:color w:val="auto"/>
        </w:rPr>
        <w:t>,</w:t>
      </w:r>
      <w:r w:rsidR="000D46EE" w:rsidRPr="00191C75">
        <w:rPr>
          <w:noProof/>
          <w:color w:val="auto"/>
        </w:rPr>
        <w:t xml:space="preserve"> 2014.</w:t>
      </w:r>
    </w:p>
    <w:p w14:paraId="7D68A406" w14:textId="77777777" w:rsidR="00E0088C" w:rsidRPr="00191C75" w:rsidRDefault="00E0088C" w:rsidP="0077678B">
      <w:pPr>
        <w:pStyle w:val="Bibliography"/>
        <w:spacing w:line="240" w:lineRule="auto"/>
        <w:ind w:left="0" w:firstLine="567"/>
        <w:jc w:val="both"/>
        <w:rPr>
          <w:noProof/>
          <w:color w:val="auto"/>
        </w:rPr>
      </w:pPr>
    </w:p>
    <w:p w14:paraId="32698240" w14:textId="1EB34D5D" w:rsidR="00E0088C" w:rsidRPr="00191C75" w:rsidRDefault="0083670D" w:rsidP="0077678B">
      <w:pPr>
        <w:pStyle w:val="Bibliography"/>
        <w:spacing w:line="240" w:lineRule="auto"/>
        <w:ind w:left="0" w:firstLine="567"/>
        <w:jc w:val="both"/>
        <w:rPr>
          <w:noProof/>
          <w:color w:val="auto"/>
          <w:lang w:val="pt-BR"/>
        </w:rPr>
      </w:pPr>
      <w:r w:rsidRPr="00191C75">
        <w:rPr>
          <w:noProof/>
          <w:color w:val="auto"/>
        </w:rPr>
        <w:t>CUMMING, D. J.; MACINTOSH, J. A</w:t>
      </w:r>
      <w:r w:rsidRPr="00191C75">
        <w:rPr>
          <w:i/>
          <w:noProof/>
          <w:color w:val="auto"/>
        </w:rPr>
        <w:t xml:space="preserve">. </w:t>
      </w:r>
      <w:r w:rsidR="00E0088C" w:rsidRPr="00191C75">
        <w:rPr>
          <w:i/>
          <w:noProof/>
          <w:color w:val="auto"/>
        </w:rPr>
        <w:t>A cross-country comparison of full and partial venture capital exits strategies</w:t>
      </w:r>
      <w:r w:rsidR="00E0088C" w:rsidRPr="00191C75">
        <w:rPr>
          <w:noProof/>
          <w:color w:val="auto"/>
        </w:rPr>
        <w:t xml:space="preserve">. </w:t>
      </w:r>
      <w:r w:rsidR="00E0088C" w:rsidRPr="00191C75">
        <w:rPr>
          <w:b/>
          <w:noProof/>
          <w:color w:val="auto"/>
          <w:lang w:val="pt-BR"/>
        </w:rPr>
        <w:t>Journal of Banking and Finance</w:t>
      </w:r>
      <w:r w:rsidR="00E0088C" w:rsidRPr="00191C75">
        <w:rPr>
          <w:noProof/>
          <w:color w:val="auto"/>
          <w:lang w:val="pt-BR"/>
        </w:rPr>
        <w:t xml:space="preserve">, </w:t>
      </w:r>
      <w:r w:rsidRPr="00191C75">
        <w:rPr>
          <w:noProof/>
          <w:color w:val="auto"/>
          <w:lang w:val="pt-BR"/>
        </w:rPr>
        <w:t>v.</w:t>
      </w:r>
      <w:r w:rsidR="00E0088C" w:rsidRPr="00191C75">
        <w:rPr>
          <w:noProof/>
          <w:color w:val="auto"/>
          <w:lang w:val="pt-BR"/>
        </w:rPr>
        <w:t>27</w:t>
      </w:r>
      <w:r w:rsidRPr="00191C75">
        <w:rPr>
          <w:noProof/>
          <w:color w:val="auto"/>
          <w:lang w:val="pt-BR"/>
        </w:rPr>
        <w:t>, n.</w:t>
      </w:r>
      <w:r w:rsidR="00E0088C" w:rsidRPr="00191C75">
        <w:rPr>
          <w:noProof/>
          <w:color w:val="auto"/>
          <w:lang w:val="pt-BR"/>
        </w:rPr>
        <w:t>3, p. 511-548</w:t>
      </w:r>
      <w:r w:rsidRPr="00191C75">
        <w:rPr>
          <w:noProof/>
          <w:color w:val="auto"/>
          <w:lang w:val="pt-BR"/>
        </w:rPr>
        <w:t>,</w:t>
      </w:r>
      <w:r w:rsidR="000D46EE" w:rsidRPr="00191C75">
        <w:rPr>
          <w:noProof/>
          <w:color w:val="auto"/>
          <w:lang w:val="pt-BR"/>
        </w:rPr>
        <w:t xml:space="preserve"> 2003.</w:t>
      </w:r>
    </w:p>
    <w:p w14:paraId="14B6A5B2" w14:textId="77777777" w:rsidR="00E0088C" w:rsidRPr="00191C75" w:rsidRDefault="00E0088C" w:rsidP="0077678B">
      <w:pPr>
        <w:pStyle w:val="Bibliography"/>
        <w:spacing w:line="240" w:lineRule="auto"/>
        <w:ind w:left="0" w:firstLine="567"/>
        <w:jc w:val="both"/>
        <w:rPr>
          <w:noProof/>
          <w:color w:val="auto"/>
          <w:lang w:val="pt-BR"/>
        </w:rPr>
      </w:pPr>
    </w:p>
    <w:p w14:paraId="3DFF6C57" w14:textId="5BC5312D" w:rsidR="00E0088C" w:rsidRPr="00191C75" w:rsidRDefault="00A8423C" w:rsidP="0077678B">
      <w:pPr>
        <w:pStyle w:val="Bibliography"/>
        <w:spacing w:line="240" w:lineRule="auto"/>
        <w:ind w:left="0" w:firstLine="567"/>
        <w:jc w:val="both"/>
        <w:rPr>
          <w:noProof/>
          <w:color w:val="auto"/>
          <w:lang w:val="pt-BR"/>
        </w:rPr>
      </w:pPr>
      <w:r w:rsidRPr="00191C75">
        <w:rPr>
          <w:noProof/>
          <w:color w:val="auto"/>
          <w:lang w:val="pt-BR"/>
        </w:rPr>
        <w:t xml:space="preserve">DANTAS, J. A.,; ZENDERSKY, H. C.; NIYAMA, J. K. </w:t>
      </w:r>
      <w:r w:rsidR="00E0088C" w:rsidRPr="00191C75">
        <w:rPr>
          <w:noProof/>
          <w:color w:val="auto"/>
          <w:lang w:val="pt-BR"/>
        </w:rPr>
        <w:t xml:space="preserve">A </w:t>
      </w:r>
      <w:r w:rsidR="001C00D6" w:rsidRPr="00191C75">
        <w:rPr>
          <w:noProof/>
          <w:color w:val="auto"/>
          <w:lang w:val="pt-BR"/>
        </w:rPr>
        <w:t>d</w:t>
      </w:r>
      <w:r w:rsidR="00E0088C" w:rsidRPr="00191C75">
        <w:rPr>
          <w:noProof/>
          <w:color w:val="auto"/>
          <w:lang w:val="pt-BR"/>
        </w:rPr>
        <w:t xml:space="preserve">ualidade entre os benefícios do disclosure e a relutância das organizações em aumentar o grau de evidenciação. </w:t>
      </w:r>
      <w:r w:rsidR="00E0088C" w:rsidRPr="00191C75">
        <w:rPr>
          <w:b/>
          <w:noProof/>
          <w:color w:val="auto"/>
          <w:lang w:val="pt-BR"/>
        </w:rPr>
        <w:t>Economia &amp; Gestão</w:t>
      </w:r>
      <w:r w:rsidR="00E0088C" w:rsidRPr="00191C75">
        <w:rPr>
          <w:noProof/>
          <w:color w:val="auto"/>
          <w:lang w:val="pt-BR"/>
        </w:rPr>
        <w:t xml:space="preserve">, </w:t>
      </w:r>
      <w:r w:rsidRPr="00191C75">
        <w:rPr>
          <w:noProof/>
          <w:color w:val="auto"/>
          <w:lang w:val="pt-BR"/>
        </w:rPr>
        <w:t>v.</w:t>
      </w:r>
      <w:r w:rsidR="00E0088C" w:rsidRPr="00191C75">
        <w:rPr>
          <w:noProof/>
          <w:color w:val="auto"/>
          <w:lang w:val="pt-BR"/>
        </w:rPr>
        <w:t>46</w:t>
      </w:r>
      <w:r w:rsidRPr="00191C75">
        <w:rPr>
          <w:noProof/>
          <w:color w:val="auto"/>
          <w:lang w:val="pt-BR"/>
        </w:rPr>
        <w:t>, n.</w:t>
      </w:r>
      <w:r w:rsidR="00E0088C" w:rsidRPr="00191C75">
        <w:rPr>
          <w:noProof/>
          <w:color w:val="auto"/>
          <w:lang w:val="pt-BR"/>
        </w:rPr>
        <w:t>5, p. 56-76</w:t>
      </w:r>
      <w:r w:rsidRPr="00191C75">
        <w:rPr>
          <w:noProof/>
          <w:color w:val="auto"/>
          <w:lang w:val="pt-BR"/>
        </w:rPr>
        <w:t>,</w:t>
      </w:r>
      <w:r w:rsidR="000D46EE" w:rsidRPr="00191C75">
        <w:rPr>
          <w:noProof/>
          <w:color w:val="auto"/>
          <w:lang w:val="pt-BR"/>
        </w:rPr>
        <w:t xml:space="preserve"> 2005.</w:t>
      </w:r>
    </w:p>
    <w:p w14:paraId="0AEC14CF" w14:textId="77777777" w:rsidR="00E0088C" w:rsidRPr="00191C75" w:rsidRDefault="00E0088C" w:rsidP="0077678B">
      <w:pPr>
        <w:pStyle w:val="Bibliography"/>
        <w:spacing w:line="240" w:lineRule="auto"/>
        <w:ind w:left="0" w:firstLine="567"/>
        <w:jc w:val="both"/>
        <w:rPr>
          <w:noProof/>
          <w:color w:val="auto"/>
          <w:lang w:val="pt-BR"/>
        </w:rPr>
      </w:pPr>
    </w:p>
    <w:p w14:paraId="1DE6FC74" w14:textId="016E8559" w:rsidR="00E0088C" w:rsidRPr="00191C75" w:rsidRDefault="00443073" w:rsidP="0077678B">
      <w:pPr>
        <w:pStyle w:val="Bibliography"/>
        <w:spacing w:line="240" w:lineRule="auto"/>
        <w:ind w:left="0" w:firstLine="567"/>
        <w:jc w:val="both"/>
        <w:rPr>
          <w:noProof/>
          <w:color w:val="auto"/>
          <w:lang w:val="pt-BR"/>
        </w:rPr>
      </w:pPr>
      <w:r w:rsidRPr="00191C75">
        <w:rPr>
          <w:noProof/>
          <w:color w:val="auto"/>
          <w:lang w:val="pt-BR"/>
        </w:rPr>
        <w:t>ELLER, E. P</w:t>
      </w:r>
      <w:r w:rsidR="00E0088C" w:rsidRPr="00191C75">
        <w:rPr>
          <w:noProof/>
          <w:color w:val="auto"/>
          <w:lang w:val="pt-BR"/>
        </w:rPr>
        <w:t>.</w:t>
      </w:r>
      <w:r w:rsidR="000D46EE" w:rsidRPr="00191C75">
        <w:rPr>
          <w:noProof/>
          <w:color w:val="auto"/>
          <w:lang w:val="pt-BR"/>
        </w:rPr>
        <w:t xml:space="preserve"> </w:t>
      </w:r>
      <w:r w:rsidR="00E0088C" w:rsidRPr="00191C75">
        <w:rPr>
          <w:b/>
          <w:noProof/>
          <w:color w:val="auto"/>
          <w:lang w:val="pt-BR"/>
        </w:rPr>
        <w:t xml:space="preserve">Análise do desempenho de longo prazo dos IPOs de empresas com participação prévia de fundos de </w:t>
      </w:r>
      <w:r w:rsidR="00E0088C" w:rsidRPr="00191C75">
        <w:rPr>
          <w:b/>
          <w:i/>
          <w:noProof/>
          <w:color w:val="auto"/>
          <w:lang w:val="pt-BR"/>
        </w:rPr>
        <w:t>private equity e venture capital</w:t>
      </w:r>
      <w:r w:rsidR="00E0088C" w:rsidRPr="00191C75">
        <w:rPr>
          <w:b/>
          <w:noProof/>
          <w:color w:val="auto"/>
          <w:lang w:val="pt-BR"/>
        </w:rPr>
        <w:t xml:space="preserve"> de 2004 a 2011 na BM&amp;F Bovespa</w:t>
      </w:r>
      <w:r w:rsidR="00E0088C" w:rsidRPr="00191C75">
        <w:rPr>
          <w:noProof/>
          <w:color w:val="auto"/>
          <w:lang w:val="pt-BR"/>
        </w:rPr>
        <w:t>. Dissertação de Mestrado em Economia</w:t>
      </w:r>
      <w:r w:rsidR="00ED75F4" w:rsidRPr="00191C75">
        <w:rPr>
          <w:noProof/>
          <w:color w:val="auto"/>
          <w:lang w:val="pt-BR"/>
        </w:rPr>
        <w:t>.</w:t>
      </w:r>
      <w:r w:rsidR="00E0088C" w:rsidRPr="00191C75">
        <w:rPr>
          <w:noProof/>
          <w:color w:val="auto"/>
          <w:lang w:val="pt-BR"/>
        </w:rPr>
        <w:t xml:space="preserve"> Escola de Economia de São Paulo da Fundação Getúlio Vargas, São Paulo</w:t>
      </w:r>
      <w:r w:rsidR="00ED75F4" w:rsidRPr="00191C75">
        <w:rPr>
          <w:noProof/>
          <w:color w:val="auto"/>
          <w:lang w:val="pt-BR"/>
        </w:rPr>
        <w:t>, Brasil</w:t>
      </w:r>
      <w:r w:rsidRPr="00191C75">
        <w:rPr>
          <w:noProof/>
          <w:color w:val="auto"/>
          <w:lang w:val="pt-BR"/>
        </w:rPr>
        <w:t>,</w:t>
      </w:r>
      <w:r w:rsidR="000D46EE" w:rsidRPr="00191C75">
        <w:rPr>
          <w:noProof/>
          <w:color w:val="auto"/>
          <w:lang w:val="pt-BR"/>
        </w:rPr>
        <w:t xml:space="preserve"> 2012.</w:t>
      </w:r>
    </w:p>
    <w:p w14:paraId="416FAAE8" w14:textId="77777777" w:rsidR="00E0088C" w:rsidRPr="00191C75" w:rsidRDefault="00E0088C" w:rsidP="0077678B">
      <w:pPr>
        <w:pStyle w:val="Bibliography"/>
        <w:spacing w:line="240" w:lineRule="auto"/>
        <w:ind w:left="0" w:firstLine="567"/>
        <w:jc w:val="both"/>
        <w:rPr>
          <w:noProof/>
          <w:color w:val="auto"/>
          <w:lang w:val="pt-BR"/>
        </w:rPr>
      </w:pPr>
    </w:p>
    <w:p w14:paraId="73FC6C08" w14:textId="432B21EC" w:rsidR="00E0088C" w:rsidRPr="00191C75" w:rsidRDefault="006227A4" w:rsidP="0077678B">
      <w:pPr>
        <w:pStyle w:val="Bibliography"/>
        <w:spacing w:line="240" w:lineRule="auto"/>
        <w:ind w:left="0" w:firstLine="567"/>
        <w:jc w:val="both"/>
        <w:rPr>
          <w:noProof/>
          <w:color w:val="auto"/>
        </w:rPr>
      </w:pPr>
      <w:r w:rsidRPr="00191C75">
        <w:rPr>
          <w:noProof/>
          <w:color w:val="auto"/>
        </w:rPr>
        <w:t xml:space="preserve">FAMA, E. F. </w:t>
      </w:r>
      <w:r w:rsidR="00E0088C" w:rsidRPr="00191C75">
        <w:rPr>
          <w:i/>
          <w:noProof/>
          <w:color w:val="auto"/>
        </w:rPr>
        <w:t>Efficient capital markets: a review of theory and empirical work</w:t>
      </w:r>
      <w:r w:rsidR="00E0088C" w:rsidRPr="00191C75">
        <w:rPr>
          <w:noProof/>
          <w:color w:val="auto"/>
        </w:rPr>
        <w:t xml:space="preserve">. </w:t>
      </w:r>
      <w:r w:rsidR="00E0088C" w:rsidRPr="00191C75">
        <w:rPr>
          <w:b/>
          <w:noProof/>
          <w:color w:val="auto"/>
        </w:rPr>
        <w:t>The Journal of Finance</w:t>
      </w:r>
      <w:r w:rsidR="00E0088C" w:rsidRPr="00191C75">
        <w:rPr>
          <w:noProof/>
          <w:color w:val="auto"/>
        </w:rPr>
        <w:t xml:space="preserve">, </w:t>
      </w:r>
      <w:r w:rsidRPr="00191C75">
        <w:rPr>
          <w:noProof/>
          <w:color w:val="auto"/>
        </w:rPr>
        <w:t>v.</w:t>
      </w:r>
      <w:r w:rsidR="00E0088C" w:rsidRPr="00191C75">
        <w:rPr>
          <w:noProof/>
          <w:color w:val="auto"/>
        </w:rPr>
        <w:t>25</w:t>
      </w:r>
      <w:r w:rsidRPr="00191C75">
        <w:rPr>
          <w:noProof/>
          <w:color w:val="auto"/>
        </w:rPr>
        <w:t>, n.</w:t>
      </w:r>
      <w:r w:rsidR="00E0088C" w:rsidRPr="00191C75">
        <w:rPr>
          <w:noProof/>
          <w:color w:val="auto"/>
        </w:rPr>
        <w:t>2, p. 383-417</w:t>
      </w:r>
      <w:r w:rsidRPr="00191C75">
        <w:rPr>
          <w:noProof/>
          <w:color w:val="auto"/>
        </w:rPr>
        <w:t>,</w:t>
      </w:r>
      <w:r w:rsidR="000D46EE" w:rsidRPr="00191C75">
        <w:rPr>
          <w:noProof/>
          <w:color w:val="auto"/>
        </w:rPr>
        <w:t xml:space="preserve"> 1970.</w:t>
      </w:r>
    </w:p>
    <w:p w14:paraId="35C9625F" w14:textId="77777777" w:rsidR="00E0088C" w:rsidRPr="00191C75" w:rsidRDefault="00E0088C" w:rsidP="0077678B">
      <w:pPr>
        <w:pStyle w:val="Bibliography"/>
        <w:spacing w:line="240" w:lineRule="auto"/>
        <w:ind w:left="0" w:firstLine="567"/>
        <w:jc w:val="both"/>
        <w:rPr>
          <w:noProof/>
          <w:color w:val="auto"/>
        </w:rPr>
      </w:pPr>
    </w:p>
    <w:p w14:paraId="09CFACE8" w14:textId="63CCC7D8" w:rsidR="00E0088C" w:rsidRPr="00191C75" w:rsidRDefault="006A480A" w:rsidP="0077678B">
      <w:pPr>
        <w:pStyle w:val="Bibliography"/>
        <w:spacing w:line="240" w:lineRule="auto"/>
        <w:ind w:left="0" w:firstLine="567"/>
        <w:jc w:val="both"/>
        <w:rPr>
          <w:noProof/>
          <w:color w:val="auto"/>
        </w:rPr>
      </w:pPr>
      <w:r w:rsidRPr="00191C75">
        <w:rPr>
          <w:noProof/>
          <w:color w:val="auto"/>
        </w:rPr>
        <w:t>FAMA, E. F</w:t>
      </w:r>
      <w:r w:rsidR="00E0088C" w:rsidRPr="00191C75">
        <w:rPr>
          <w:noProof/>
          <w:color w:val="auto"/>
        </w:rPr>
        <w:t>.</w:t>
      </w:r>
      <w:r w:rsidR="000D46EE" w:rsidRPr="00191C75">
        <w:rPr>
          <w:noProof/>
          <w:color w:val="auto"/>
        </w:rPr>
        <w:t xml:space="preserve"> </w:t>
      </w:r>
      <w:r w:rsidR="00E0088C" w:rsidRPr="00191C75">
        <w:rPr>
          <w:noProof/>
          <w:color w:val="auto"/>
        </w:rPr>
        <w:t xml:space="preserve"> </w:t>
      </w:r>
      <w:r w:rsidR="00E0088C" w:rsidRPr="00191C75">
        <w:rPr>
          <w:i/>
          <w:noProof/>
          <w:color w:val="auto"/>
        </w:rPr>
        <w:t>Efficient capital markets</w:t>
      </w:r>
      <w:r w:rsidR="00E0088C" w:rsidRPr="00191C75">
        <w:rPr>
          <w:noProof/>
          <w:color w:val="auto"/>
        </w:rPr>
        <w:t xml:space="preserve">: </w:t>
      </w:r>
      <w:r w:rsidR="00E0088C" w:rsidRPr="00191C75">
        <w:rPr>
          <w:i/>
          <w:noProof/>
          <w:color w:val="auto"/>
        </w:rPr>
        <w:t>II</w:t>
      </w:r>
      <w:r w:rsidR="00E0088C" w:rsidRPr="00191C75">
        <w:rPr>
          <w:noProof/>
          <w:color w:val="auto"/>
        </w:rPr>
        <w:t xml:space="preserve">. </w:t>
      </w:r>
      <w:r w:rsidR="00E0088C" w:rsidRPr="00191C75">
        <w:rPr>
          <w:b/>
          <w:noProof/>
          <w:color w:val="auto"/>
        </w:rPr>
        <w:t>The Journal of Finance</w:t>
      </w:r>
      <w:r w:rsidR="00E0088C" w:rsidRPr="00191C75">
        <w:rPr>
          <w:noProof/>
          <w:color w:val="auto"/>
        </w:rPr>
        <w:t xml:space="preserve">, </w:t>
      </w:r>
      <w:r w:rsidRPr="00191C75">
        <w:rPr>
          <w:noProof/>
          <w:color w:val="auto"/>
        </w:rPr>
        <w:t>v.</w:t>
      </w:r>
      <w:r w:rsidR="00E0088C" w:rsidRPr="00191C75">
        <w:rPr>
          <w:noProof/>
          <w:color w:val="auto"/>
        </w:rPr>
        <w:t>46</w:t>
      </w:r>
      <w:r w:rsidRPr="00191C75">
        <w:rPr>
          <w:noProof/>
          <w:color w:val="auto"/>
        </w:rPr>
        <w:t>, n.</w:t>
      </w:r>
      <w:r w:rsidR="00E0088C" w:rsidRPr="00191C75">
        <w:rPr>
          <w:noProof/>
          <w:color w:val="auto"/>
        </w:rPr>
        <w:t>5, p. 1575-1617</w:t>
      </w:r>
      <w:r w:rsidRPr="00191C75">
        <w:rPr>
          <w:noProof/>
          <w:color w:val="auto"/>
        </w:rPr>
        <w:t>,</w:t>
      </w:r>
      <w:r w:rsidR="000D46EE" w:rsidRPr="00191C75">
        <w:rPr>
          <w:noProof/>
          <w:color w:val="auto"/>
        </w:rPr>
        <w:t xml:space="preserve"> 1991.</w:t>
      </w:r>
    </w:p>
    <w:p w14:paraId="7F290450" w14:textId="77777777" w:rsidR="00E0088C" w:rsidRPr="00191C75" w:rsidRDefault="00E0088C" w:rsidP="0077678B">
      <w:pPr>
        <w:pStyle w:val="Bibliography"/>
        <w:spacing w:line="240" w:lineRule="auto"/>
        <w:ind w:left="0" w:firstLine="567"/>
        <w:jc w:val="both"/>
        <w:rPr>
          <w:noProof/>
          <w:color w:val="auto"/>
        </w:rPr>
      </w:pPr>
    </w:p>
    <w:p w14:paraId="594FE75E" w14:textId="00BED635" w:rsidR="00126878" w:rsidRPr="00191C75" w:rsidRDefault="009F1E15" w:rsidP="0077678B">
      <w:pPr>
        <w:pStyle w:val="Bibliography"/>
        <w:spacing w:line="240" w:lineRule="auto"/>
        <w:ind w:left="0" w:firstLine="567"/>
        <w:jc w:val="both"/>
        <w:rPr>
          <w:noProof/>
          <w:color w:val="auto"/>
          <w:lang w:val="pt-BR"/>
        </w:rPr>
      </w:pPr>
      <w:r w:rsidRPr="00191C75">
        <w:rPr>
          <w:noProof/>
          <w:color w:val="auto"/>
        </w:rPr>
        <w:t>FAMA, E. F.</w:t>
      </w:r>
      <w:r w:rsidR="00E0088C" w:rsidRPr="00191C75">
        <w:rPr>
          <w:noProof/>
          <w:color w:val="auto"/>
        </w:rPr>
        <w:t xml:space="preserve"> </w:t>
      </w:r>
      <w:r w:rsidR="00E0088C" w:rsidRPr="00191C75">
        <w:rPr>
          <w:i/>
          <w:noProof/>
          <w:color w:val="auto"/>
        </w:rPr>
        <w:t>Market efficiency, long-term returns, and behavioral finance</w:t>
      </w:r>
      <w:r w:rsidR="00E0088C" w:rsidRPr="00191C75">
        <w:rPr>
          <w:noProof/>
          <w:color w:val="auto"/>
        </w:rPr>
        <w:t xml:space="preserve">. </w:t>
      </w:r>
      <w:r w:rsidR="00E0088C" w:rsidRPr="00191C75">
        <w:rPr>
          <w:b/>
          <w:noProof/>
          <w:color w:val="auto"/>
          <w:lang w:val="pt-BR"/>
        </w:rPr>
        <w:t>The Journal of Finance</w:t>
      </w:r>
      <w:r w:rsidR="00E0088C" w:rsidRPr="00191C75">
        <w:rPr>
          <w:noProof/>
          <w:color w:val="auto"/>
          <w:lang w:val="pt-BR"/>
        </w:rPr>
        <w:t xml:space="preserve">, </w:t>
      </w:r>
      <w:r w:rsidRPr="00191C75">
        <w:rPr>
          <w:noProof/>
          <w:color w:val="auto"/>
          <w:lang w:val="pt-BR"/>
        </w:rPr>
        <w:t>v.</w:t>
      </w:r>
      <w:r w:rsidR="00E0088C" w:rsidRPr="00191C75">
        <w:rPr>
          <w:noProof/>
          <w:color w:val="auto"/>
          <w:lang w:val="pt-BR"/>
        </w:rPr>
        <w:t>49</w:t>
      </w:r>
      <w:r w:rsidRPr="00191C75">
        <w:rPr>
          <w:noProof/>
          <w:color w:val="auto"/>
          <w:lang w:val="pt-BR"/>
        </w:rPr>
        <w:t>, n.</w:t>
      </w:r>
      <w:r w:rsidR="00E0088C" w:rsidRPr="00191C75">
        <w:rPr>
          <w:noProof/>
          <w:color w:val="auto"/>
          <w:lang w:val="pt-BR"/>
        </w:rPr>
        <w:t>3, p. 283-306</w:t>
      </w:r>
      <w:r w:rsidRPr="00191C75">
        <w:rPr>
          <w:noProof/>
          <w:color w:val="auto"/>
          <w:lang w:val="pt-BR"/>
        </w:rPr>
        <w:t>,</w:t>
      </w:r>
      <w:r w:rsidR="000D46EE" w:rsidRPr="00191C75">
        <w:rPr>
          <w:noProof/>
          <w:color w:val="auto"/>
          <w:lang w:val="pt-BR"/>
        </w:rPr>
        <w:t xml:space="preserve"> 1998</w:t>
      </w:r>
    </w:p>
    <w:p w14:paraId="3C0899E9" w14:textId="77777777" w:rsidR="00CB26D3" w:rsidRPr="00191C75" w:rsidRDefault="00CB26D3" w:rsidP="0077678B">
      <w:pPr>
        <w:pStyle w:val="Bibliography"/>
        <w:spacing w:line="240" w:lineRule="auto"/>
        <w:ind w:left="0" w:firstLine="567"/>
        <w:jc w:val="both"/>
        <w:rPr>
          <w:noProof/>
          <w:color w:val="auto"/>
          <w:lang w:val="pt-BR"/>
        </w:rPr>
      </w:pPr>
    </w:p>
    <w:p w14:paraId="7DA28A80" w14:textId="4D92D08D" w:rsidR="00774915" w:rsidRPr="00191C75" w:rsidRDefault="00126878" w:rsidP="0077678B">
      <w:pPr>
        <w:pStyle w:val="Bibliography"/>
        <w:spacing w:line="240" w:lineRule="auto"/>
        <w:ind w:left="0" w:firstLine="567"/>
        <w:jc w:val="both"/>
        <w:rPr>
          <w:noProof/>
          <w:color w:val="auto"/>
          <w:lang w:val="pt-BR"/>
        </w:rPr>
      </w:pPr>
      <w:r w:rsidRPr="00191C75">
        <w:rPr>
          <w:noProof/>
          <w:color w:val="auto"/>
          <w:lang w:val="pt-BR"/>
        </w:rPr>
        <w:t>FEIL, A</w:t>
      </w:r>
      <w:r w:rsidR="00CB26D3" w:rsidRPr="00191C75">
        <w:rPr>
          <w:noProof/>
          <w:color w:val="auto"/>
          <w:lang w:val="pt-BR"/>
        </w:rPr>
        <w:t>.</w:t>
      </w:r>
      <w:r w:rsidRPr="00191C75">
        <w:rPr>
          <w:noProof/>
          <w:color w:val="auto"/>
          <w:lang w:val="pt-BR"/>
        </w:rPr>
        <w:t xml:space="preserve"> A</w:t>
      </w:r>
      <w:r w:rsidR="00CB26D3" w:rsidRPr="00191C75">
        <w:rPr>
          <w:noProof/>
          <w:color w:val="auto"/>
          <w:lang w:val="pt-BR"/>
        </w:rPr>
        <w:t>.</w:t>
      </w:r>
      <w:r w:rsidRPr="00191C75">
        <w:rPr>
          <w:noProof/>
          <w:color w:val="auto"/>
          <w:lang w:val="pt-BR"/>
        </w:rPr>
        <w:t>; CONTO, S</w:t>
      </w:r>
      <w:r w:rsidR="00CB26D3" w:rsidRPr="00191C75">
        <w:rPr>
          <w:noProof/>
          <w:color w:val="auto"/>
          <w:lang w:val="pt-BR"/>
        </w:rPr>
        <w:t>.</w:t>
      </w:r>
      <w:r w:rsidRPr="00191C75">
        <w:rPr>
          <w:noProof/>
          <w:color w:val="auto"/>
          <w:lang w:val="pt-BR"/>
        </w:rPr>
        <w:t xml:space="preserve"> M. Análise da Percepção dos Gestores e Empreendedores de um Parque Tecnológico e de uma Incubadora Empresarial. </w:t>
      </w:r>
      <w:r w:rsidRPr="00191C75">
        <w:rPr>
          <w:b/>
          <w:noProof/>
          <w:color w:val="auto"/>
          <w:lang w:val="pt-BR"/>
        </w:rPr>
        <w:t>Sociedade, Contabilidade e Gestão</w:t>
      </w:r>
      <w:r w:rsidRPr="00191C75">
        <w:rPr>
          <w:noProof/>
          <w:color w:val="auto"/>
          <w:lang w:val="pt-BR"/>
        </w:rPr>
        <w:t>, Rio de Janeiro, v. 13, n. 3, p.1-17, set. 2018.</w:t>
      </w:r>
      <w:r w:rsidR="00CB26D3" w:rsidRPr="00191C75">
        <w:rPr>
          <w:noProof/>
          <w:color w:val="auto"/>
          <w:lang w:val="pt-BR"/>
        </w:rPr>
        <w:t xml:space="preserve"> </w:t>
      </w:r>
      <w:r w:rsidR="00774915" w:rsidRPr="00191C75">
        <w:rPr>
          <w:noProof/>
          <w:color w:val="auto"/>
          <w:lang w:val="pt-BR"/>
        </w:rPr>
        <w:t>Disponível em: &lt;</w:t>
      </w:r>
      <w:hyperlink r:id="rId16" w:history="1">
        <w:r w:rsidR="00774915" w:rsidRPr="00191C75">
          <w:rPr>
            <w:rStyle w:val="Hyperlink"/>
            <w:noProof/>
            <w:color w:val="auto"/>
            <w:lang w:val="pt-BR"/>
          </w:rPr>
          <w:t>https://revistas.ufrj.br/index.php/scg/article/download/13945/pdf</w:t>
        </w:r>
      </w:hyperlink>
      <w:r w:rsidR="00774915" w:rsidRPr="00191C75">
        <w:rPr>
          <w:noProof/>
          <w:color w:val="auto"/>
          <w:lang w:val="pt-BR"/>
        </w:rPr>
        <w:t>&gt;. Acesso em: 28 set 2018.</w:t>
      </w:r>
    </w:p>
    <w:p w14:paraId="4379941B" w14:textId="77777777" w:rsidR="00E0088C" w:rsidRPr="00191C75" w:rsidRDefault="00E0088C" w:rsidP="0077678B">
      <w:pPr>
        <w:pStyle w:val="Bibliography"/>
        <w:spacing w:line="240" w:lineRule="auto"/>
        <w:ind w:left="0" w:firstLine="0"/>
        <w:jc w:val="both"/>
        <w:rPr>
          <w:noProof/>
          <w:color w:val="auto"/>
          <w:lang w:val="pt-BR"/>
        </w:rPr>
      </w:pPr>
    </w:p>
    <w:p w14:paraId="2A33AB13" w14:textId="5B2A6F6A" w:rsidR="00E0088C" w:rsidRPr="00191C75" w:rsidRDefault="0083441C" w:rsidP="0077678B">
      <w:pPr>
        <w:pStyle w:val="Bibliography"/>
        <w:spacing w:line="240" w:lineRule="auto"/>
        <w:ind w:left="0" w:firstLine="567"/>
        <w:jc w:val="both"/>
        <w:rPr>
          <w:noProof/>
          <w:color w:val="auto"/>
        </w:rPr>
      </w:pPr>
      <w:r w:rsidRPr="00191C75">
        <w:rPr>
          <w:noProof/>
          <w:color w:val="auto"/>
          <w:lang w:val="pt-BR"/>
        </w:rPr>
        <w:t>FERRARI, G. L.; MINARDI, A. M</w:t>
      </w:r>
      <w:r w:rsidR="00E0088C" w:rsidRPr="00191C75">
        <w:rPr>
          <w:noProof/>
          <w:color w:val="auto"/>
          <w:lang w:val="pt-BR"/>
        </w:rPr>
        <w:t xml:space="preserve">. </w:t>
      </w:r>
      <w:r w:rsidR="00E0088C" w:rsidRPr="00191C75">
        <w:rPr>
          <w:b/>
          <w:noProof/>
          <w:color w:val="auto"/>
          <w:lang w:val="pt-BR"/>
        </w:rPr>
        <w:t xml:space="preserve">O </w:t>
      </w:r>
      <w:r w:rsidR="00B67A0D" w:rsidRPr="00191C75">
        <w:rPr>
          <w:b/>
          <w:noProof/>
          <w:color w:val="auto"/>
          <w:lang w:val="pt-BR"/>
        </w:rPr>
        <w:t>d</w:t>
      </w:r>
      <w:r w:rsidR="00E0088C" w:rsidRPr="00191C75">
        <w:rPr>
          <w:b/>
          <w:noProof/>
          <w:color w:val="auto"/>
          <w:lang w:val="pt-BR"/>
        </w:rPr>
        <w:t xml:space="preserve">esempenho de ofertas públicas iniciais de empresas brasileiras financiadas por fundos de </w:t>
      </w:r>
      <w:r w:rsidR="00E0088C" w:rsidRPr="00191C75">
        <w:rPr>
          <w:b/>
          <w:i/>
          <w:noProof/>
          <w:color w:val="auto"/>
          <w:lang w:val="pt-BR"/>
        </w:rPr>
        <w:t>private equity</w:t>
      </w:r>
      <w:r w:rsidR="00577E77" w:rsidRPr="00191C75">
        <w:rPr>
          <w:noProof/>
          <w:color w:val="auto"/>
          <w:lang w:val="pt-BR"/>
        </w:rPr>
        <w:t xml:space="preserve">. </w:t>
      </w:r>
      <w:r w:rsidRPr="00191C75">
        <w:rPr>
          <w:i/>
          <w:noProof/>
          <w:color w:val="auto"/>
          <w:lang w:val="pt-BR"/>
        </w:rPr>
        <w:t>W</w:t>
      </w:r>
      <w:r w:rsidR="00E0088C" w:rsidRPr="00191C75">
        <w:rPr>
          <w:i/>
          <w:noProof/>
          <w:color w:val="auto"/>
          <w:lang w:val="pt-BR"/>
        </w:rPr>
        <w:t xml:space="preserve">orking </w:t>
      </w:r>
      <w:r w:rsidRPr="00191C75">
        <w:rPr>
          <w:i/>
          <w:noProof/>
          <w:color w:val="auto"/>
          <w:lang w:val="pt-BR"/>
        </w:rPr>
        <w:t>p</w:t>
      </w:r>
      <w:r w:rsidR="00E0088C" w:rsidRPr="00191C75">
        <w:rPr>
          <w:i/>
          <w:noProof/>
          <w:color w:val="auto"/>
          <w:lang w:val="pt-BR"/>
        </w:rPr>
        <w:t>aper</w:t>
      </w:r>
      <w:r w:rsidR="00E0088C" w:rsidRPr="00191C75">
        <w:rPr>
          <w:noProof/>
          <w:color w:val="auto"/>
          <w:lang w:val="pt-BR"/>
        </w:rPr>
        <w:t xml:space="preserve"> </w:t>
      </w:r>
      <w:r w:rsidR="0071403C" w:rsidRPr="00191C75">
        <w:rPr>
          <w:noProof/>
          <w:color w:val="auto"/>
          <w:lang w:val="pt-BR"/>
        </w:rPr>
        <w:t>n</w:t>
      </w:r>
      <w:r w:rsidR="00E0088C" w:rsidRPr="00191C75">
        <w:rPr>
          <w:noProof/>
          <w:color w:val="auto"/>
          <w:lang w:val="pt-BR"/>
        </w:rPr>
        <w:t>. 224</w:t>
      </w:r>
      <w:r w:rsidR="00C730E4" w:rsidRPr="00191C75">
        <w:rPr>
          <w:noProof/>
          <w:color w:val="auto"/>
          <w:lang w:val="pt-BR"/>
        </w:rPr>
        <w:t>/1-20</w:t>
      </w:r>
      <w:r w:rsidR="00E0088C" w:rsidRPr="00191C75">
        <w:rPr>
          <w:noProof/>
          <w:color w:val="auto"/>
          <w:lang w:val="pt-BR"/>
        </w:rPr>
        <w:t xml:space="preserve">. Insper Instituto de Ensino e Pesquisa. </w:t>
      </w:r>
      <w:r w:rsidR="00F5649E" w:rsidRPr="00191C75">
        <w:rPr>
          <w:noProof/>
          <w:color w:val="auto"/>
          <w:lang w:val="pt-BR"/>
        </w:rPr>
        <w:t xml:space="preserve">2010. </w:t>
      </w:r>
      <w:r w:rsidRPr="00191C75">
        <w:rPr>
          <w:noProof/>
          <w:color w:val="auto"/>
          <w:lang w:val="pt-BR"/>
        </w:rPr>
        <w:t xml:space="preserve">Disponível em: </w:t>
      </w:r>
      <w:hyperlink r:id="rId17" w:history="1">
        <w:r w:rsidRPr="00191C75">
          <w:rPr>
            <w:rStyle w:val="Hyperlink"/>
            <w:noProof/>
            <w:color w:val="auto"/>
            <w:lang w:val="pt-BR"/>
          </w:rPr>
          <w:t>https://www.insper.edu.br/wp-content/uploads/2012/11/2010_wpe224.pdf</w:t>
        </w:r>
      </w:hyperlink>
      <w:r w:rsidRPr="00191C75">
        <w:rPr>
          <w:noProof/>
          <w:color w:val="auto"/>
          <w:lang w:val="pt-BR"/>
        </w:rPr>
        <w:t xml:space="preserve">. </w:t>
      </w:r>
      <w:r w:rsidRPr="00191C75">
        <w:rPr>
          <w:noProof/>
          <w:color w:val="auto"/>
        </w:rPr>
        <w:t xml:space="preserve">Acesso em: </w:t>
      </w:r>
      <w:r w:rsidR="00E0088C" w:rsidRPr="00191C75">
        <w:rPr>
          <w:noProof/>
          <w:color w:val="auto"/>
        </w:rPr>
        <w:t xml:space="preserve">02 </w:t>
      </w:r>
      <w:r w:rsidRPr="00191C75">
        <w:rPr>
          <w:noProof/>
          <w:color w:val="auto"/>
        </w:rPr>
        <w:t>mar.</w:t>
      </w:r>
      <w:r w:rsidR="00E0088C" w:rsidRPr="00191C75">
        <w:rPr>
          <w:noProof/>
          <w:color w:val="auto"/>
        </w:rPr>
        <w:t xml:space="preserve"> 2017</w:t>
      </w:r>
      <w:r w:rsidRPr="00191C75">
        <w:rPr>
          <w:noProof/>
          <w:color w:val="auto"/>
        </w:rPr>
        <w:t>.</w:t>
      </w:r>
    </w:p>
    <w:p w14:paraId="1B36B486" w14:textId="77777777" w:rsidR="00E0088C" w:rsidRPr="00191C75" w:rsidRDefault="00E0088C" w:rsidP="0077678B">
      <w:pPr>
        <w:pStyle w:val="Bibliography"/>
        <w:spacing w:line="240" w:lineRule="auto"/>
        <w:ind w:left="0" w:firstLine="567"/>
        <w:jc w:val="both"/>
        <w:rPr>
          <w:noProof/>
          <w:color w:val="auto"/>
        </w:rPr>
      </w:pPr>
    </w:p>
    <w:p w14:paraId="1CB82A23" w14:textId="40BE2A89" w:rsidR="00E0088C" w:rsidRPr="00191C75" w:rsidRDefault="00716ACC" w:rsidP="0077678B">
      <w:pPr>
        <w:pStyle w:val="Bibliography"/>
        <w:spacing w:line="240" w:lineRule="auto"/>
        <w:ind w:left="0" w:firstLine="567"/>
        <w:jc w:val="both"/>
        <w:rPr>
          <w:noProof/>
          <w:color w:val="auto"/>
        </w:rPr>
      </w:pPr>
      <w:r w:rsidRPr="00191C75">
        <w:rPr>
          <w:noProof/>
          <w:color w:val="auto"/>
        </w:rPr>
        <w:t>GOMPERS, P.; LERNER, J</w:t>
      </w:r>
      <w:r w:rsidR="00E0088C" w:rsidRPr="00191C75">
        <w:rPr>
          <w:noProof/>
          <w:color w:val="auto"/>
        </w:rPr>
        <w:t xml:space="preserve">. </w:t>
      </w:r>
      <w:r w:rsidR="00E0088C" w:rsidRPr="00191C75">
        <w:rPr>
          <w:i/>
          <w:noProof/>
          <w:color w:val="auto"/>
        </w:rPr>
        <w:t>Money chasing deals? The impact of fund inflows on private equity valuations</w:t>
      </w:r>
      <w:r w:rsidR="00E0088C" w:rsidRPr="00191C75">
        <w:rPr>
          <w:noProof/>
          <w:color w:val="auto"/>
        </w:rPr>
        <w:t xml:space="preserve">. </w:t>
      </w:r>
      <w:r w:rsidR="00E0088C" w:rsidRPr="00191C75">
        <w:rPr>
          <w:b/>
          <w:noProof/>
          <w:color w:val="auto"/>
        </w:rPr>
        <w:t>Journal of Financial Economics</w:t>
      </w:r>
      <w:r w:rsidR="00E0088C" w:rsidRPr="00191C75">
        <w:rPr>
          <w:noProof/>
          <w:color w:val="auto"/>
        </w:rPr>
        <w:t xml:space="preserve">, </w:t>
      </w:r>
      <w:r w:rsidRPr="00191C75">
        <w:rPr>
          <w:noProof/>
          <w:color w:val="auto"/>
        </w:rPr>
        <w:t>v.</w:t>
      </w:r>
      <w:r w:rsidR="00E0088C" w:rsidRPr="00191C75">
        <w:rPr>
          <w:noProof/>
          <w:color w:val="auto"/>
        </w:rPr>
        <w:t>55</w:t>
      </w:r>
      <w:r w:rsidRPr="00191C75">
        <w:rPr>
          <w:noProof/>
          <w:color w:val="auto"/>
        </w:rPr>
        <w:t>, n.</w:t>
      </w:r>
      <w:r w:rsidR="00E0088C" w:rsidRPr="00191C75">
        <w:rPr>
          <w:noProof/>
          <w:color w:val="auto"/>
        </w:rPr>
        <w:t>2, p. 281-325</w:t>
      </w:r>
      <w:r w:rsidRPr="00191C75">
        <w:rPr>
          <w:noProof/>
          <w:color w:val="auto"/>
        </w:rPr>
        <w:t>,</w:t>
      </w:r>
      <w:r w:rsidR="00F5649E" w:rsidRPr="00191C75">
        <w:rPr>
          <w:noProof/>
          <w:color w:val="auto"/>
        </w:rPr>
        <w:t xml:space="preserve"> 2000.</w:t>
      </w:r>
    </w:p>
    <w:p w14:paraId="60352FB1" w14:textId="77777777" w:rsidR="00E0088C" w:rsidRPr="00191C75" w:rsidRDefault="00E0088C" w:rsidP="0077678B">
      <w:pPr>
        <w:pStyle w:val="Bibliography"/>
        <w:spacing w:line="240" w:lineRule="auto"/>
        <w:ind w:left="0" w:firstLine="567"/>
        <w:jc w:val="both"/>
        <w:rPr>
          <w:noProof/>
          <w:color w:val="auto"/>
        </w:rPr>
      </w:pPr>
    </w:p>
    <w:p w14:paraId="7373953B" w14:textId="5822138D" w:rsidR="00E0088C" w:rsidRPr="00191C75" w:rsidRDefault="000A7A7C" w:rsidP="0077678B">
      <w:pPr>
        <w:pStyle w:val="Bibliography"/>
        <w:spacing w:line="240" w:lineRule="auto"/>
        <w:ind w:left="0" w:firstLine="567"/>
        <w:jc w:val="both"/>
        <w:rPr>
          <w:noProof/>
          <w:color w:val="auto"/>
        </w:rPr>
      </w:pPr>
      <w:r w:rsidRPr="00191C75">
        <w:rPr>
          <w:noProof/>
          <w:color w:val="auto"/>
        </w:rPr>
        <w:t>HEALY, P. M.; PALEPU, K. G</w:t>
      </w:r>
      <w:r w:rsidR="00E0088C" w:rsidRPr="00191C75">
        <w:rPr>
          <w:noProof/>
          <w:color w:val="auto"/>
        </w:rPr>
        <w:t xml:space="preserve">. </w:t>
      </w:r>
      <w:r w:rsidR="00E0088C" w:rsidRPr="00191C75">
        <w:rPr>
          <w:i/>
          <w:noProof/>
          <w:color w:val="auto"/>
        </w:rPr>
        <w:t>Information asymmetry, corporate disclosure, and the capital markets: a review of the empirical disclosure literature</w:t>
      </w:r>
      <w:r w:rsidR="00E0088C" w:rsidRPr="00191C75">
        <w:rPr>
          <w:noProof/>
          <w:color w:val="auto"/>
        </w:rPr>
        <w:t xml:space="preserve">. </w:t>
      </w:r>
      <w:r w:rsidR="00E0088C" w:rsidRPr="00191C75">
        <w:rPr>
          <w:b/>
          <w:noProof/>
          <w:color w:val="auto"/>
        </w:rPr>
        <w:t>Journal of Accounting and Economics</w:t>
      </w:r>
      <w:r w:rsidR="00E0088C" w:rsidRPr="00191C75">
        <w:rPr>
          <w:noProof/>
          <w:color w:val="auto"/>
        </w:rPr>
        <w:t xml:space="preserve">, </w:t>
      </w:r>
      <w:r w:rsidRPr="00191C75">
        <w:rPr>
          <w:noProof/>
          <w:color w:val="auto"/>
        </w:rPr>
        <w:t>v.</w:t>
      </w:r>
      <w:r w:rsidR="00E0088C" w:rsidRPr="00191C75">
        <w:rPr>
          <w:noProof/>
          <w:color w:val="auto"/>
        </w:rPr>
        <w:t>31</w:t>
      </w:r>
      <w:r w:rsidRPr="00191C75">
        <w:rPr>
          <w:noProof/>
          <w:color w:val="auto"/>
        </w:rPr>
        <w:t>, n.</w:t>
      </w:r>
      <w:r w:rsidR="00E0088C" w:rsidRPr="00191C75">
        <w:rPr>
          <w:noProof/>
          <w:color w:val="auto"/>
        </w:rPr>
        <w:t>1-3, p. 405-440</w:t>
      </w:r>
      <w:r w:rsidRPr="00191C75">
        <w:rPr>
          <w:noProof/>
          <w:color w:val="auto"/>
        </w:rPr>
        <w:t>,</w:t>
      </w:r>
      <w:r w:rsidR="00F5649E" w:rsidRPr="00191C75">
        <w:rPr>
          <w:noProof/>
          <w:color w:val="auto"/>
        </w:rPr>
        <w:t xml:space="preserve"> 2001.</w:t>
      </w:r>
    </w:p>
    <w:p w14:paraId="3714C58B" w14:textId="77777777" w:rsidR="00844C35" w:rsidRPr="00191C75" w:rsidRDefault="00844C35" w:rsidP="0077678B">
      <w:pPr>
        <w:pStyle w:val="Bibliography"/>
        <w:spacing w:line="240" w:lineRule="auto"/>
        <w:ind w:left="0" w:firstLine="0"/>
        <w:jc w:val="both"/>
        <w:rPr>
          <w:noProof/>
          <w:color w:val="auto"/>
        </w:rPr>
      </w:pPr>
    </w:p>
    <w:p w14:paraId="527DBC77" w14:textId="0AA2846A" w:rsidR="00E0088C" w:rsidRPr="00191C75" w:rsidRDefault="00797687" w:rsidP="0077678B">
      <w:pPr>
        <w:pStyle w:val="Bibliography"/>
        <w:spacing w:line="240" w:lineRule="auto"/>
        <w:ind w:left="0" w:firstLine="567"/>
        <w:jc w:val="both"/>
        <w:rPr>
          <w:noProof/>
          <w:color w:val="auto"/>
        </w:rPr>
      </w:pPr>
      <w:r w:rsidRPr="00191C75">
        <w:rPr>
          <w:noProof/>
          <w:color w:val="auto"/>
          <w:lang w:val="pl-PL"/>
        </w:rPr>
        <w:t>JENSEN, M. C.; MECKLING, W. H</w:t>
      </w:r>
      <w:r w:rsidR="00E0088C" w:rsidRPr="00191C75">
        <w:rPr>
          <w:noProof/>
          <w:color w:val="auto"/>
          <w:lang w:val="pl-PL"/>
        </w:rPr>
        <w:t xml:space="preserve">. </w:t>
      </w:r>
      <w:r w:rsidR="00E0088C" w:rsidRPr="00191C75">
        <w:rPr>
          <w:i/>
          <w:noProof/>
          <w:color w:val="auto"/>
        </w:rPr>
        <w:t>Theory of the firm: managerial behavior, agency costs and ownership structure</w:t>
      </w:r>
      <w:r w:rsidR="00E0088C" w:rsidRPr="00191C75">
        <w:rPr>
          <w:noProof/>
          <w:color w:val="auto"/>
        </w:rPr>
        <w:t xml:space="preserve">. </w:t>
      </w:r>
      <w:r w:rsidR="00E0088C" w:rsidRPr="00191C75">
        <w:rPr>
          <w:b/>
          <w:noProof/>
          <w:color w:val="auto"/>
        </w:rPr>
        <w:t>Journal of Financial Economics</w:t>
      </w:r>
      <w:r w:rsidR="00E0088C" w:rsidRPr="00191C75">
        <w:rPr>
          <w:noProof/>
          <w:color w:val="auto"/>
        </w:rPr>
        <w:t xml:space="preserve">, </w:t>
      </w:r>
      <w:r w:rsidR="00E364E0" w:rsidRPr="00191C75">
        <w:rPr>
          <w:noProof/>
          <w:color w:val="auto"/>
        </w:rPr>
        <w:t>v.</w:t>
      </w:r>
      <w:r w:rsidR="00E0088C" w:rsidRPr="00191C75">
        <w:rPr>
          <w:noProof/>
          <w:color w:val="auto"/>
        </w:rPr>
        <w:t>3</w:t>
      </w:r>
      <w:r w:rsidR="00E364E0" w:rsidRPr="00191C75">
        <w:rPr>
          <w:noProof/>
          <w:color w:val="auto"/>
        </w:rPr>
        <w:t>, n.</w:t>
      </w:r>
      <w:r w:rsidR="00E0088C" w:rsidRPr="00191C75">
        <w:rPr>
          <w:noProof/>
          <w:color w:val="auto"/>
        </w:rPr>
        <w:t>4, p. 305-360</w:t>
      </w:r>
      <w:r w:rsidR="00E364E0" w:rsidRPr="00191C75">
        <w:rPr>
          <w:noProof/>
          <w:color w:val="auto"/>
        </w:rPr>
        <w:t>,</w:t>
      </w:r>
      <w:r w:rsidR="00F5649E" w:rsidRPr="00191C75">
        <w:rPr>
          <w:noProof/>
          <w:color w:val="auto"/>
        </w:rPr>
        <w:t xml:space="preserve"> </w:t>
      </w:r>
      <w:r w:rsidR="00F5649E" w:rsidRPr="00191C75">
        <w:rPr>
          <w:noProof/>
          <w:color w:val="auto"/>
          <w:lang w:val="pl-PL"/>
        </w:rPr>
        <w:t>1976.</w:t>
      </w:r>
    </w:p>
    <w:p w14:paraId="3CB4076F" w14:textId="77777777" w:rsidR="00E0088C" w:rsidRPr="00191C75" w:rsidRDefault="00E0088C" w:rsidP="0077678B">
      <w:pPr>
        <w:pStyle w:val="Bibliography"/>
        <w:spacing w:line="240" w:lineRule="auto"/>
        <w:ind w:left="0" w:firstLine="567"/>
        <w:jc w:val="both"/>
        <w:rPr>
          <w:noProof/>
          <w:color w:val="auto"/>
        </w:rPr>
      </w:pPr>
    </w:p>
    <w:p w14:paraId="618DFDDF" w14:textId="682DC13D" w:rsidR="00E0088C" w:rsidRPr="00191C75" w:rsidRDefault="00DB425D" w:rsidP="0077678B">
      <w:pPr>
        <w:pStyle w:val="Bibliography"/>
        <w:spacing w:line="240" w:lineRule="auto"/>
        <w:ind w:left="0" w:firstLine="567"/>
        <w:jc w:val="both"/>
        <w:rPr>
          <w:noProof/>
          <w:color w:val="auto"/>
        </w:rPr>
      </w:pPr>
      <w:r w:rsidRPr="00191C75">
        <w:rPr>
          <w:noProof/>
          <w:color w:val="auto"/>
        </w:rPr>
        <w:t>KIRKULAK, B</w:t>
      </w:r>
      <w:r w:rsidR="00E0088C" w:rsidRPr="00191C75">
        <w:rPr>
          <w:noProof/>
          <w:color w:val="auto"/>
        </w:rPr>
        <w:t xml:space="preserve">. </w:t>
      </w:r>
      <w:r w:rsidR="00E0088C" w:rsidRPr="00191C75">
        <w:rPr>
          <w:i/>
          <w:noProof/>
          <w:color w:val="auto"/>
        </w:rPr>
        <w:t>The initial and long-run returns of japanese venture capital-backed and non-venture capital-backed IPOs</w:t>
      </w:r>
      <w:r w:rsidR="00E0088C" w:rsidRPr="00191C75">
        <w:rPr>
          <w:noProof/>
          <w:color w:val="auto"/>
        </w:rPr>
        <w:t xml:space="preserve">. </w:t>
      </w:r>
      <w:r w:rsidR="00E0088C" w:rsidRPr="00191C75">
        <w:rPr>
          <w:b/>
          <w:noProof/>
          <w:color w:val="auto"/>
        </w:rPr>
        <w:t>International Journal of Managerial Finance</w:t>
      </w:r>
      <w:r w:rsidR="00E0088C" w:rsidRPr="00191C75">
        <w:rPr>
          <w:noProof/>
          <w:color w:val="auto"/>
        </w:rPr>
        <w:t xml:space="preserve">, </w:t>
      </w:r>
      <w:r w:rsidRPr="00191C75">
        <w:rPr>
          <w:noProof/>
          <w:color w:val="auto"/>
        </w:rPr>
        <w:t>v.</w:t>
      </w:r>
      <w:r w:rsidR="00E0088C" w:rsidRPr="00191C75">
        <w:rPr>
          <w:noProof/>
          <w:color w:val="auto"/>
        </w:rPr>
        <w:t>4</w:t>
      </w:r>
      <w:r w:rsidRPr="00191C75">
        <w:rPr>
          <w:noProof/>
          <w:color w:val="auto"/>
        </w:rPr>
        <w:t>, n.</w:t>
      </w:r>
      <w:r w:rsidR="00E0088C" w:rsidRPr="00191C75">
        <w:rPr>
          <w:noProof/>
          <w:color w:val="auto"/>
        </w:rPr>
        <w:t>2, p. 112-135</w:t>
      </w:r>
      <w:r w:rsidRPr="00191C75">
        <w:rPr>
          <w:noProof/>
          <w:color w:val="auto"/>
        </w:rPr>
        <w:t>,</w:t>
      </w:r>
      <w:r w:rsidR="00F5649E" w:rsidRPr="00191C75">
        <w:rPr>
          <w:noProof/>
          <w:color w:val="auto"/>
        </w:rPr>
        <w:t xml:space="preserve"> 2008.</w:t>
      </w:r>
    </w:p>
    <w:p w14:paraId="1F5137F8" w14:textId="56E456D2" w:rsidR="00E0088C" w:rsidRPr="00191C75" w:rsidRDefault="00E0088C" w:rsidP="0077678B">
      <w:pPr>
        <w:pStyle w:val="Bibliography"/>
        <w:spacing w:line="240" w:lineRule="auto"/>
        <w:ind w:left="0" w:firstLine="567"/>
        <w:jc w:val="both"/>
        <w:rPr>
          <w:noProof/>
          <w:color w:val="auto"/>
        </w:rPr>
      </w:pPr>
    </w:p>
    <w:p w14:paraId="0D272275" w14:textId="34089F11" w:rsidR="002B30B3" w:rsidRPr="00191C75" w:rsidRDefault="00E776D6" w:rsidP="0077678B">
      <w:pPr>
        <w:pStyle w:val="Bibliography"/>
        <w:spacing w:line="240" w:lineRule="auto"/>
        <w:ind w:left="0" w:firstLine="567"/>
        <w:jc w:val="both"/>
        <w:rPr>
          <w:noProof/>
          <w:color w:val="auto"/>
        </w:rPr>
      </w:pPr>
      <w:r w:rsidRPr="00191C75">
        <w:rPr>
          <w:noProof/>
          <w:color w:val="auto"/>
        </w:rPr>
        <w:t>MACKINLAY, A. C</w:t>
      </w:r>
      <w:r w:rsidR="002B30B3" w:rsidRPr="00191C75">
        <w:rPr>
          <w:noProof/>
          <w:color w:val="auto"/>
        </w:rPr>
        <w:t xml:space="preserve">. </w:t>
      </w:r>
      <w:r w:rsidR="002B30B3" w:rsidRPr="00191C75">
        <w:rPr>
          <w:i/>
          <w:noProof/>
          <w:color w:val="auto"/>
        </w:rPr>
        <w:t>Event Studies in Economics and Finance</w:t>
      </w:r>
      <w:r w:rsidR="002B30B3" w:rsidRPr="00191C75">
        <w:rPr>
          <w:noProof/>
          <w:color w:val="auto"/>
        </w:rPr>
        <w:t xml:space="preserve">. </w:t>
      </w:r>
      <w:r w:rsidR="00115351" w:rsidRPr="00191C75">
        <w:rPr>
          <w:b/>
          <w:noProof/>
          <w:color w:val="auto"/>
        </w:rPr>
        <w:t>Journal of Economic Literature</w:t>
      </w:r>
      <w:r w:rsidR="002B30B3" w:rsidRPr="00191C75">
        <w:rPr>
          <w:noProof/>
          <w:color w:val="auto"/>
        </w:rPr>
        <w:t xml:space="preserve">, </w:t>
      </w:r>
      <w:r w:rsidRPr="00191C75">
        <w:rPr>
          <w:noProof/>
          <w:color w:val="auto"/>
        </w:rPr>
        <w:t>v.</w:t>
      </w:r>
      <w:r w:rsidR="002B30B3" w:rsidRPr="00191C75">
        <w:rPr>
          <w:noProof/>
          <w:color w:val="auto"/>
        </w:rPr>
        <w:t>15</w:t>
      </w:r>
      <w:r w:rsidRPr="00191C75">
        <w:rPr>
          <w:noProof/>
          <w:color w:val="auto"/>
        </w:rPr>
        <w:t>, n.</w:t>
      </w:r>
      <w:r w:rsidR="00115351" w:rsidRPr="00191C75">
        <w:rPr>
          <w:noProof/>
          <w:color w:val="auto"/>
        </w:rPr>
        <w:t>1</w:t>
      </w:r>
      <w:r w:rsidR="002B30B3" w:rsidRPr="00191C75">
        <w:rPr>
          <w:noProof/>
          <w:color w:val="auto"/>
        </w:rPr>
        <w:t xml:space="preserve">, p. </w:t>
      </w:r>
      <w:r w:rsidR="00115351" w:rsidRPr="00191C75">
        <w:rPr>
          <w:noProof/>
          <w:color w:val="auto"/>
        </w:rPr>
        <w:t>13</w:t>
      </w:r>
      <w:r w:rsidR="002B30B3" w:rsidRPr="00191C75">
        <w:rPr>
          <w:noProof/>
          <w:color w:val="auto"/>
        </w:rPr>
        <w:t>-</w:t>
      </w:r>
      <w:r w:rsidR="00115351" w:rsidRPr="00191C75">
        <w:rPr>
          <w:noProof/>
          <w:color w:val="auto"/>
        </w:rPr>
        <w:t>39</w:t>
      </w:r>
      <w:r w:rsidRPr="00191C75">
        <w:rPr>
          <w:noProof/>
          <w:color w:val="auto"/>
        </w:rPr>
        <w:t>,</w:t>
      </w:r>
      <w:r w:rsidR="00F5649E" w:rsidRPr="00191C75">
        <w:rPr>
          <w:noProof/>
          <w:color w:val="auto"/>
        </w:rPr>
        <w:t xml:space="preserve"> 1997</w:t>
      </w:r>
    </w:p>
    <w:p w14:paraId="0BA2A60A" w14:textId="77777777" w:rsidR="002B30B3" w:rsidRPr="00191C75" w:rsidRDefault="002B30B3" w:rsidP="0077678B">
      <w:pPr>
        <w:pStyle w:val="Bibliography"/>
        <w:spacing w:line="240" w:lineRule="auto"/>
        <w:ind w:left="0" w:firstLine="567"/>
        <w:jc w:val="both"/>
        <w:rPr>
          <w:noProof/>
          <w:color w:val="auto"/>
        </w:rPr>
      </w:pPr>
    </w:p>
    <w:p w14:paraId="09DCE469" w14:textId="6F630174" w:rsidR="00E0088C" w:rsidRPr="00191C75" w:rsidRDefault="00181769" w:rsidP="0077678B">
      <w:pPr>
        <w:pStyle w:val="Bibliography"/>
        <w:spacing w:line="240" w:lineRule="auto"/>
        <w:ind w:left="0" w:firstLine="567"/>
        <w:jc w:val="both"/>
        <w:rPr>
          <w:noProof/>
          <w:color w:val="auto"/>
          <w:lang w:val="pt-BR"/>
        </w:rPr>
      </w:pPr>
      <w:r w:rsidRPr="00191C75">
        <w:rPr>
          <w:noProof/>
          <w:color w:val="auto"/>
          <w:lang w:val="pt-BR"/>
        </w:rPr>
        <w:t xml:space="preserve">MAUAD, R. P.; FORTE, D. </w:t>
      </w:r>
      <w:r w:rsidR="00E0088C" w:rsidRPr="00191C75">
        <w:rPr>
          <w:i/>
          <w:noProof/>
          <w:color w:val="auto"/>
          <w:lang w:val="pt-BR"/>
        </w:rPr>
        <w:t xml:space="preserve">Private </w:t>
      </w:r>
      <w:r w:rsidRPr="00191C75">
        <w:rPr>
          <w:i/>
          <w:noProof/>
          <w:color w:val="auto"/>
          <w:lang w:val="pt-BR"/>
        </w:rPr>
        <w:t>e</w:t>
      </w:r>
      <w:r w:rsidR="00E0088C" w:rsidRPr="00191C75">
        <w:rPr>
          <w:i/>
          <w:noProof/>
          <w:color w:val="auto"/>
          <w:lang w:val="pt-BR"/>
        </w:rPr>
        <w:t>quity</w:t>
      </w:r>
      <w:r w:rsidR="00E0088C" w:rsidRPr="00191C75">
        <w:rPr>
          <w:noProof/>
          <w:color w:val="auto"/>
          <w:lang w:val="pt-BR"/>
        </w:rPr>
        <w:t xml:space="preserve"> gera valor ao acionista? Uma análise comparativa de retorno e risco após o IPO. </w:t>
      </w:r>
      <w:r w:rsidR="00E0088C" w:rsidRPr="00191C75">
        <w:rPr>
          <w:b/>
          <w:noProof/>
          <w:color w:val="auto"/>
          <w:lang w:val="pt-BR"/>
        </w:rPr>
        <w:t>Revista Brasileira de Finanças</w:t>
      </w:r>
      <w:r w:rsidR="00E0088C" w:rsidRPr="00191C75">
        <w:rPr>
          <w:noProof/>
          <w:color w:val="auto"/>
          <w:lang w:val="pt-BR"/>
        </w:rPr>
        <w:t xml:space="preserve">, </w:t>
      </w:r>
      <w:r w:rsidRPr="00191C75">
        <w:rPr>
          <w:noProof/>
          <w:color w:val="auto"/>
          <w:lang w:val="pt-BR"/>
        </w:rPr>
        <w:t>v.</w:t>
      </w:r>
      <w:r w:rsidR="00E0088C" w:rsidRPr="00191C75">
        <w:rPr>
          <w:noProof/>
          <w:color w:val="auto"/>
          <w:lang w:val="pt-BR"/>
        </w:rPr>
        <w:t>15</w:t>
      </w:r>
      <w:r w:rsidRPr="00191C75">
        <w:rPr>
          <w:noProof/>
          <w:color w:val="auto"/>
          <w:lang w:val="pt-BR"/>
        </w:rPr>
        <w:t>, n.</w:t>
      </w:r>
      <w:r w:rsidR="00E0088C" w:rsidRPr="00191C75">
        <w:rPr>
          <w:noProof/>
          <w:color w:val="auto"/>
          <w:lang w:val="pt-BR"/>
        </w:rPr>
        <w:t>2, p. 24-58</w:t>
      </w:r>
      <w:r w:rsidRPr="00191C75">
        <w:rPr>
          <w:noProof/>
          <w:color w:val="auto"/>
          <w:lang w:val="pt-BR"/>
        </w:rPr>
        <w:t>,</w:t>
      </w:r>
      <w:r w:rsidR="00F5649E" w:rsidRPr="00191C75">
        <w:rPr>
          <w:noProof/>
          <w:color w:val="auto"/>
          <w:lang w:val="pt-BR"/>
        </w:rPr>
        <w:t xml:space="preserve"> 2017.</w:t>
      </w:r>
    </w:p>
    <w:p w14:paraId="7A335646" w14:textId="77777777" w:rsidR="00E0088C" w:rsidRPr="00191C75" w:rsidRDefault="00E0088C" w:rsidP="0077678B">
      <w:pPr>
        <w:pStyle w:val="Bibliography"/>
        <w:spacing w:line="240" w:lineRule="auto"/>
        <w:ind w:left="0" w:firstLine="567"/>
        <w:jc w:val="both"/>
        <w:rPr>
          <w:noProof/>
          <w:color w:val="auto"/>
          <w:lang w:val="pt-BR"/>
        </w:rPr>
      </w:pPr>
    </w:p>
    <w:p w14:paraId="1E81BC3C" w14:textId="32D7F11E" w:rsidR="00E0088C" w:rsidRPr="00191C75" w:rsidRDefault="00CD24BC" w:rsidP="0077678B">
      <w:pPr>
        <w:pStyle w:val="Bibliography"/>
        <w:spacing w:line="240" w:lineRule="auto"/>
        <w:ind w:left="0" w:firstLine="567"/>
        <w:jc w:val="both"/>
        <w:rPr>
          <w:noProof/>
          <w:color w:val="auto"/>
          <w:lang w:val="pt-BR"/>
        </w:rPr>
      </w:pPr>
      <w:r w:rsidRPr="00191C75">
        <w:rPr>
          <w:noProof/>
          <w:color w:val="auto"/>
          <w:lang w:val="pt-BR"/>
        </w:rPr>
        <w:t>MEGGINSON, W. L.</w:t>
      </w:r>
      <w:r w:rsidR="000C0B52" w:rsidRPr="00191C75">
        <w:rPr>
          <w:noProof/>
          <w:color w:val="auto"/>
          <w:lang w:val="pt-BR"/>
        </w:rPr>
        <w:t>;</w:t>
      </w:r>
      <w:r w:rsidRPr="00191C75">
        <w:rPr>
          <w:noProof/>
          <w:color w:val="auto"/>
          <w:lang w:val="pt-BR"/>
        </w:rPr>
        <w:t xml:space="preserve"> WEISS, K</w:t>
      </w:r>
      <w:r w:rsidR="00E0088C" w:rsidRPr="00191C75">
        <w:rPr>
          <w:noProof/>
          <w:color w:val="auto"/>
          <w:lang w:val="pt-BR"/>
        </w:rPr>
        <w:t>. A.</w:t>
      </w:r>
      <w:r w:rsidR="000C0B52" w:rsidRPr="00191C75">
        <w:rPr>
          <w:noProof/>
          <w:color w:val="auto"/>
          <w:lang w:val="pt-BR"/>
        </w:rPr>
        <w:t xml:space="preserve"> </w:t>
      </w:r>
      <w:r w:rsidR="00E0088C" w:rsidRPr="00191C75">
        <w:rPr>
          <w:i/>
          <w:noProof/>
          <w:color w:val="auto"/>
          <w:lang w:val="pt-BR"/>
        </w:rPr>
        <w:t>Venture capitalist certification in initial public offerings</w:t>
      </w:r>
      <w:r w:rsidR="00E0088C" w:rsidRPr="00191C75">
        <w:rPr>
          <w:noProof/>
          <w:color w:val="auto"/>
          <w:lang w:val="pt-BR"/>
        </w:rPr>
        <w:t xml:space="preserve">. </w:t>
      </w:r>
      <w:r w:rsidR="00E0088C" w:rsidRPr="00191C75">
        <w:rPr>
          <w:b/>
          <w:noProof/>
          <w:color w:val="auto"/>
          <w:lang w:val="pt-BR"/>
        </w:rPr>
        <w:t>The Journal of Finance</w:t>
      </w:r>
      <w:r w:rsidR="00E0088C" w:rsidRPr="00191C75">
        <w:rPr>
          <w:noProof/>
          <w:color w:val="auto"/>
          <w:lang w:val="pt-BR"/>
        </w:rPr>
        <w:t xml:space="preserve">, </w:t>
      </w:r>
      <w:r w:rsidRPr="00191C75">
        <w:rPr>
          <w:noProof/>
          <w:color w:val="auto"/>
          <w:lang w:val="pt-BR"/>
        </w:rPr>
        <w:t>v.</w:t>
      </w:r>
      <w:r w:rsidR="00E0088C" w:rsidRPr="00191C75">
        <w:rPr>
          <w:noProof/>
          <w:color w:val="auto"/>
          <w:lang w:val="pt-BR"/>
        </w:rPr>
        <w:t>46</w:t>
      </w:r>
      <w:r w:rsidRPr="00191C75">
        <w:rPr>
          <w:noProof/>
          <w:color w:val="auto"/>
          <w:lang w:val="pt-BR"/>
        </w:rPr>
        <w:t>, n.</w:t>
      </w:r>
      <w:r w:rsidR="00E0088C" w:rsidRPr="00191C75">
        <w:rPr>
          <w:noProof/>
          <w:color w:val="auto"/>
          <w:lang w:val="pt-BR"/>
        </w:rPr>
        <w:t>3, p. 879-903</w:t>
      </w:r>
      <w:r w:rsidRPr="00191C75">
        <w:rPr>
          <w:noProof/>
          <w:color w:val="auto"/>
          <w:lang w:val="pt-BR"/>
        </w:rPr>
        <w:t>,</w:t>
      </w:r>
      <w:r w:rsidR="00F5649E" w:rsidRPr="00191C75">
        <w:rPr>
          <w:noProof/>
          <w:color w:val="auto"/>
          <w:lang w:val="pt-BR"/>
        </w:rPr>
        <w:t xml:space="preserve"> 1991.</w:t>
      </w:r>
    </w:p>
    <w:p w14:paraId="721F0690" w14:textId="77777777" w:rsidR="00E0088C" w:rsidRPr="00191C75" w:rsidRDefault="00E0088C" w:rsidP="0077678B">
      <w:pPr>
        <w:pStyle w:val="Bibliography"/>
        <w:spacing w:line="240" w:lineRule="auto"/>
        <w:ind w:left="0" w:firstLine="567"/>
        <w:jc w:val="both"/>
        <w:rPr>
          <w:noProof/>
          <w:color w:val="auto"/>
          <w:lang w:val="pt-BR"/>
        </w:rPr>
      </w:pPr>
    </w:p>
    <w:p w14:paraId="2B4BA811" w14:textId="46C04CD3" w:rsidR="00E0088C" w:rsidRPr="00191C75" w:rsidRDefault="000C0B52" w:rsidP="0077678B">
      <w:pPr>
        <w:pStyle w:val="Bibliography"/>
        <w:spacing w:line="240" w:lineRule="auto"/>
        <w:ind w:left="0" w:firstLine="567"/>
        <w:jc w:val="both"/>
        <w:rPr>
          <w:noProof/>
          <w:color w:val="auto"/>
        </w:rPr>
      </w:pPr>
      <w:r w:rsidRPr="00191C75">
        <w:rPr>
          <w:noProof/>
          <w:color w:val="auto"/>
          <w:lang w:val="pt-BR"/>
        </w:rPr>
        <w:t>MEIRELLES, J. L.; PIMENTA JÚNIOR, T.; REBELATTO, D. A</w:t>
      </w:r>
      <w:r w:rsidR="00E0088C" w:rsidRPr="00191C75">
        <w:rPr>
          <w:noProof/>
          <w:color w:val="auto"/>
          <w:lang w:val="pt-BR"/>
        </w:rPr>
        <w:t>.</w:t>
      </w:r>
      <w:r w:rsidR="00C81CB0" w:rsidRPr="00191C75">
        <w:rPr>
          <w:noProof/>
          <w:color w:val="auto"/>
          <w:lang w:val="pt-BR"/>
        </w:rPr>
        <w:t xml:space="preserve"> </w:t>
      </w:r>
      <w:r w:rsidR="00E0088C" w:rsidRPr="00191C75">
        <w:rPr>
          <w:i/>
          <w:noProof/>
          <w:color w:val="auto"/>
          <w:lang w:val="pt-BR"/>
        </w:rPr>
        <w:t>Venture capital e private equity</w:t>
      </w:r>
      <w:r w:rsidR="00E0088C" w:rsidRPr="00191C75">
        <w:rPr>
          <w:noProof/>
          <w:color w:val="auto"/>
          <w:lang w:val="pt-BR"/>
        </w:rPr>
        <w:t xml:space="preserve"> no Brasil: alternativa de financiamento para empresas de base tecnológica. </w:t>
      </w:r>
      <w:r w:rsidR="00E0088C" w:rsidRPr="00191C75">
        <w:rPr>
          <w:b/>
          <w:noProof/>
          <w:color w:val="auto"/>
        </w:rPr>
        <w:t>Gestão &amp; Produção</w:t>
      </w:r>
      <w:r w:rsidR="00E0088C" w:rsidRPr="00191C75">
        <w:rPr>
          <w:noProof/>
          <w:color w:val="auto"/>
        </w:rPr>
        <w:t xml:space="preserve">, </w:t>
      </w:r>
      <w:r w:rsidRPr="00191C75">
        <w:rPr>
          <w:noProof/>
          <w:color w:val="auto"/>
        </w:rPr>
        <w:t>v.</w:t>
      </w:r>
      <w:r w:rsidR="00E0088C" w:rsidRPr="00191C75">
        <w:rPr>
          <w:noProof/>
          <w:color w:val="auto"/>
        </w:rPr>
        <w:t>15</w:t>
      </w:r>
      <w:r w:rsidRPr="00191C75">
        <w:rPr>
          <w:noProof/>
          <w:color w:val="auto"/>
        </w:rPr>
        <w:t>, n.</w:t>
      </w:r>
      <w:r w:rsidR="00E0088C" w:rsidRPr="00191C75">
        <w:rPr>
          <w:noProof/>
          <w:color w:val="auto"/>
        </w:rPr>
        <w:t>1, p. 11-21</w:t>
      </w:r>
      <w:r w:rsidR="004231C5" w:rsidRPr="00191C75">
        <w:rPr>
          <w:noProof/>
          <w:color w:val="auto"/>
        </w:rPr>
        <w:t>,</w:t>
      </w:r>
      <w:r w:rsidR="00F5649E" w:rsidRPr="00191C75">
        <w:rPr>
          <w:noProof/>
          <w:color w:val="auto"/>
        </w:rPr>
        <w:t xml:space="preserve"> 2008.</w:t>
      </w:r>
    </w:p>
    <w:p w14:paraId="107B616E" w14:textId="77777777" w:rsidR="00E0088C" w:rsidRPr="00191C75" w:rsidRDefault="00E0088C" w:rsidP="0077678B">
      <w:pPr>
        <w:pStyle w:val="Bibliography"/>
        <w:spacing w:line="240" w:lineRule="auto"/>
        <w:ind w:left="0" w:firstLine="567"/>
        <w:jc w:val="both"/>
        <w:rPr>
          <w:noProof/>
          <w:color w:val="auto"/>
        </w:rPr>
      </w:pPr>
    </w:p>
    <w:p w14:paraId="685576D9" w14:textId="31F05AFF" w:rsidR="00E0088C" w:rsidRPr="00191C75" w:rsidRDefault="00D96516" w:rsidP="0077678B">
      <w:pPr>
        <w:pStyle w:val="Bibliography"/>
        <w:spacing w:line="240" w:lineRule="auto"/>
        <w:ind w:left="0" w:firstLine="567"/>
        <w:jc w:val="both"/>
        <w:rPr>
          <w:noProof/>
          <w:color w:val="auto"/>
        </w:rPr>
      </w:pPr>
      <w:r w:rsidRPr="00191C75">
        <w:rPr>
          <w:noProof/>
          <w:color w:val="auto"/>
        </w:rPr>
        <w:t>METRIK, A</w:t>
      </w:r>
      <w:r w:rsidR="00E0088C" w:rsidRPr="00191C75">
        <w:rPr>
          <w:noProof/>
          <w:color w:val="auto"/>
        </w:rPr>
        <w:t xml:space="preserve">. </w:t>
      </w:r>
      <w:r w:rsidR="00E0088C" w:rsidRPr="00191C75">
        <w:rPr>
          <w:b/>
          <w:i/>
          <w:noProof/>
          <w:color w:val="auto"/>
        </w:rPr>
        <w:t xml:space="preserve">Venture </w:t>
      </w:r>
      <w:r w:rsidR="005A2ECE" w:rsidRPr="00191C75">
        <w:rPr>
          <w:b/>
          <w:i/>
          <w:noProof/>
          <w:color w:val="auto"/>
        </w:rPr>
        <w:t>capital and the finance of innovation</w:t>
      </w:r>
      <w:r w:rsidR="00E0088C" w:rsidRPr="00191C75">
        <w:rPr>
          <w:b/>
          <w:i/>
          <w:noProof/>
          <w:color w:val="auto"/>
        </w:rPr>
        <w:t>.</w:t>
      </w:r>
      <w:r w:rsidR="00E0088C" w:rsidRPr="00191C75">
        <w:rPr>
          <w:noProof/>
          <w:color w:val="auto"/>
        </w:rPr>
        <w:t xml:space="preserve"> Danvers: John Wiley &amp; Sons Incorporated</w:t>
      </w:r>
      <w:r w:rsidRPr="00191C75">
        <w:rPr>
          <w:noProof/>
          <w:color w:val="auto"/>
        </w:rPr>
        <w:t>,</w:t>
      </w:r>
      <w:r w:rsidR="00F5649E" w:rsidRPr="00191C75">
        <w:rPr>
          <w:noProof/>
          <w:color w:val="auto"/>
        </w:rPr>
        <w:t xml:space="preserve"> 2010.</w:t>
      </w:r>
    </w:p>
    <w:p w14:paraId="31BD6462" w14:textId="77777777" w:rsidR="00E0088C" w:rsidRPr="00191C75" w:rsidRDefault="00E0088C" w:rsidP="0077678B">
      <w:pPr>
        <w:pStyle w:val="Bibliography"/>
        <w:spacing w:line="240" w:lineRule="auto"/>
        <w:ind w:left="0" w:firstLine="567"/>
        <w:jc w:val="both"/>
        <w:rPr>
          <w:noProof/>
          <w:color w:val="auto"/>
        </w:rPr>
      </w:pPr>
    </w:p>
    <w:p w14:paraId="49C0DF9D" w14:textId="0929CEE4" w:rsidR="00E0088C" w:rsidRPr="00191C75" w:rsidRDefault="00D916E1" w:rsidP="0077678B">
      <w:pPr>
        <w:pStyle w:val="Bibliography"/>
        <w:spacing w:line="240" w:lineRule="auto"/>
        <w:ind w:left="0" w:firstLine="567"/>
        <w:jc w:val="both"/>
        <w:rPr>
          <w:noProof/>
          <w:color w:val="auto"/>
          <w:lang w:val="pt-BR"/>
        </w:rPr>
      </w:pPr>
      <w:r w:rsidRPr="00191C75">
        <w:rPr>
          <w:noProof/>
          <w:color w:val="auto"/>
          <w:lang w:val="pt-BR"/>
        </w:rPr>
        <w:t xml:space="preserve">MUSSA, A.; YANG, E.; TROVÃO, R.; FAMÁ, R. </w:t>
      </w:r>
      <w:r w:rsidR="00E0088C" w:rsidRPr="00191C75">
        <w:rPr>
          <w:noProof/>
          <w:color w:val="auto"/>
          <w:lang w:val="pt-BR"/>
        </w:rPr>
        <w:t xml:space="preserve">Hipótese de mercados eficientes e finanças comportamentais – as discussões persistem. </w:t>
      </w:r>
      <w:r w:rsidR="00E0088C" w:rsidRPr="00191C75">
        <w:rPr>
          <w:b/>
          <w:noProof/>
          <w:color w:val="auto"/>
          <w:lang w:val="pt-BR"/>
        </w:rPr>
        <w:t>Revista FACEF</w:t>
      </w:r>
      <w:r w:rsidR="00E0088C" w:rsidRPr="00191C75">
        <w:rPr>
          <w:noProof/>
          <w:color w:val="auto"/>
          <w:lang w:val="pt-BR"/>
        </w:rPr>
        <w:t xml:space="preserve">, </w:t>
      </w:r>
      <w:r w:rsidRPr="00191C75">
        <w:rPr>
          <w:noProof/>
          <w:color w:val="auto"/>
          <w:lang w:val="pt-BR"/>
        </w:rPr>
        <w:t>v.</w:t>
      </w:r>
      <w:r w:rsidR="00E0088C" w:rsidRPr="00191C75">
        <w:rPr>
          <w:noProof/>
          <w:color w:val="auto"/>
          <w:lang w:val="pt-BR"/>
        </w:rPr>
        <w:t>11</w:t>
      </w:r>
      <w:r w:rsidRPr="00191C75">
        <w:rPr>
          <w:noProof/>
          <w:color w:val="auto"/>
          <w:lang w:val="pt-BR"/>
        </w:rPr>
        <w:t>, n.</w:t>
      </w:r>
      <w:r w:rsidR="00E0088C" w:rsidRPr="00191C75">
        <w:rPr>
          <w:noProof/>
          <w:color w:val="auto"/>
          <w:lang w:val="pt-BR"/>
        </w:rPr>
        <w:t>1, p. 5-17.</w:t>
      </w:r>
      <w:r w:rsidR="00F5649E" w:rsidRPr="00191C75">
        <w:rPr>
          <w:noProof/>
          <w:color w:val="auto"/>
          <w:lang w:val="pt-BR"/>
        </w:rPr>
        <w:t xml:space="preserve"> 2008</w:t>
      </w:r>
      <w:r w:rsidR="000136D0" w:rsidRPr="00191C75">
        <w:rPr>
          <w:noProof/>
          <w:color w:val="auto"/>
          <w:lang w:val="pt-BR"/>
        </w:rPr>
        <w:t>.</w:t>
      </w:r>
    </w:p>
    <w:p w14:paraId="0A58FDC7" w14:textId="77777777" w:rsidR="00126878" w:rsidRPr="00191C75" w:rsidRDefault="00126878" w:rsidP="0077678B">
      <w:pPr>
        <w:autoSpaceDE w:val="0"/>
        <w:autoSpaceDN w:val="0"/>
        <w:adjustRightInd w:val="0"/>
        <w:spacing w:after="0" w:line="240" w:lineRule="auto"/>
        <w:rPr>
          <w:rFonts w:ascii="Times New Roman" w:hAnsi="Times New Roman"/>
          <w:sz w:val="24"/>
          <w:szCs w:val="24"/>
          <w:lang w:eastAsia="pt-BR"/>
        </w:rPr>
      </w:pPr>
    </w:p>
    <w:p w14:paraId="4CABB1D0" w14:textId="77777777" w:rsidR="00C04680" w:rsidRPr="00191C75" w:rsidRDefault="00C04680">
      <w:pPr>
        <w:spacing w:after="0" w:line="240" w:lineRule="auto"/>
        <w:rPr>
          <w:rFonts w:ascii="Times New Roman" w:eastAsia="SimSun" w:hAnsi="Times New Roman"/>
          <w:noProof/>
          <w:sz w:val="24"/>
          <w:szCs w:val="24"/>
          <w:lang w:eastAsia="ja-JP"/>
        </w:rPr>
      </w:pPr>
      <w:r w:rsidRPr="00191C75">
        <w:rPr>
          <w:noProof/>
        </w:rPr>
        <w:br w:type="page"/>
      </w:r>
    </w:p>
    <w:p w14:paraId="76EEEC37" w14:textId="5FBC0F81" w:rsidR="00CB26D3" w:rsidRPr="00191C75" w:rsidRDefault="00CB26D3" w:rsidP="00CD00E0">
      <w:pPr>
        <w:pStyle w:val="Bibliography"/>
        <w:spacing w:line="240" w:lineRule="auto"/>
        <w:ind w:left="0" w:firstLine="567"/>
        <w:jc w:val="both"/>
        <w:rPr>
          <w:noProof/>
          <w:color w:val="auto"/>
          <w:lang w:val="pt-BR"/>
        </w:rPr>
      </w:pPr>
      <w:r w:rsidRPr="00191C75">
        <w:rPr>
          <w:noProof/>
          <w:color w:val="auto"/>
          <w:lang w:val="pt-BR"/>
        </w:rPr>
        <w:lastRenderedPageBreak/>
        <w:t xml:space="preserve">NASCIMENTO, J. C. H. B. </w:t>
      </w:r>
      <w:r w:rsidR="004B0BE1" w:rsidRPr="00191C75">
        <w:rPr>
          <w:noProof/>
          <w:color w:val="auto"/>
          <w:lang w:val="pt-BR"/>
        </w:rPr>
        <w:t>Reduzindo a assimetria informacional de estudos de casos em contabilidade: uma revisão de boas práticas de governança</w:t>
      </w:r>
      <w:r w:rsidRPr="00191C75">
        <w:rPr>
          <w:noProof/>
          <w:color w:val="auto"/>
          <w:lang w:val="pt-BR"/>
        </w:rPr>
        <w:t xml:space="preserve">. </w:t>
      </w:r>
      <w:r w:rsidRPr="00191C75">
        <w:rPr>
          <w:b/>
          <w:noProof/>
          <w:color w:val="auto"/>
          <w:lang w:val="pt-BR"/>
        </w:rPr>
        <w:t>Sociedade, Contabilidade e Gestão</w:t>
      </w:r>
      <w:r w:rsidRPr="00191C75">
        <w:rPr>
          <w:noProof/>
          <w:color w:val="auto"/>
          <w:lang w:val="pt-BR"/>
        </w:rPr>
        <w:t>,</w:t>
      </w:r>
      <w:r w:rsidR="00F61087" w:rsidRPr="00191C75">
        <w:rPr>
          <w:noProof/>
          <w:color w:val="auto"/>
          <w:lang w:val="pt-BR"/>
        </w:rPr>
        <w:t xml:space="preserve"> </w:t>
      </w:r>
      <w:r w:rsidRPr="00191C75">
        <w:rPr>
          <w:noProof/>
          <w:color w:val="auto"/>
          <w:lang w:val="pt-BR"/>
        </w:rPr>
        <w:t>v.13,</w:t>
      </w:r>
      <w:r w:rsidR="00F61087" w:rsidRPr="00191C75">
        <w:rPr>
          <w:noProof/>
          <w:color w:val="auto"/>
          <w:lang w:val="pt-BR"/>
        </w:rPr>
        <w:t xml:space="preserve"> </w:t>
      </w:r>
      <w:r w:rsidRPr="00191C75">
        <w:rPr>
          <w:noProof/>
          <w:color w:val="auto"/>
          <w:lang w:val="pt-BR"/>
        </w:rPr>
        <w:t>n.1, p.</w:t>
      </w:r>
      <w:r w:rsidR="00F61087" w:rsidRPr="00191C75">
        <w:rPr>
          <w:noProof/>
          <w:color w:val="auto"/>
          <w:lang w:val="pt-BR"/>
        </w:rPr>
        <w:t xml:space="preserve"> </w:t>
      </w:r>
      <w:r w:rsidRPr="00191C75">
        <w:rPr>
          <w:noProof/>
          <w:color w:val="auto"/>
          <w:lang w:val="pt-BR"/>
        </w:rPr>
        <w:t>1-15,</w:t>
      </w:r>
      <w:r w:rsidR="00435AA4" w:rsidRPr="00191C75">
        <w:rPr>
          <w:noProof/>
          <w:color w:val="auto"/>
          <w:lang w:val="pt-BR"/>
        </w:rPr>
        <w:t xml:space="preserve"> </w:t>
      </w:r>
      <w:r w:rsidRPr="00191C75">
        <w:rPr>
          <w:noProof/>
          <w:color w:val="auto"/>
          <w:lang w:val="pt-BR"/>
        </w:rPr>
        <w:t xml:space="preserve">2017. </w:t>
      </w:r>
      <w:r w:rsidR="00CD00E0" w:rsidRPr="00191C75">
        <w:rPr>
          <w:noProof/>
          <w:color w:val="auto"/>
          <w:lang w:val="pt-BR"/>
        </w:rPr>
        <w:t xml:space="preserve">Disponível em: </w:t>
      </w:r>
      <w:r w:rsidR="00747E4D" w:rsidRPr="00191C75">
        <w:rPr>
          <w:noProof/>
          <w:color w:val="auto"/>
          <w:lang w:val="pt-BR"/>
        </w:rPr>
        <w:t>&lt;</w:t>
      </w:r>
      <w:hyperlink r:id="rId18" w:history="1">
        <w:r w:rsidR="00747E4D" w:rsidRPr="00191C75">
          <w:rPr>
            <w:rStyle w:val="Hyperlink"/>
            <w:noProof/>
            <w:color w:val="auto"/>
            <w:lang w:val="pt-BR"/>
          </w:rPr>
          <w:t xml:space="preserve">https://revistas.ufrj.br/index.php/ scg/article/view/14171/9524 </w:t>
        </w:r>
      </w:hyperlink>
      <w:r w:rsidR="00747E4D" w:rsidRPr="00191C75">
        <w:rPr>
          <w:noProof/>
          <w:color w:val="auto"/>
          <w:lang w:val="pt-BR"/>
        </w:rPr>
        <w:t>&gt;</w:t>
      </w:r>
      <w:r w:rsidR="00CD00E0" w:rsidRPr="00191C75">
        <w:rPr>
          <w:noProof/>
          <w:color w:val="auto"/>
          <w:lang w:val="pt-BR"/>
        </w:rPr>
        <w:t>. Acesso em: 28 set. 2018.</w:t>
      </w:r>
    </w:p>
    <w:p w14:paraId="074F65FA" w14:textId="77777777" w:rsidR="00E0088C" w:rsidRPr="00191C75" w:rsidRDefault="00E0088C" w:rsidP="0077678B">
      <w:pPr>
        <w:pStyle w:val="Bibliography"/>
        <w:spacing w:line="240" w:lineRule="auto"/>
        <w:ind w:left="0" w:firstLine="567"/>
        <w:jc w:val="both"/>
        <w:rPr>
          <w:noProof/>
          <w:color w:val="auto"/>
          <w:lang w:val="pt-BR"/>
        </w:rPr>
      </w:pPr>
    </w:p>
    <w:p w14:paraId="0C07D66E" w14:textId="3472EF23" w:rsidR="00E0088C" w:rsidRPr="00191C75" w:rsidRDefault="006502EB" w:rsidP="0077678B">
      <w:pPr>
        <w:pStyle w:val="Bibliography"/>
        <w:spacing w:line="240" w:lineRule="auto"/>
        <w:ind w:left="0" w:firstLine="567"/>
        <w:jc w:val="both"/>
        <w:rPr>
          <w:noProof/>
          <w:color w:val="auto"/>
          <w:lang w:val="pt-BR"/>
        </w:rPr>
      </w:pPr>
      <w:r w:rsidRPr="00191C75">
        <w:rPr>
          <w:noProof/>
          <w:color w:val="auto"/>
          <w:lang w:val="pt-BR"/>
        </w:rPr>
        <w:t>RIBEIRO, L. L.; TIRONI, L. F.</w:t>
      </w:r>
      <w:r w:rsidR="00E0088C" w:rsidRPr="00191C75">
        <w:rPr>
          <w:noProof/>
          <w:color w:val="auto"/>
          <w:lang w:val="pt-BR"/>
        </w:rPr>
        <w:t xml:space="preserve"> </w:t>
      </w:r>
      <w:r w:rsidR="00E0088C" w:rsidRPr="00191C75">
        <w:rPr>
          <w:b/>
          <w:noProof/>
          <w:color w:val="auto"/>
          <w:lang w:val="pt-BR"/>
        </w:rPr>
        <w:t>Ativos intangíveis: avaliação e mensuração no contexto de private equity e venture capital.</w:t>
      </w:r>
      <w:r w:rsidR="00E0088C" w:rsidRPr="00191C75">
        <w:rPr>
          <w:noProof/>
          <w:color w:val="auto"/>
          <w:lang w:val="pt-BR"/>
        </w:rPr>
        <w:t xml:space="preserve"> Texto para </w:t>
      </w:r>
      <w:r w:rsidR="005A2ECE" w:rsidRPr="00191C75">
        <w:rPr>
          <w:noProof/>
          <w:color w:val="auto"/>
          <w:lang w:val="pt-BR"/>
        </w:rPr>
        <w:t>d</w:t>
      </w:r>
      <w:r w:rsidR="00E0088C" w:rsidRPr="00191C75">
        <w:rPr>
          <w:noProof/>
          <w:color w:val="auto"/>
          <w:lang w:val="pt-BR"/>
        </w:rPr>
        <w:t>iscussão, n. 1</w:t>
      </w:r>
      <w:r w:rsidRPr="00191C75">
        <w:rPr>
          <w:noProof/>
          <w:color w:val="auto"/>
          <w:lang w:val="pt-BR"/>
        </w:rPr>
        <w:t>.</w:t>
      </w:r>
      <w:r w:rsidR="00E0088C" w:rsidRPr="00191C75">
        <w:rPr>
          <w:noProof/>
          <w:color w:val="auto"/>
          <w:lang w:val="pt-BR"/>
        </w:rPr>
        <w:t>280, Brasília</w:t>
      </w:r>
      <w:r w:rsidR="005A2ECE" w:rsidRPr="00191C75">
        <w:rPr>
          <w:noProof/>
          <w:color w:val="auto"/>
          <w:lang w:val="pt-BR"/>
        </w:rPr>
        <w:t>, DF</w:t>
      </w:r>
      <w:r w:rsidR="00233EDB" w:rsidRPr="00191C75">
        <w:rPr>
          <w:noProof/>
          <w:color w:val="auto"/>
          <w:lang w:val="pt-BR"/>
        </w:rPr>
        <w:t>, Brasil</w:t>
      </w:r>
      <w:r w:rsidR="00E0088C" w:rsidRPr="00191C75">
        <w:rPr>
          <w:noProof/>
          <w:color w:val="auto"/>
          <w:lang w:val="pt-BR"/>
        </w:rPr>
        <w:t xml:space="preserve">. </w:t>
      </w:r>
      <w:r w:rsidR="00435AA4" w:rsidRPr="00191C75">
        <w:rPr>
          <w:noProof/>
          <w:color w:val="auto"/>
          <w:lang w:val="pt-BR"/>
        </w:rPr>
        <w:t xml:space="preserve">2007. </w:t>
      </w:r>
      <w:r w:rsidRPr="00191C75">
        <w:rPr>
          <w:noProof/>
          <w:color w:val="auto"/>
          <w:lang w:val="pt-BR"/>
        </w:rPr>
        <w:t>Disponível em: &lt;</w:t>
      </w:r>
      <w:hyperlink r:id="rId19" w:history="1">
        <w:r w:rsidRPr="00191C75">
          <w:rPr>
            <w:rStyle w:val="Hyperlink"/>
            <w:noProof/>
            <w:color w:val="auto"/>
            <w:lang w:val="pt-BR"/>
          </w:rPr>
          <w:t>http://www.ipea.gov.br/portal/ images/stories/PDFs/TDs/td_1280.pdf</w:t>
        </w:r>
      </w:hyperlink>
      <w:r w:rsidRPr="00191C75">
        <w:rPr>
          <w:rStyle w:val="Hyperlink"/>
          <w:noProof/>
          <w:color w:val="auto"/>
          <w:u w:val="none"/>
          <w:lang w:val="pt-BR"/>
        </w:rPr>
        <w:t>&gt;</w:t>
      </w:r>
      <w:r w:rsidRPr="00191C75">
        <w:rPr>
          <w:noProof/>
          <w:color w:val="auto"/>
          <w:lang w:val="pt-BR"/>
        </w:rPr>
        <w:t xml:space="preserve">. Acesso em: </w:t>
      </w:r>
      <w:r w:rsidR="00E0088C" w:rsidRPr="00191C75">
        <w:rPr>
          <w:noProof/>
          <w:color w:val="auto"/>
          <w:lang w:val="pt-BR"/>
        </w:rPr>
        <w:t>23 mar</w:t>
      </w:r>
      <w:r w:rsidRPr="00191C75">
        <w:rPr>
          <w:noProof/>
          <w:color w:val="auto"/>
          <w:lang w:val="pt-BR"/>
        </w:rPr>
        <w:t>.</w:t>
      </w:r>
      <w:r w:rsidR="00E0088C" w:rsidRPr="00191C75">
        <w:rPr>
          <w:noProof/>
          <w:color w:val="auto"/>
          <w:lang w:val="pt-BR"/>
        </w:rPr>
        <w:t xml:space="preserve"> 2017</w:t>
      </w:r>
    </w:p>
    <w:p w14:paraId="23B9ECB0" w14:textId="77777777" w:rsidR="00E0088C" w:rsidRPr="00191C75" w:rsidRDefault="00E0088C" w:rsidP="0077678B">
      <w:pPr>
        <w:pStyle w:val="Bibliography"/>
        <w:spacing w:line="240" w:lineRule="auto"/>
        <w:ind w:left="0" w:firstLine="567"/>
        <w:jc w:val="both"/>
        <w:rPr>
          <w:noProof/>
          <w:color w:val="auto"/>
          <w:lang w:val="pt-BR"/>
        </w:rPr>
      </w:pPr>
    </w:p>
    <w:p w14:paraId="2EB9F4A7" w14:textId="33F733FC" w:rsidR="00E0088C" w:rsidRPr="00191C75" w:rsidRDefault="00551F6B" w:rsidP="0077678B">
      <w:pPr>
        <w:pStyle w:val="Bibliography"/>
        <w:spacing w:line="240" w:lineRule="auto"/>
        <w:ind w:left="0" w:firstLine="567"/>
        <w:jc w:val="both"/>
        <w:rPr>
          <w:noProof/>
          <w:color w:val="auto"/>
        </w:rPr>
      </w:pPr>
      <w:r w:rsidRPr="00191C75">
        <w:rPr>
          <w:noProof/>
          <w:color w:val="auto"/>
          <w:lang w:val="pl-PL"/>
        </w:rPr>
        <w:t>ROSS, S. A.; WESTERFIELD, R. W.; JAFFE, J. F</w:t>
      </w:r>
      <w:r w:rsidR="00E0088C" w:rsidRPr="00191C75">
        <w:rPr>
          <w:noProof/>
          <w:color w:val="auto"/>
          <w:lang w:val="pl-PL"/>
        </w:rPr>
        <w:t xml:space="preserve">. </w:t>
      </w:r>
      <w:r w:rsidR="00E0088C" w:rsidRPr="00191C75">
        <w:rPr>
          <w:b/>
          <w:noProof/>
          <w:color w:val="auto"/>
          <w:lang w:val="pt-BR"/>
        </w:rPr>
        <w:t xml:space="preserve">Administração financeira: </w:t>
      </w:r>
      <w:r w:rsidR="00E0088C" w:rsidRPr="00191C75">
        <w:rPr>
          <w:b/>
          <w:i/>
          <w:noProof/>
          <w:color w:val="auto"/>
          <w:lang w:val="pt-BR"/>
        </w:rPr>
        <w:t>corporate finance</w:t>
      </w:r>
      <w:r w:rsidR="00E0088C" w:rsidRPr="00191C75">
        <w:rPr>
          <w:b/>
          <w:noProof/>
          <w:color w:val="auto"/>
          <w:lang w:val="pt-BR"/>
        </w:rPr>
        <w:t>.</w:t>
      </w:r>
      <w:r w:rsidR="00E0088C" w:rsidRPr="00191C75">
        <w:rPr>
          <w:noProof/>
          <w:color w:val="auto"/>
          <w:lang w:val="pt-BR"/>
        </w:rPr>
        <w:t xml:space="preserve"> </w:t>
      </w:r>
      <w:r w:rsidR="00E0088C" w:rsidRPr="00191C75">
        <w:rPr>
          <w:noProof/>
          <w:color w:val="auto"/>
        </w:rPr>
        <w:t>São Paulo: Atlas</w:t>
      </w:r>
      <w:r w:rsidRPr="00191C75">
        <w:rPr>
          <w:noProof/>
          <w:color w:val="auto"/>
        </w:rPr>
        <w:t>,</w:t>
      </w:r>
      <w:r w:rsidR="00F5649E" w:rsidRPr="00191C75">
        <w:rPr>
          <w:noProof/>
          <w:color w:val="auto"/>
        </w:rPr>
        <w:t xml:space="preserve"> </w:t>
      </w:r>
      <w:r w:rsidR="00F5649E" w:rsidRPr="00191C75">
        <w:rPr>
          <w:noProof/>
          <w:color w:val="auto"/>
          <w:lang w:val="pl-PL"/>
        </w:rPr>
        <w:t>1995.</w:t>
      </w:r>
    </w:p>
    <w:p w14:paraId="2EEB86E8" w14:textId="77777777" w:rsidR="00E0088C" w:rsidRPr="00191C75" w:rsidRDefault="00E0088C" w:rsidP="0077678B">
      <w:pPr>
        <w:pStyle w:val="Bibliography"/>
        <w:spacing w:line="240" w:lineRule="auto"/>
        <w:ind w:left="0" w:firstLine="567"/>
        <w:jc w:val="both"/>
        <w:rPr>
          <w:noProof/>
          <w:color w:val="auto"/>
        </w:rPr>
      </w:pPr>
    </w:p>
    <w:p w14:paraId="1CA33CC3" w14:textId="21D0905B" w:rsidR="00E0088C" w:rsidRPr="00191C75" w:rsidRDefault="00556752" w:rsidP="0077678B">
      <w:pPr>
        <w:pStyle w:val="Bibliography"/>
        <w:spacing w:line="240" w:lineRule="auto"/>
        <w:ind w:left="0" w:firstLine="567"/>
        <w:jc w:val="both"/>
        <w:rPr>
          <w:noProof/>
          <w:color w:val="auto"/>
          <w:lang w:val="pt-BR"/>
        </w:rPr>
      </w:pPr>
      <w:r w:rsidRPr="00191C75">
        <w:rPr>
          <w:noProof/>
          <w:color w:val="auto"/>
        </w:rPr>
        <w:t xml:space="preserve">ROSSI, F. </w:t>
      </w:r>
      <w:r w:rsidR="00E0088C" w:rsidRPr="00191C75">
        <w:rPr>
          <w:i/>
          <w:noProof/>
          <w:color w:val="auto"/>
        </w:rPr>
        <w:t>The long-run performance of IPOs in Italy: a comparison of venture and non-venture-backed companies</w:t>
      </w:r>
      <w:r w:rsidR="00E0088C" w:rsidRPr="00191C75">
        <w:rPr>
          <w:noProof/>
          <w:color w:val="auto"/>
        </w:rPr>
        <w:t xml:space="preserve">. </w:t>
      </w:r>
      <w:r w:rsidR="00E0088C" w:rsidRPr="00191C75">
        <w:rPr>
          <w:b/>
          <w:noProof/>
          <w:color w:val="auto"/>
          <w:lang w:val="pt-BR"/>
        </w:rPr>
        <w:t>Chinese Business Review</w:t>
      </w:r>
      <w:r w:rsidR="00E0088C" w:rsidRPr="00191C75">
        <w:rPr>
          <w:noProof/>
          <w:color w:val="auto"/>
          <w:lang w:val="pt-BR"/>
        </w:rPr>
        <w:t xml:space="preserve">, </w:t>
      </w:r>
      <w:r w:rsidRPr="00191C75">
        <w:rPr>
          <w:noProof/>
          <w:color w:val="auto"/>
          <w:lang w:val="pt-BR"/>
        </w:rPr>
        <w:t>v.</w:t>
      </w:r>
      <w:r w:rsidR="00E0088C" w:rsidRPr="00191C75">
        <w:rPr>
          <w:noProof/>
          <w:color w:val="auto"/>
          <w:lang w:val="pt-BR"/>
        </w:rPr>
        <w:t>11</w:t>
      </w:r>
      <w:r w:rsidRPr="00191C75">
        <w:rPr>
          <w:noProof/>
          <w:color w:val="auto"/>
          <w:lang w:val="pt-BR"/>
        </w:rPr>
        <w:t>, n.</w:t>
      </w:r>
      <w:r w:rsidR="00E0088C" w:rsidRPr="00191C75">
        <w:rPr>
          <w:noProof/>
          <w:color w:val="auto"/>
          <w:lang w:val="pt-BR"/>
        </w:rPr>
        <w:t>8, p. 691-705</w:t>
      </w:r>
      <w:r w:rsidRPr="00191C75">
        <w:rPr>
          <w:noProof/>
          <w:color w:val="auto"/>
          <w:lang w:val="pt-BR"/>
        </w:rPr>
        <w:t>,</w:t>
      </w:r>
      <w:r w:rsidR="00F5649E" w:rsidRPr="00191C75">
        <w:rPr>
          <w:noProof/>
          <w:color w:val="auto"/>
          <w:lang w:val="pt-BR"/>
        </w:rPr>
        <w:t xml:space="preserve"> 2012.</w:t>
      </w:r>
    </w:p>
    <w:p w14:paraId="3D5ECD72" w14:textId="77777777" w:rsidR="00E0088C" w:rsidRPr="00191C75" w:rsidRDefault="00E0088C" w:rsidP="0077678B">
      <w:pPr>
        <w:pStyle w:val="Bibliography"/>
        <w:spacing w:line="240" w:lineRule="auto"/>
        <w:ind w:left="0" w:firstLine="567"/>
        <w:jc w:val="both"/>
        <w:rPr>
          <w:noProof/>
          <w:color w:val="auto"/>
          <w:lang w:val="pt-BR"/>
        </w:rPr>
      </w:pPr>
    </w:p>
    <w:p w14:paraId="78FC68A0" w14:textId="35D26F01" w:rsidR="00E0088C" w:rsidRPr="00191C75" w:rsidRDefault="00FF74D0" w:rsidP="0077678B">
      <w:pPr>
        <w:pStyle w:val="Bibliography"/>
        <w:spacing w:line="240" w:lineRule="auto"/>
        <w:ind w:left="0" w:firstLine="567"/>
        <w:jc w:val="both"/>
        <w:rPr>
          <w:noProof/>
          <w:color w:val="auto"/>
          <w:lang w:val="pt-BR"/>
        </w:rPr>
      </w:pPr>
      <w:r w:rsidRPr="00191C75">
        <w:rPr>
          <w:noProof/>
          <w:color w:val="auto"/>
          <w:lang w:val="pt-BR"/>
        </w:rPr>
        <w:t>ROSSI, L. E</w:t>
      </w:r>
      <w:r w:rsidR="00E0088C" w:rsidRPr="00191C75">
        <w:rPr>
          <w:noProof/>
          <w:color w:val="auto"/>
          <w:lang w:val="pt-BR"/>
        </w:rPr>
        <w:t xml:space="preserve">. </w:t>
      </w:r>
      <w:r w:rsidR="00E0088C" w:rsidRPr="00191C75">
        <w:rPr>
          <w:b/>
          <w:noProof/>
          <w:color w:val="auto"/>
          <w:lang w:val="pt-BR"/>
        </w:rPr>
        <w:t xml:space="preserve">Manual de </w:t>
      </w:r>
      <w:r w:rsidR="00E0088C" w:rsidRPr="00191C75">
        <w:rPr>
          <w:b/>
          <w:i/>
          <w:noProof/>
          <w:color w:val="auto"/>
          <w:lang w:val="pt-BR"/>
        </w:rPr>
        <w:t>venture capital e private equity</w:t>
      </w:r>
      <w:r w:rsidR="00E0088C" w:rsidRPr="00191C75">
        <w:rPr>
          <w:b/>
          <w:noProof/>
          <w:color w:val="auto"/>
          <w:lang w:val="pt-BR"/>
        </w:rPr>
        <w:t>: passos para atração de investidores e alocação de recursos.</w:t>
      </w:r>
      <w:r w:rsidR="00E0088C" w:rsidRPr="00191C75">
        <w:rPr>
          <w:noProof/>
          <w:color w:val="auto"/>
          <w:lang w:val="pt-BR"/>
        </w:rPr>
        <w:t xml:space="preserve"> São Paulo: Atlas</w:t>
      </w:r>
      <w:r w:rsidRPr="00191C75">
        <w:rPr>
          <w:noProof/>
          <w:color w:val="auto"/>
          <w:lang w:val="pt-BR"/>
        </w:rPr>
        <w:t>,</w:t>
      </w:r>
      <w:r w:rsidR="00F5649E" w:rsidRPr="00191C75">
        <w:rPr>
          <w:noProof/>
          <w:color w:val="auto"/>
          <w:lang w:val="pt-BR"/>
        </w:rPr>
        <w:t xml:space="preserve"> 2010.</w:t>
      </w:r>
    </w:p>
    <w:p w14:paraId="0646B6A4" w14:textId="77777777" w:rsidR="00E0088C" w:rsidRPr="00191C75" w:rsidRDefault="00E0088C" w:rsidP="0077678B">
      <w:pPr>
        <w:pStyle w:val="Bibliography"/>
        <w:spacing w:line="240" w:lineRule="auto"/>
        <w:ind w:left="0" w:firstLine="567"/>
        <w:jc w:val="both"/>
        <w:rPr>
          <w:noProof/>
          <w:color w:val="auto"/>
          <w:lang w:val="pt-BR"/>
        </w:rPr>
      </w:pPr>
    </w:p>
    <w:p w14:paraId="61D9766F" w14:textId="133BC965" w:rsidR="00E0088C" w:rsidRPr="00191C75" w:rsidRDefault="00E82FC5" w:rsidP="0077678B">
      <w:pPr>
        <w:pStyle w:val="Bibliography"/>
        <w:spacing w:line="240" w:lineRule="auto"/>
        <w:ind w:left="0" w:firstLine="567"/>
        <w:jc w:val="both"/>
        <w:rPr>
          <w:noProof/>
          <w:color w:val="auto"/>
          <w:lang w:val="pt-BR"/>
        </w:rPr>
      </w:pPr>
      <w:r w:rsidRPr="00191C75">
        <w:rPr>
          <w:noProof/>
          <w:color w:val="auto"/>
          <w:lang w:val="pt-BR"/>
        </w:rPr>
        <w:t>SERASA EXPERIAN</w:t>
      </w:r>
      <w:r w:rsidR="00E0088C" w:rsidRPr="00191C75">
        <w:rPr>
          <w:noProof/>
          <w:color w:val="auto"/>
          <w:lang w:val="pt-BR"/>
        </w:rPr>
        <w:t xml:space="preserve">. </w:t>
      </w:r>
      <w:r w:rsidR="00E0088C" w:rsidRPr="00191C75">
        <w:rPr>
          <w:b/>
          <w:noProof/>
          <w:color w:val="auto"/>
          <w:lang w:val="pt-BR"/>
        </w:rPr>
        <w:t>Com crise e desemprego, abertura de empresas cresce 5,3% em 2015,</w:t>
      </w:r>
      <w:r w:rsidR="00AC05DF" w:rsidRPr="00191C75">
        <w:rPr>
          <w:b/>
          <w:noProof/>
          <w:color w:val="auto"/>
          <w:lang w:val="pt-BR"/>
        </w:rPr>
        <w:t xml:space="preserve"> r</w:t>
      </w:r>
      <w:r w:rsidR="00E0088C" w:rsidRPr="00191C75">
        <w:rPr>
          <w:b/>
          <w:noProof/>
          <w:color w:val="auto"/>
          <w:lang w:val="pt-BR"/>
        </w:rPr>
        <w:t>evela Serasa Experian</w:t>
      </w:r>
      <w:r w:rsidRPr="00191C75">
        <w:rPr>
          <w:b/>
          <w:noProof/>
          <w:color w:val="auto"/>
          <w:lang w:val="pt-BR"/>
        </w:rPr>
        <w:t>,</w:t>
      </w:r>
      <w:r w:rsidR="00E0088C" w:rsidRPr="00191C75">
        <w:rPr>
          <w:noProof/>
          <w:color w:val="auto"/>
          <w:lang w:val="pt-BR"/>
        </w:rPr>
        <w:t xml:space="preserve"> </w:t>
      </w:r>
      <w:r w:rsidR="00435AA4" w:rsidRPr="00191C75">
        <w:rPr>
          <w:noProof/>
          <w:color w:val="auto"/>
          <w:lang w:val="pt-BR"/>
        </w:rPr>
        <w:t>2016.</w:t>
      </w:r>
      <w:r w:rsidRPr="00191C75">
        <w:rPr>
          <w:noProof/>
          <w:color w:val="auto"/>
          <w:lang w:val="pt-BR"/>
        </w:rPr>
        <w:t xml:space="preserve"> Disponível em: &lt; </w:t>
      </w:r>
      <w:hyperlink r:id="rId20" w:history="1">
        <w:r w:rsidRPr="00191C75">
          <w:rPr>
            <w:rStyle w:val="Hyperlink"/>
            <w:noProof/>
            <w:color w:val="auto"/>
            <w:lang w:val="pt-BR"/>
          </w:rPr>
          <w:t>http://noticias.serasaexperian.com.br/blog/2016/02/17/com-crise-e-desemprego-abertura-de-empresas-cresce-53-em-2015-revela-serasa-experian/</w:t>
        </w:r>
      </w:hyperlink>
      <w:r w:rsidRPr="00191C75">
        <w:rPr>
          <w:noProof/>
          <w:color w:val="auto"/>
          <w:lang w:val="pt-BR"/>
        </w:rPr>
        <w:t xml:space="preserve">&gt;. Acesso em: </w:t>
      </w:r>
      <w:r w:rsidR="00E0088C" w:rsidRPr="00191C75">
        <w:rPr>
          <w:noProof/>
          <w:color w:val="auto"/>
          <w:lang w:val="pt-BR"/>
        </w:rPr>
        <w:t>11 mar</w:t>
      </w:r>
      <w:r w:rsidRPr="00191C75">
        <w:rPr>
          <w:noProof/>
          <w:color w:val="auto"/>
          <w:lang w:val="pt-BR"/>
        </w:rPr>
        <w:t>.</w:t>
      </w:r>
      <w:r w:rsidR="00E0088C" w:rsidRPr="00191C75">
        <w:rPr>
          <w:noProof/>
          <w:color w:val="auto"/>
          <w:lang w:val="pt-BR"/>
        </w:rPr>
        <w:t xml:space="preserve"> 2017</w:t>
      </w:r>
      <w:r w:rsidRPr="00191C75">
        <w:rPr>
          <w:noProof/>
          <w:color w:val="auto"/>
          <w:lang w:val="pt-BR"/>
        </w:rPr>
        <w:t>.</w:t>
      </w:r>
    </w:p>
    <w:p w14:paraId="6EA17DC0" w14:textId="77777777" w:rsidR="00E0088C" w:rsidRPr="00191C75" w:rsidRDefault="00E0088C" w:rsidP="0077678B">
      <w:pPr>
        <w:pStyle w:val="Bibliography"/>
        <w:spacing w:line="240" w:lineRule="auto"/>
        <w:ind w:left="0" w:firstLine="567"/>
        <w:jc w:val="both"/>
        <w:rPr>
          <w:noProof/>
          <w:color w:val="auto"/>
          <w:lang w:val="pt-BR"/>
        </w:rPr>
      </w:pPr>
    </w:p>
    <w:p w14:paraId="44623180" w14:textId="7E62B0B1" w:rsidR="00E0088C" w:rsidRPr="00191C75" w:rsidRDefault="00C04895" w:rsidP="0077678B">
      <w:pPr>
        <w:pStyle w:val="Bibliography"/>
        <w:spacing w:line="240" w:lineRule="auto"/>
        <w:ind w:left="0" w:firstLine="567"/>
        <w:jc w:val="both"/>
        <w:rPr>
          <w:noProof/>
          <w:color w:val="auto"/>
          <w:lang w:val="pt-BR"/>
        </w:rPr>
      </w:pPr>
      <w:r w:rsidRPr="00191C75">
        <w:rPr>
          <w:noProof/>
          <w:color w:val="auto"/>
          <w:lang w:val="pt-BR"/>
        </w:rPr>
        <w:t xml:space="preserve">SIQUEIRA, E. M.; CARVALHO, A. G.; NETTO, H. G. </w:t>
      </w:r>
      <w:r w:rsidR="00E0088C" w:rsidRPr="00191C75">
        <w:rPr>
          <w:noProof/>
          <w:color w:val="auto"/>
          <w:lang w:val="pt-BR"/>
        </w:rPr>
        <w:t xml:space="preserve">Determinantes de sucesso dos investimentos de </w:t>
      </w:r>
      <w:r w:rsidR="00E0088C" w:rsidRPr="00191C75">
        <w:rPr>
          <w:i/>
          <w:noProof/>
          <w:color w:val="auto"/>
          <w:lang w:val="pt-BR"/>
        </w:rPr>
        <w:t>private equity e venture capital</w:t>
      </w:r>
      <w:r w:rsidR="00E0088C" w:rsidRPr="00191C75">
        <w:rPr>
          <w:noProof/>
          <w:color w:val="auto"/>
          <w:lang w:val="pt-BR"/>
        </w:rPr>
        <w:t xml:space="preserve"> no Brasil. </w:t>
      </w:r>
      <w:r w:rsidR="00E0088C" w:rsidRPr="00191C75">
        <w:rPr>
          <w:b/>
          <w:noProof/>
          <w:color w:val="auto"/>
          <w:lang w:val="pt-BR"/>
        </w:rPr>
        <w:t>Revista Brasileira de Finanças</w:t>
      </w:r>
      <w:r w:rsidR="00E0088C" w:rsidRPr="00191C75">
        <w:rPr>
          <w:noProof/>
          <w:color w:val="auto"/>
          <w:lang w:val="pt-BR"/>
        </w:rPr>
        <w:t xml:space="preserve">, </w:t>
      </w:r>
      <w:r w:rsidRPr="00191C75">
        <w:rPr>
          <w:noProof/>
          <w:color w:val="auto"/>
          <w:lang w:val="pt-BR"/>
        </w:rPr>
        <w:t xml:space="preserve">v. </w:t>
      </w:r>
      <w:r w:rsidR="00E0088C" w:rsidRPr="00191C75">
        <w:rPr>
          <w:noProof/>
          <w:color w:val="auto"/>
          <w:lang w:val="pt-BR"/>
        </w:rPr>
        <w:t>9</w:t>
      </w:r>
      <w:r w:rsidRPr="00191C75">
        <w:rPr>
          <w:noProof/>
          <w:color w:val="auto"/>
          <w:lang w:val="pt-BR"/>
        </w:rPr>
        <w:t>, n.</w:t>
      </w:r>
      <w:r w:rsidR="00E0088C" w:rsidRPr="00191C75">
        <w:rPr>
          <w:noProof/>
          <w:color w:val="auto"/>
          <w:lang w:val="pt-BR"/>
        </w:rPr>
        <w:t>2, p. 189-208</w:t>
      </w:r>
      <w:r w:rsidRPr="00191C75">
        <w:rPr>
          <w:noProof/>
          <w:color w:val="auto"/>
          <w:lang w:val="pt-BR"/>
        </w:rPr>
        <w:t>,</w:t>
      </w:r>
      <w:r w:rsidR="00435AA4" w:rsidRPr="00191C75">
        <w:rPr>
          <w:noProof/>
          <w:color w:val="auto"/>
          <w:lang w:val="pt-BR"/>
        </w:rPr>
        <w:t xml:space="preserve"> 2011.</w:t>
      </w:r>
    </w:p>
    <w:p w14:paraId="0611D3FF" w14:textId="77777777" w:rsidR="00E0088C" w:rsidRPr="00191C75" w:rsidRDefault="00E0088C" w:rsidP="0077678B">
      <w:pPr>
        <w:pStyle w:val="Bibliography"/>
        <w:spacing w:line="240" w:lineRule="auto"/>
        <w:ind w:left="0" w:firstLine="567"/>
        <w:jc w:val="both"/>
        <w:rPr>
          <w:noProof/>
          <w:color w:val="auto"/>
          <w:lang w:val="pt-BR"/>
        </w:rPr>
      </w:pPr>
    </w:p>
    <w:p w14:paraId="74FE7E9A" w14:textId="4862C46E" w:rsidR="00E0088C" w:rsidRPr="00191C75" w:rsidRDefault="00DA5207" w:rsidP="0077678B">
      <w:pPr>
        <w:pStyle w:val="Bibliography"/>
        <w:spacing w:line="240" w:lineRule="auto"/>
        <w:ind w:left="0" w:firstLine="567"/>
        <w:jc w:val="both"/>
        <w:rPr>
          <w:noProof/>
          <w:color w:val="auto"/>
          <w:lang w:val="pt-BR"/>
        </w:rPr>
      </w:pPr>
      <w:r w:rsidRPr="00191C75">
        <w:rPr>
          <w:noProof/>
          <w:color w:val="auto"/>
          <w:lang w:val="pt-BR"/>
        </w:rPr>
        <w:t>SOARES, R. O.; ROSTAGNO, L. M.; SOARES, K.</w:t>
      </w:r>
      <w:r w:rsidR="00E0088C" w:rsidRPr="00191C75">
        <w:rPr>
          <w:noProof/>
          <w:color w:val="auto"/>
          <w:lang w:val="pt-BR"/>
        </w:rPr>
        <w:t xml:space="preserve"> Estudo de evento: o método e as formas de cálculo do retorno anormal. </w:t>
      </w:r>
      <w:r w:rsidR="008B58C1" w:rsidRPr="00191C75">
        <w:rPr>
          <w:b/>
          <w:noProof/>
          <w:color w:val="auto"/>
          <w:lang w:val="pt-BR"/>
        </w:rPr>
        <w:t>Anais do Encontro Nacional da Associação Nacional de Pós-Graduação e Pesquisa em Administração</w:t>
      </w:r>
      <w:r w:rsidR="008B58C1" w:rsidRPr="00191C75">
        <w:rPr>
          <w:noProof/>
          <w:color w:val="auto"/>
          <w:lang w:val="pt-BR"/>
        </w:rPr>
        <w:t>,</w:t>
      </w:r>
      <w:r w:rsidR="00E0088C" w:rsidRPr="00191C75">
        <w:rPr>
          <w:noProof/>
          <w:color w:val="auto"/>
          <w:lang w:val="pt-BR"/>
        </w:rPr>
        <w:t xml:space="preserve"> Salvador</w:t>
      </w:r>
      <w:r w:rsidR="008B58C1" w:rsidRPr="00191C75">
        <w:rPr>
          <w:noProof/>
          <w:color w:val="auto"/>
          <w:lang w:val="pt-BR"/>
        </w:rPr>
        <w:t xml:space="preserve">, BA, Brasil, </w:t>
      </w:r>
      <w:r w:rsidRPr="00191C75">
        <w:rPr>
          <w:noProof/>
          <w:color w:val="auto"/>
          <w:lang w:val="pt-BR"/>
        </w:rPr>
        <w:t>n.</w:t>
      </w:r>
      <w:r w:rsidR="008B58C1" w:rsidRPr="00191C75">
        <w:rPr>
          <w:noProof/>
          <w:color w:val="auto"/>
          <w:lang w:val="pt-BR"/>
        </w:rPr>
        <w:t>26</w:t>
      </w:r>
      <w:r w:rsidRPr="00191C75">
        <w:rPr>
          <w:noProof/>
          <w:color w:val="auto"/>
          <w:lang w:val="pt-BR"/>
        </w:rPr>
        <w:t>,</w:t>
      </w:r>
      <w:r w:rsidR="00435AA4" w:rsidRPr="00191C75">
        <w:rPr>
          <w:noProof/>
          <w:color w:val="auto"/>
          <w:lang w:val="pt-BR"/>
        </w:rPr>
        <w:t xml:space="preserve"> 2002.</w:t>
      </w:r>
    </w:p>
    <w:p w14:paraId="624BD726" w14:textId="77777777" w:rsidR="00E0088C" w:rsidRPr="00191C75" w:rsidRDefault="00E0088C" w:rsidP="0077678B">
      <w:pPr>
        <w:pStyle w:val="Bibliography"/>
        <w:spacing w:line="240" w:lineRule="auto"/>
        <w:ind w:left="0" w:firstLine="567"/>
        <w:jc w:val="both"/>
        <w:rPr>
          <w:noProof/>
          <w:color w:val="auto"/>
          <w:lang w:val="pt-BR"/>
        </w:rPr>
      </w:pPr>
    </w:p>
    <w:p w14:paraId="1289BABA" w14:textId="053AC981" w:rsidR="00E0088C" w:rsidRPr="00191C75" w:rsidRDefault="00272201" w:rsidP="0077678B">
      <w:pPr>
        <w:pStyle w:val="Bibliography"/>
        <w:spacing w:line="240" w:lineRule="auto"/>
        <w:ind w:left="0" w:firstLine="567"/>
        <w:jc w:val="both"/>
        <w:rPr>
          <w:noProof/>
          <w:color w:val="auto"/>
        </w:rPr>
      </w:pPr>
      <w:r w:rsidRPr="00191C75">
        <w:rPr>
          <w:noProof/>
          <w:color w:val="auto"/>
          <w:lang w:val="pt-BR"/>
        </w:rPr>
        <w:t xml:space="preserve">SOUSA, S. H. </w:t>
      </w:r>
      <w:r w:rsidR="00E0088C" w:rsidRPr="00191C75">
        <w:rPr>
          <w:b/>
          <w:noProof/>
          <w:color w:val="auto"/>
          <w:lang w:val="pt-BR"/>
        </w:rPr>
        <w:t xml:space="preserve">Capital empreendedor: </w:t>
      </w:r>
      <w:r w:rsidR="00E0088C" w:rsidRPr="00191C75">
        <w:rPr>
          <w:b/>
          <w:i/>
          <w:noProof/>
          <w:color w:val="auto"/>
          <w:lang w:val="pt-BR"/>
        </w:rPr>
        <w:t>venture capital e private equity</w:t>
      </w:r>
      <w:r w:rsidR="00E0088C" w:rsidRPr="00191C75">
        <w:rPr>
          <w:b/>
          <w:noProof/>
          <w:color w:val="auto"/>
          <w:lang w:val="pt-BR"/>
        </w:rPr>
        <w:t xml:space="preserve"> - capital de risco.</w:t>
      </w:r>
      <w:r w:rsidR="00E0088C" w:rsidRPr="00191C75">
        <w:rPr>
          <w:noProof/>
          <w:color w:val="auto"/>
          <w:lang w:val="pt-BR"/>
        </w:rPr>
        <w:t xml:space="preserve"> </w:t>
      </w:r>
      <w:r w:rsidR="00E0088C" w:rsidRPr="00191C75">
        <w:rPr>
          <w:noProof/>
          <w:color w:val="auto"/>
        </w:rPr>
        <w:t>Curitiba: Juruá</w:t>
      </w:r>
      <w:r w:rsidR="00DE1C76" w:rsidRPr="00191C75">
        <w:rPr>
          <w:noProof/>
          <w:color w:val="auto"/>
        </w:rPr>
        <w:t>,</w:t>
      </w:r>
      <w:r w:rsidR="00435AA4" w:rsidRPr="00191C75">
        <w:rPr>
          <w:noProof/>
          <w:color w:val="auto"/>
        </w:rPr>
        <w:t xml:space="preserve"> 2008.</w:t>
      </w:r>
    </w:p>
    <w:p w14:paraId="48CD36F4" w14:textId="77777777" w:rsidR="00E0088C" w:rsidRPr="00191C75" w:rsidRDefault="00E0088C" w:rsidP="0077678B">
      <w:pPr>
        <w:pStyle w:val="Bibliography"/>
        <w:spacing w:line="240" w:lineRule="auto"/>
        <w:ind w:left="0" w:firstLine="567"/>
        <w:jc w:val="both"/>
        <w:rPr>
          <w:noProof/>
          <w:color w:val="auto"/>
        </w:rPr>
      </w:pPr>
    </w:p>
    <w:p w14:paraId="03C21020" w14:textId="4772487C" w:rsidR="00E0088C" w:rsidRPr="00191C75" w:rsidRDefault="006D14B2" w:rsidP="0077678B">
      <w:pPr>
        <w:pStyle w:val="Bibliography"/>
        <w:spacing w:line="240" w:lineRule="auto"/>
        <w:ind w:left="0" w:firstLine="567"/>
        <w:jc w:val="both"/>
        <w:rPr>
          <w:noProof/>
          <w:color w:val="auto"/>
        </w:rPr>
      </w:pPr>
      <w:r w:rsidRPr="00191C75">
        <w:rPr>
          <w:noProof/>
          <w:color w:val="auto"/>
        </w:rPr>
        <w:t xml:space="preserve">SPENCE, M. </w:t>
      </w:r>
      <w:r w:rsidR="00E0088C" w:rsidRPr="00191C75">
        <w:rPr>
          <w:i/>
          <w:noProof/>
          <w:color w:val="auto"/>
        </w:rPr>
        <w:t>Job market signaling</w:t>
      </w:r>
      <w:r w:rsidR="00E0088C" w:rsidRPr="00191C75">
        <w:rPr>
          <w:noProof/>
          <w:color w:val="auto"/>
        </w:rPr>
        <w:t xml:space="preserve">. </w:t>
      </w:r>
      <w:r w:rsidR="00E0088C" w:rsidRPr="00191C75">
        <w:rPr>
          <w:b/>
          <w:noProof/>
          <w:color w:val="auto"/>
        </w:rPr>
        <w:t>The Quarterly Journal of Economics</w:t>
      </w:r>
      <w:r w:rsidR="00E0088C" w:rsidRPr="00191C75">
        <w:rPr>
          <w:noProof/>
          <w:color w:val="auto"/>
        </w:rPr>
        <w:t xml:space="preserve">, </w:t>
      </w:r>
      <w:r w:rsidRPr="00191C75">
        <w:rPr>
          <w:noProof/>
          <w:color w:val="auto"/>
        </w:rPr>
        <w:t>v.</w:t>
      </w:r>
      <w:r w:rsidR="00E0088C" w:rsidRPr="00191C75">
        <w:rPr>
          <w:noProof/>
          <w:color w:val="auto"/>
        </w:rPr>
        <w:t>87</w:t>
      </w:r>
      <w:r w:rsidRPr="00191C75">
        <w:rPr>
          <w:noProof/>
          <w:color w:val="auto"/>
        </w:rPr>
        <w:t>, n.</w:t>
      </w:r>
      <w:r w:rsidR="00E0088C" w:rsidRPr="00191C75">
        <w:rPr>
          <w:noProof/>
          <w:color w:val="auto"/>
        </w:rPr>
        <w:t>3, p. 355-374</w:t>
      </w:r>
      <w:r w:rsidRPr="00191C75">
        <w:rPr>
          <w:noProof/>
          <w:color w:val="auto"/>
        </w:rPr>
        <w:t>,</w:t>
      </w:r>
      <w:r w:rsidR="00435AA4" w:rsidRPr="00191C75">
        <w:rPr>
          <w:noProof/>
          <w:color w:val="auto"/>
        </w:rPr>
        <w:t xml:space="preserve"> 1973.</w:t>
      </w:r>
    </w:p>
    <w:p w14:paraId="46F15B2A" w14:textId="77777777" w:rsidR="00E0088C" w:rsidRPr="00191C75" w:rsidRDefault="00E0088C" w:rsidP="0077678B">
      <w:pPr>
        <w:pStyle w:val="Bibliography"/>
        <w:spacing w:line="240" w:lineRule="auto"/>
        <w:ind w:left="0" w:firstLine="567"/>
        <w:jc w:val="both"/>
        <w:rPr>
          <w:noProof/>
          <w:color w:val="auto"/>
        </w:rPr>
      </w:pPr>
    </w:p>
    <w:p w14:paraId="3443354C" w14:textId="479F5C30" w:rsidR="00E0088C" w:rsidRPr="00191C75" w:rsidRDefault="0029712A" w:rsidP="00097D23">
      <w:pPr>
        <w:pStyle w:val="Bibliography"/>
        <w:spacing w:line="240" w:lineRule="auto"/>
        <w:ind w:left="0" w:firstLine="567"/>
        <w:jc w:val="both"/>
        <w:rPr>
          <w:noProof/>
          <w:color w:val="auto"/>
        </w:rPr>
      </w:pPr>
      <w:r w:rsidRPr="00191C75">
        <w:rPr>
          <w:noProof/>
          <w:color w:val="auto"/>
        </w:rPr>
        <w:t>STIGLITZ, J. E</w:t>
      </w:r>
      <w:r w:rsidR="00E0088C" w:rsidRPr="00191C75">
        <w:rPr>
          <w:noProof/>
          <w:color w:val="auto"/>
        </w:rPr>
        <w:t xml:space="preserve">. </w:t>
      </w:r>
      <w:r w:rsidR="00E0088C" w:rsidRPr="00191C75">
        <w:rPr>
          <w:i/>
          <w:noProof/>
          <w:color w:val="auto"/>
        </w:rPr>
        <w:t>Information and capital markets</w:t>
      </w:r>
      <w:r w:rsidR="00A80CEA" w:rsidRPr="00191C75">
        <w:rPr>
          <w:noProof/>
          <w:color w:val="auto"/>
        </w:rPr>
        <w:t>.</w:t>
      </w:r>
      <w:r w:rsidR="00E0088C" w:rsidRPr="00191C75">
        <w:rPr>
          <w:b/>
          <w:noProof/>
          <w:color w:val="auto"/>
        </w:rPr>
        <w:t xml:space="preserve"> </w:t>
      </w:r>
      <w:r w:rsidR="00E0088C" w:rsidRPr="00191C75">
        <w:rPr>
          <w:i/>
          <w:noProof/>
          <w:color w:val="auto"/>
        </w:rPr>
        <w:t xml:space="preserve">Working </w:t>
      </w:r>
      <w:r w:rsidRPr="00191C75">
        <w:rPr>
          <w:i/>
          <w:noProof/>
          <w:color w:val="auto"/>
        </w:rPr>
        <w:t>p</w:t>
      </w:r>
      <w:r w:rsidR="00E0088C" w:rsidRPr="00191C75">
        <w:rPr>
          <w:i/>
          <w:noProof/>
          <w:color w:val="auto"/>
        </w:rPr>
        <w:t>aper</w:t>
      </w:r>
      <w:r w:rsidR="00E0088C" w:rsidRPr="00191C75">
        <w:rPr>
          <w:noProof/>
          <w:color w:val="auto"/>
        </w:rPr>
        <w:t xml:space="preserve"> </w:t>
      </w:r>
      <w:r w:rsidR="00A80CEA" w:rsidRPr="00191C75">
        <w:rPr>
          <w:noProof/>
          <w:color w:val="auto"/>
        </w:rPr>
        <w:t>n</w:t>
      </w:r>
      <w:r w:rsidR="00E0088C" w:rsidRPr="00191C75">
        <w:rPr>
          <w:noProof/>
          <w:color w:val="auto"/>
        </w:rPr>
        <w:t>o. 678</w:t>
      </w:r>
      <w:r w:rsidR="00A80CEA" w:rsidRPr="00191C75">
        <w:rPr>
          <w:noProof/>
          <w:color w:val="auto"/>
        </w:rPr>
        <w:t>/1-55</w:t>
      </w:r>
      <w:r w:rsidR="00E0088C" w:rsidRPr="00191C75">
        <w:rPr>
          <w:noProof/>
          <w:color w:val="auto"/>
        </w:rPr>
        <w:t xml:space="preserve">. </w:t>
      </w:r>
      <w:r w:rsidR="00E0088C" w:rsidRPr="00191C75">
        <w:rPr>
          <w:b/>
          <w:noProof/>
          <w:color w:val="auto"/>
        </w:rPr>
        <w:t>National Bureau of Economic Research</w:t>
      </w:r>
      <w:r w:rsidR="00E0088C" w:rsidRPr="00191C75">
        <w:rPr>
          <w:noProof/>
          <w:color w:val="auto"/>
        </w:rPr>
        <w:t xml:space="preserve">. </w:t>
      </w:r>
      <w:r w:rsidR="00E0088C" w:rsidRPr="00191C75">
        <w:rPr>
          <w:noProof/>
          <w:color w:val="auto"/>
          <w:lang w:val="pt-BR"/>
        </w:rPr>
        <w:t>Cambridge: NBER</w:t>
      </w:r>
      <w:r w:rsidR="00097D23" w:rsidRPr="00191C75">
        <w:rPr>
          <w:noProof/>
          <w:color w:val="auto"/>
          <w:lang w:val="pt-BR"/>
        </w:rPr>
        <w:t>,</w:t>
      </w:r>
      <w:r w:rsidR="00E0088C" w:rsidRPr="00191C75">
        <w:rPr>
          <w:noProof/>
          <w:color w:val="auto"/>
          <w:lang w:val="pt-BR"/>
        </w:rPr>
        <w:t xml:space="preserve"> </w:t>
      </w:r>
      <w:r w:rsidR="00435AA4" w:rsidRPr="00191C75">
        <w:rPr>
          <w:noProof/>
          <w:color w:val="auto"/>
          <w:lang w:val="pt-BR"/>
        </w:rPr>
        <w:t>1982.</w:t>
      </w:r>
      <w:r w:rsidR="00097D23" w:rsidRPr="00191C75">
        <w:rPr>
          <w:noProof/>
          <w:color w:val="auto"/>
          <w:lang w:val="pt-BR"/>
        </w:rPr>
        <w:t xml:space="preserve"> Disponível em: &lt;</w:t>
      </w:r>
      <w:r w:rsidR="00097D23" w:rsidRPr="00191C75">
        <w:rPr>
          <w:noProof/>
          <w:color w:val="auto"/>
          <w:u w:val="single"/>
          <w:lang w:val="pt-BR"/>
        </w:rPr>
        <w:t>http://www.nber.org/papers/w0678.pdf</w:t>
      </w:r>
      <w:r w:rsidR="00097D23" w:rsidRPr="00191C75">
        <w:rPr>
          <w:noProof/>
          <w:color w:val="auto"/>
          <w:lang w:val="pt-BR"/>
        </w:rPr>
        <w:t xml:space="preserve">&gt; . </w:t>
      </w:r>
      <w:r w:rsidR="00097D23" w:rsidRPr="00191C75">
        <w:rPr>
          <w:noProof/>
          <w:color w:val="auto"/>
        </w:rPr>
        <w:t xml:space="preserve">Acesso em: </w:t>
      </w:r>
      <w:r w:rsidR="00E0088C" w:rsidRPr="00191C75">
        <w:rPr>
          <w:noProof/>
          <w:color w:val="auto"/>
        </w:rPr>
        <w:t>06 abr</w:t>
      </w:r>
      <w:r w:rsidR="00097D23" w:rsidRPr="00191C75">
        <w:rPr>
          <w:noProof/>
          <w:color w:val="auto"/>
        </w:rPr>
        <w:t>.</w:t>
      </w:r>
      <w:r w:rsidR="00E0088C" w:rsidRPr="00191C75">
        <w:rPr>
          <w:noProof/>
          <w:color w:val="auto"/>
        </w:rPr>
        <w:t xml:space="preserve"> 2017</w:t>
      </w:r>
      <w:r w:rsidR="00097D23" w:rsidRPr="00191C75">
        <w:rPr>
          <w:noProof/>
          <w:color w:val="auto"/>
        </w:rPr>
        <w:t>.</w:t>
      </w:r>
    </w:p>
    <w:p w14:paraId="116072B0" w14:textId="77777777" w:rsidR="00E0088C" w:rsidRPr="00191C75" w:rsidRDefault="00E0088C" w:rsidP="0077678B">
      <w:pPr>
        <w:pStyle w:val="Bibliography"/>
        <w:spacing w:line="240" w:lineRule="auto"/>
        <w:ind w:left="0" w:firstLine="567"/>
        <w:jc w:val="both"/>
        <w:rPr>
          <w:noProof/>
          <w:color w:val="auto"/>
        </w:rPr>
      </w:pPr>
    </w:p>
    <w:p w14:paraId="3C1C87C1" w14:textId="0E57062D" w:rsidR="00E0088C" w:rsidRPr="00191C75" w:rsidRDefault="00CE7FCE" w:rsidP="0077678B">
      <w:pPr>
        <w:pStyle w:val="Bibliography"/>
        <w:spacing w:line="240" w:lineRule="auto"/>
        <w:ind w:left="0" w:firstLine="567"/>
        <w:jc w:val="both"/>
        <w:rPr>
          <w:noProof/>
          <w:color w:val="auto"/>
          <w:lang w:val="pt-BR"/>
        </w:rPr>
      </w:pPr>
      <w:r w:rsidRPr="00191C75">
        <w:rPr>
          <w:noProof/>
          <w:color w:val="auto"/>
        </w:rPr>
        <w:t xml:space="preserve">STIGLITZ, J. E. </w:t>
      </w:r>
      <w:r w:rsidR="00E0088C" w:rsidRPr="00191C75">
        <w:rPr>
          <w:i/>
          <w:noProof/>
          <w:color w:val="auto"/>
        </w:rPr>
        <w:t>The contributions of the economics of information to twentieth century economics</w:t>
      </w:r>
      <w:r w:rsidR="00E0088C" w:rsidRPr="00191C75">
        <w:rPr>
          <w:noProof/>
          <w:color w:val="auto"/>
        </w:rPr>
        <w:t xml:space="preserve">. </w:t>
      </w:r>
      <w:r w:rsidR="00E0088C" w:rsidRPr="00191C75">
        <w:rPr>
          <w:b/>
          <w:noProof/>
          <w:color w:val="auto"/>
          <w:lang w:val="pt-BR"/>
        </w:rPr>
        <w:t>The Quartely Journal of Economics</w:t>
      </w:r>
      <w:r w:rsidR="00E0088C" w:rsidRPr="00191C75">
        <w:rPr>
          <w:noProof/>
          <w:color w:val="auto"/>
          <w:lang w:val="pt-BR"/>
        </w:rPr>
        <w:t xml:space="preserve">, </w:t>
      </w:r>
      <w:r w:rsidR="00E3333E" w:rsidRPr="00191C75">
        <w:rPr>
          <w:noProof/>
          <w:color w:val="auto"/>
          <w:lang w:val="pt-BR"/>
        </w:rPr>
        <w:t>v.</w:t>
      </w:r>
      <w:r w:rsidR="00E0088C" w:rsidRPr="00191C75">
        <w:rPr>
          <w:noProof/>
          <w:color w:val="auto"/>
          <w:lang w:val="pt-BR"/>
        </w:rPr>
        <w:t>115</w:t>
      </w:r>
      <w:r w:rsidR="00E3333E" w:rsidRPr="00191C75">
        <w:rPr>
          <w:noProof/>
          <w:color w:val="auto"/>
          <w:lang w:val="pt-BR"/>
        </w:rPr>
        <w:t>, n.</w:t>
      </w:r>
      <w:r w:rsidR="00E0088C" w:rsidRPr="00191C75">
        <w:rPr>
          <w:noProof/>
          <w:color w:val="auto"/>
          <w:lang w:val="pt-BR"/>
        </w:rPr>
        <w:t>4, p. 1441-1478</w:t>
      </w:r>
      <w:r w:rsidR="00E3333E" w:rsidRPr="00191C75">
        <w:rPr>
          <w:noProof/>
          <w:color w:val="auto"/>
          <w:lang w:val="pt-BR"/>
        </w:rPr>
        <w:t>,</w:t>
      </w:r>
      <w:r w:rsidR="00435AA4" w:rsidRPr="00191C75">
        <w:rPr>
          <w:noProof/>
          <w:color w:val="auto"/>
          <w:lang w:val="pt-BR"/>
        </w:rPr>
        <w:t xml:space="preserve"> 2000.</w:t>
      </w:r>
    </w:p>
    <w:p w14:paraId="2D90CB56" w14:textId="77777777" w:rsidR="00E0088C" w:rsidRPr="00191C75" w:rsidRDefault="00E0088C" w:rsidP="0077678B">
      <w:pPr>
        <w:pStyle w:val="Bibliography"/>
        <w:spacing w:line="240" w:lineRule="auto"/>
        <w:ind w:left="0" w:firstLine="567"/>
        <w:jc w:val="both"/>
        <w:rPr>
          <w:noProof/>
          <w:color w:val="auto"/>
          <w:lang w:val="pt-BR"/>
        </w:rPr>
      </w:pPr>
    </w:p>
    <w:p w14:paraId="26D55C04" w14:textId="59FA5796" w:rsidR="00E0088C" w:rsidRPr="00191C75" w:rsidRDefault="00B72596" w:rsidP="0077678B">
      <w:pPr>
        <w:pStyle w:val="Bibliography"/>
        <w:spacing w:line="240" w:lineRule="auto"/>
        <w:ind w:left="0" w:firstLine="567"/>
        <w:jc w:val="both"/>
        <w:rPr>
          <w:noProof/>
          <w:color w:val="auto"/>
          <w:lang w:val="pt-BR"/>
        </w:rPr>
      </w:pPr>
      <w:r w:rsidRPr="00191C75">
        <w:rPr>
          <w:noProof/>
          <w:color w:val="auto"/>
          <w:lang w:val="pt-BR"/>
        </w:rPr>
        <w:t>TESTA, C. H.; LIMA, G. A</w:t>
      </w:r>
      <w:r w:rsidR="00E0088C" w:rsidRPr="00191C75">
        <w:rPr>
          <w:noProof/>
          <w:color w:val="auto"/>
          <w:lang w:val="pt-BR"/>
        </w:rPr>
        <w:t xml:space="preserve">. O papel certificador dos fundos de VC/PE sobre a qualidade das empresas estreantes na BM&amp;FBovespa. </w:t>
      </w:r>
      <w:r w:rsidR="00E0088C" w:rsidRPr="00191C75">
        <w:rPr>
          <w:b/>
          <w:noProof/>
          <w:color w:val="auto"/>
          <w:lang w:val="pt-BR"/>
        </w:rPr>
        <w:t>Revista de Educação e Pesquisa em Contabilidade</w:t>
      </w:r>
      <w:r w:rsidR="00E0088C" w:rsidRPr="00191C75">
        <w:rPr>
          <w:noProof/>
          <w:color w:val="auto"/>
          <w:lang w:val="pt-BR"/>
        </w:rPr>
        <w:t xml:space="preserve">, </w:t>
      </w:r>
      <w:r w:rsidRPr="00191C75">
        <w:rPr>
          <w:noProof/>
          <w:color w:val="auto"/>
          <w:lang w:val="pt-BR"/>
        </w:rPr>
        <w:t>v.</w:t>
      </w:r>
      <w:r w:rsidR="00E0088C" w:rsidRPr="00191C75">
        <w:rPr>
          <w:noProof/>
          <w:color w:val="auto"/>
          <w:lang w:val="pt-BR"/>
        </w:rPr>
        <w:t>8</w:t>
      </w:r>
      <w:r w:rsidRPr="00191C75">
        <w:rPr>
          <w:noProof/>
          <w:color w:val="auto"/>
          <w:lang w:val="pt-BR"/>
        </w:rPr>
        <w:t>, n.</w:t>
      </w:r>
      <w:r w:rsidR="00E0088C" w:rsidRPr="00191C75">
        <w:rPr>
          <w:noProof/>
          <w:color w:val="auto"/>
          <w:lang w:val="pt-BR"/>
        </w:rPr>
        <w:t>3, p. 250-270</w:t>
      </w:r>
      <w:r w:rsidRPr="00191C75">
        <w:rPr>
          <w:noProof/>
          <w:color w:val="auto"/>
          <w:lang w:val="pt-BR"/>
        </w:rPr>
        <w:t>,</w:t>
      </w:r>
      <w:r w:rsidR="00435AA4" w:rsidRPr="00191C75">
        <w:rPr>
          <w:noProof/>
          <w:color w:val="auto"/>
          <w:lang w:val="pt-BR"/>
        </w:rPr>
        <w:t xml:space="preserve"> 2014.</w:t>
      </w:r>
    </w:p>
    <w:p w14:paraId="6237BAA7" w14:textId="77777777" w:rsidR="00E0088C" w:rsidRPr="00191C75" w:rsidRDefault="00E0088C" w:rsidP="0077678B">
      <w:pPr>
        <w:pStyle w:val="Bibliography"/>
        <w:spacing w:line="240" w:lineRule="auto"/>
        <w:ind w:left="0" w:firstLine="567"/>
        <w:jc w:val="both"/>
        <w:rPr>
          <w:noProof/>
          <w:color w:val="auto"/>
          <w:lang w:val="pt-BR"/>
        </w:rPr>
      </w:pPr>
    </w:p>
    <w:p w14:paraId="0F007129" w14:textId="0E9AC5AC" w:rsidR="003E49D5" w:rsidRPr="00191C75" w:rsidRDefault="0025446D" w:rsidP="0077678B">
      <w:pPr>
        <w:pStyle w:val="Bibliography"/>
        <w:spacing w:line="240" w:lineRule="auto"/>
        <w:ind w:left="0" w:firstLine="567"/>
        <w:jc w:val="both"/>
        <w:rPr>
          <w:noProof/>
          <w:color w:val="auto"/>
        </w:rPr>
      </w:pPr>
      <w:r w:rsidRPr="00191C75">
        <w:rPr>
          <w:noProof/>
          <w:color w:val="auto"/>
        </w:rPr>
        <w:lastRenderedPageBreak/>
        <w:t>WEIR, C.; JONES, P.; WRIGHT, M</w:t>
      </w:r>
      <w:r w:rsidR="00E0088C" w:rsidRPr="00191C75">
        <w:rPr>
          <w:noProof/>
          <w:color w:val="auto"/>
        </w:rPr>
        <w:t xml:space="preserve">. </w:t>
      </w:r>
      <w:r w:rsidR="00A20881" w:rsidRPr="00191C75">
        <w:rPr>
          <w:i/>
          <w:noProof/>
          <w:color w:val="auto"/>
        </w:rPr>
        <w:t xml:space="preserve">Public to private transactions, private equity and performance in the </w:t>
      </w:r>
      <w:r w:rsidR="00E0088C" w:rsidRPr="00191C75">
        <w:rPr>
          <w:i/>
          <w:noProof/>
          <w:color w:val="auto"/>
        </w:rPr>
        <w:t xml:space="preserve">UK: </w:t>
      </w:r>
      <w:r w:rsidR="00A20881" w:rsidRPr="00191C75">
        <w:rPr>
          <w:i/>
          <w:noProof/>
          <w:color w:val="auto"/>
        </w:rPr>
        <w:t>a</w:t>
      </w:r>
      <w:r w:rsidR="00E0088C" w:rsidRPr="00191C75">
        <w:rPr>
          <w:i/>
          <w:noProof/>
          <w:color w:val="auto"/>
        </w:rPr>
        <w:t xml:space="preserve">n </w:t>
      </w:r>
      <w:r w:rsidR="00A20881" w:rsidRPr="00191C75">
        <w:rPr>
          <w:i/>
          <w:noProof/>
          <w:color w:val="auto"/>
        </w:rPr>
        <w:t>empirical analysis of the impact of going priv</w:t>
      </w:r>
      <w:r w:rsidR="00E0088C" w:rsidRPr="00191C75">
        <w:rPr>
          <w:i/>
          <w:noProof/>
          <w:color w:val="auto"/>
        </w:rPr>
        <w:t>ate</w:t>
      </w:r>
      <w:r w:rsidR="00E0088C" w:rsidRPr="00191C75">
        <w:rPr>
          <w:noProof/>
          <w:color w:val="auto"/>
        </w:rPr>
        <w:t xml:space="preserve">. </w:t>
      </w:r>
      <w:r w:rsidR="00E0088C" w:rsidRPr="00191C75">
        <w:rPr>
          <w:b/>
          <w:noProof/>
          <w:color w:val="auto"/>
        </w:rPr>
        <w:t xml:space="preserve">Journal of Management and </w:t>
      </w:r>
      <w:r w:rsidR="00A0370D" w:rsidRPr="00191C75">
        <w:rPr>
          <w:b/>
          <w:noProof/>
          <w:color w:val="auto"/>
        </w:rPr>
        <w:t>G</w:t>
      </w:r>
      <w:r w:rsidR="00E0088C" w:rsidRPr="00191C75">
        <w:rPr>
          <w:b/>
          <w:noProof/>
          <w:color w:val="auto"/>
        </w:rPr>
        <w:t>overnance</w:t>
      </w:r>
      <w:r w:rsidR="00E0088C" w:rsidRPr="00191C75">
        <w:rPr>
          <w:noProof/>
          <w:color w:val="auto"/>
        </w:rPr>
        <w:t xml:space="preserve">, </w:t>
      </w:r>
      <w:r w:rsidRPr="00191C75">
        <w:rPr>
          <w:noProof/>
          <w:color w:val="auto"/>
        </w:rPr>
        <w:t>v.</w:t>
      </w:r>
      <w:r w:rsidR="00E0088C" w:rsidRPr="00191C75">
        <w:rPr>
          <w:noProof/>
          <w:color w:val="auto"/>
        </w:rPr>
        <w:t>19</w:t>
      </w:r>
      <w:r w:rsidRPr="00191C75">
        <w:rPr>
          <w:noProof/>
          <w:color w:val="auto"/>
        </w:rPr>
        <w:t>, n.</w:t>
      </w:r>
      <w:r w:rsidR="00E0088C" w:rsidRPr="00191C75">
        <w:rPr>
          <w:noProof/>
          <w:color w:val="auto"/>
        </w:rPr>
        <w:t>1, p. 91-112</w:t>
      </w:r>
      <w:r w:rsidRPr="00191C75">
        <w:rPr>
          <w:noProof/>
          <w:color w:val="auto"/>
        </w:rPr>
        <w:t>,</w:t>
      </w:r>
      <w:r w:rsidR="00435AA4" w:rsidRPr="00191C75">
        <w:rPr>
          <w:noProof/>
          <w:color w:val="auto"/>
        </w:rPr>
        <w:t xml:space="preserve"> 2008.</w:t>
      </w:r>
    </w:p>
    <w:p w14:paraId="01EFE02C" w14:textId="77777777" w:rsidR="002B30B3" w:rsidRPr="00191C75" w:rsidRDefault="002B30B3" w:rsidP="0077678B">
      <w:pPr>
        <w:spacing w:after="0" w:line="240" w:lineRule="auto"/>
        <w:jc w:val="both"/>
        <w:rPr>
          <w:rFonts w:ascii="Times New Roman" w:hAnsi="Times New Roman"/>
          <w:sz w:val="24"/>
          <w:szCs w:val="24"/>
          <w:u w:val="single"/>
          <w:lang w:val="en-US"/>
        </w:rPr>
      </w:pPr>
    </w:p>
    <w:sectPr w:rsidR="002B30B3" w:rsidRPr="00191C75" w:rsidSect="00A74B9A">
      <w:headerReference w:type="default" r:id="rId2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5007E" w14:textId="77777777" w:rsidR="0054141F" w:rsidRDefault="0054141F" w:rsidP="00A02924">
      <w:pPr>
        <w:spacing w:after="0" w:line="240" w:lineRule="auto"/>
      </w:pPr>
      <w:r>
        <w:separator/>
      </w:r>
    </w:p>
  </w:endnote>
  <w:endnote w:type="continuationSeparator" w:id="0">
    <w:p w14:paraId="4CEF14D7" w14:textId="77777777" w:rsidR="0054141F" w:rsidRDefault="0054141F" w:rsidP="00A02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4F115" w14:textId="77777777" w:rsidR="0054141F" w:rsidRDefault="0054141F" w:rsidP="00A02924">
      <w:pPr>
        <w:spacing w:after="0" w:line="240" w:lineRule="auto"/>
      </w:pPr>
      <w:r>
        <w:separator/>
      </w:r>
    </w:p>
  </w:footnote>
  <w:footnote w:type="continuationSeparator" w:id="0">
    <w:p w14:paraId="72433835" w14:textId="77777777" w:rsidR="0054141F" w:rsidRDefault="0054141F" w:rsidP="00A02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7E4DA" w14:textId="361DE930" w:rsidR="003E3696" w:rsidRDefault="003E3696" w:rsidP="000B55F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0C70383"/>
    <w:multiLevelType w:val="hybridMultilevel"/>
    <w:tmpl w:val="A0B254DE"/>
    <w:lvl w:ilvl="0" w:tplc="BF48BCCE">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083208B3"/>
    <w:multiLevelType w:val="hybridMultilevel"/>
    <w:tmpl w:val="D5804564"/>
    <w:lvl w:ilvl="0" w:tplc="8C8C405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F487D14"/>
    <w:multiLevelType w:val="hybridMultilevel"/>
    <w:tmpl w:val="A2F63E88"/>
    <w:lvl w:ilvl="0" w:tplc="A62C8696">
      <w:numFmt w:val="bullet"/>
      <w:lvlText w:val="•"/>
      <w:lvlJc w:val="left"/>
      <w:pPr>
        <w:ind w:left="1414" w:hanging="705"/>
      </w:pPr>
      <w:rPr>
        <w:rFonts w:ascii="Times New Roman" w:eastAsia="Calibri" w:hAnsi="Times New Roman"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3" w15:restartNumberingAfterBreak="0">
    <w:nsid w:val="10C87FED"/>
    <w:multiLevelType w:val="hybridMultilevel"/>
    <w:tmpl w:val="38E04976"/>
    <w:lvl w:ilvl="0" w:tplc="D65AB62C">
      <w:start w:val="1"/>
      <w:numFmt w:val="lowerLetter"/>
      <w:lvlText w:val="%1)"/>
      <w:lvlJc w:val="left"/>
      <w:pPr>
        <w:ind w:left="1069" w:hanging="360"/>
      </w:pPr>
      <w:rPr>
        <w:rFonts w:hint="default"/>
        <w:i/>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15:restartNumberingAfterBreak="0">
    <w:nsid w:val="146A5C83"/>
    <w:multiLevelType w:val="multilevel"/>
    <w:tmpl w:val="2758DC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678249A"/>
    <w:multiLevelType w:val="hybridMultilevel"/>
    <w:tmpl w:val="0E342D88"/>
    <w:lvl w:ilvl="0" w:tplc="EFD45ED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15:restartNumberingAfterBreak="0">
    <w:nsid w:val="1DC66A9D"/>
    <w:multiLevelType w:val="hybridMultilevel"/>
    <w:tmpl w:val="D88CF6FC"/>
    <w:lvl w:ilvl="0" w:tplc="42DC6AFC">
      <w:start w:val="1"/>
      <w:numFmt w:val="decimal"/>
      <w:lvlText w:val="(%1)"/>
      <w:lvlJc w:val="left"/>
      <w:pPr>
        <w:ind w:left="720" w:hanging="360"/>
      </w:pPr>
      <w:rPr>
        <w:rFonts w:ascii="Calibri" w:eastAsia="Times New Roman" w:hAnsi="Calibri" w:cs="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BEA7088"/>
    <w:multiLevelType w:val="hybridMultilevel"/>
    <w:tmpl w:val="100C18AE"/>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2D6B2549"/>
    <w:multiLevelType w:val="hybridMultilevel"/>
    <w:tmpl w:val="577C8EE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9" w15:restartNumberingAfterBreak="0">
    <w:nsid w:val="2DBF3EDC"/>
    <w:multiLevelType w:val="hybridMultilevel"/>
    <w:tmpl w:val="0A407E8E"/>
    <w:lvl w:ilvl="0" w:tplc="8576A6D6">
      <w:start w:val="1"/>
      <w:numFmt w:val="decimal"/>
      <w:lvlText w:val="%1."/>
      <w:lvlJc w:val="left"/>
      <w:pPr>
        <w:ind w:left="360" w:hanging="360"/>
      </w:pPr>
      <w:rPr>
        <w:b w:val="0"/>
        <w:sz w:val="20"/>
        <w:szCs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2F1B6721"/>
    <w:multiLevelType w:val="hybridMultilevel"/>
    <w:tmpl w:val="6AC8F72A"/>
    <w:lvl w:ilvl="0" w:tplc="04160003">
      <w:start w:val="1"/>
      <w:numFmt w:val="bullet"/>
      <w:lvlText w:val="o"/>
      <w:lvlJc w:val="left"/>
      <w:pPr>
        <w:ind w:left="1429" w:hanging="360"/>
      </w:pPr>
      <w:rPr>
        <w:rFonts w:ascii="Courier New" w:hAnsi="Courier New" w:cs="Courier New"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1" w15:restartNumberingAfterBreak="0">
    <w:nsid w:val="2FC560E9"/>
    <w:multiLevelType w:val="hybridMultilevel"/>
    <w:tmpl w:val="AC8C1D2C"/>
    <w:lvl w:ilvl="0" w:tplc="47505D6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85D7A5E"/>
    <w:multiLevelType w:val="hybridMultilevel"/>
    <w:tmpl w:val="1DF8FF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9D846DB"/>
    <w:multiLevelType w:val="hybridMultilevel"/>
    <w:tmpl w:val="70D62760"/>
    <w:lvl w:ilvl="0" w:tplc="27CAED3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F38046A"/>
    <w:multiLevelType w:val="hybridMultilevel"/>
    <w:tmpl w:val="349CB3AE"/>
    <w:lvl w:ilvl="0" w:tplc="26C83582">
      <w:start w:val="1"/>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40682391"/>
    <w:multiLevelType w:val="hybridMultilevel"/>
    <w:tmpl w:val="509028B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6" w15:restartNumberingAfterBreak="0">
    <w:nsid w:val="41A63C95"/>
    <w:multiLevelType w:val="hybridMultilevel"/>
    <w:tmpl w:val="65C0E202"/>
    <w:lvl w:ilvl="0" w:tplc="9CCA8C64">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2EB7A20"/>
    <w:multiLevelType w:val="hybridMultilevel"/>
    <w:tmpl w:val="DF14AB6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8" w15:restartNumberingAfterBreak="0">
    <w:nsid w:val="4315505C"/>
    <w:multiLevelType w:val="hybridMultilevel"/>
    <w:tmpl w:val="23B40AD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9" w15:restartNumberingAfterBreak="0">
    <w:nsid w:val="47FA053E"/>
    <w:multiLevelType w:val="hybridMultilevel"/>
    <w:tmpl w:val="0A407E8E"/>
    <w:lvl w:ilvl="0" w:tplc="8576A6D6">
      <w:start w:val="1"/>
      <w:numFmt w:val="decimal"/>
      <w:lvlText w:val="%1."/>
      <w:lvlJc w:val="left"/>
      <w:pPr>
        <w:ind w:left="360" w:hanging="360"/>
      </w:pPr>
      <w:rPr>
        <w:b w:val="0"/>
        <w:sz w:val="20"/>
        <w:szCs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0" w15:restartNumberingAfterBreak="0">
    <w:nsid w:val="4FA06F0F"/>
    <w:multiLevelType w:val="hybridMultilevel"/>
    <w:tmpl w:val="498C166C"/>
    <w:lvl w:ilvl="0" w:tplc="6FAA309C">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1" w15:restartNumberingAfterBreak="0">
    <w:nsid w:val="4FA77A33"/>
    <w:multiLevelType w:val="hybridMultilevel"/>
    <w:tmpl w:val="6F661330"/>
    <w:lvl w:ilvl="0" w:tplc="13421C9E">
      <w:start w:val="1"/>
      <w:numFmt w:val="upperRoman"/>
      <w:lvlText w:val="(%1)"/>
      <w:lvlJc w:val="righ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2" w15:restartNumberingAfterBreak="0">
    <w:nsid w:val="50FD42E0"/>
    <w:multiLevelType w:val="hybridMultilevel"/>
    <w:tmpl w:val="BC3CCD3E"/>
    <w:lvl w:ilvl="0" w:tplc="0416000F">
      <w:start w:val="1"/>
      <w:numFmt w:val="decimal"/>
      <w:lvlText w:val="%1."/>
      <w:lvlJc w:val="left"/>
      <w:pPr>
        <w:ind w:left="2149" w:hanging="360"/>
      </w:pPr>
    </w:lvl>
    <w:lvl w:ilvl="1" w:tplc="04160019" w:tentative="1">
      <w:start w:val="1"/>
      <w:numFmt w:val="lowerLetter"/>
      <w:lvlText w:val="%2."/>
      <w:lvlJc w:val="left"/>
      <w:pPr>
        <w:ind w:left="2869" w:hanging="360"/>
      </w:pPr>
    </w:lvl>
    <w:lvl w:ilvl="2" w:tplc="0416001B" w:tentative="1">
      <w:start w:val="1"/>
      <w:numFmt w:val="lowerRoman"/>
      <w:lvlText w:val="%3."/>
      <w:lvlJc w:val="right"/>
      <w:pPr>
        <w:ind w:left="3589" w:hanging="180"/>
      </w:pPr>
    </w:lvl>
    <w:lvl w:ilvl="3" w:tplc="0416000F" w:tentative="1">
      <w:start w:val="1"/>
      <w:numFmt w:val="decimal"/>
      <w:lvlText w:val="%4."/>
      <w:lvlJc w:val="left"/>
      <w:pPr>
        <w:ind w:left="4309" w:hanging="360"/>
      </w:pPr>
    </w:lvl>
    <w:lvl w:ilvl="4" w:tplc="04160019" w:tentative="1">
      <w:start w:val="1"/>
      <w:numFmt w:val="lowerLetter"/>
      <w:lvlText w:val="%5."/>
      <w:lvlJc w:val="left"/>
      <w:pPr>
        <w:ind w:left="5029" w:hanging="360"/>
      </w:pPr>
    </w:lvl>
    <w:lvl w:ilvl="5" w:tplc="0416001B" w:tentative="1">
      <w:start w:val="1"/>
      <w:numFmt w:val="lowerRoman"/>
      <w:lvlText w:val="%6."/>
      <w:lvlJc w:val="right"/>
      <w:pPr>
        <w:ind w:left="5749" w:hanging="180"/>
      </w:pPr>
    </w:lvl>
    <w:lvl w:ilvl="6" w:tplc="0416000F" w:tentative="1">
      <w:start w:val="1"/>
      <w:numFmt w:val="decimal"/>
      <w:lvlText w:val="%7."/>
      <w:lvlJc w:val="left"/>
      <w:pPr>
        <w:ind w:left="6469" w:hanging="360"/>
      </w:pPr>
    </w:lvl>
    <w:lvl w:ilvl="7" w:tplc="04160019" w:tentative="1">
      <w:start w:val="1"/>
      <w:numFmt w:val="lowerLetter"/>
      <w:lvlText w:val="%8."/>
      <w:lvlJc w:val="left"/>
      <w:pPr>
        <w:ind w:left="7189" w:hanging="360"/>
      </w:pPr>
    </w:lvl>
    <w:lvl w:ilvl="8" w:tplc="0416001B" w:tentative="1">
      <w:start w:val="1"/>
      <w:numFmt w:val="lowerRoman"/>
      <w:lvlText w:val="%9."/>
      <w:lvlJc w:val="right"/>
      <w:pPr>
        <w:ind w:left="7909" w:hanging="180"/>
      </w:pPr>
    </w:lvl>
  </w:abstractNum>
  <w:abstractNum w:abstractNumId="33" w15:restartNumberingAfterBreak="0">
    <w:nsid w:val="51771800"/>
    <w:multiLevelType w:val="hybridMultilevel"/>
    <w:tmpl w:val="FD12289C"/>
    <w:lvl w:ilvl="0" w:tplc="743A643C">
      <w:start w:val="1"/>
      <w:numFmt w:val="decimal"/>
      <w:lvlText w:val="%1."/>
      <w:lvlJc w:val="left"/>
      <w:pPr>
        <w:ind w:left="360" w:hanging="360"/>
      </w:pPr>
      <w:rPr>
        <w:b w:val="0"/>
        <w:sz w:val="24"/>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6633396"/>
    <w:multiLevelType w:val="hybridMultilevel"/>
    <w:tmpl w:val="56B61A4C"/>
    <w:lvl w:ilvl="0" w:tplc="13421C9E">
      <w:start w:val="1"/>
      <w:numFmt w:val="upperRoman"/>
      <w:lvlText w:val="(%1)"/>
      <w:lvlJc w:val="righ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5" w15:restartNumberingAfterBreak="0">
    <w:nsid w:val="67B96B7D"/>
    <w:multiLevelType w:val="hybridMultilevel"/>
    <w:tmpl w:val="8B247288"/>
    <w:lvl w:ilvl="0" w:tplc="1970305C">
      <w:start w:val="1"/>
      <w:numFmt w:val="lowerLetter"/>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36" w15:restartNumberingAfterBreak="0">
    <w:nsid w:val="69704C7E"/>
    <w:multiLevelType w:val="hybridMultilevel"/>
    <w:tmpl w:val="ED58EDFA"/>
    <w:lvl w:ilvl="0" w:tplc="E4F294B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EC376B5"/>
    <w:multiLevelType w:val="hybridMultilevel"/>
    <w:tmpl w:val="86B0A4F2"/>
    <w:lvl w:ilvl="0" w:tplc="CF5EDBB0">
      <w:start w:val="1"/>
      <w:numFmt w:val="upperRoman"/>
      <w:lvlText w:val="%1)"/>
      <w:lvlJc w:val="left"/>
      <w:pPr>
        <w:ind w:left="4406"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8" w15:restartNumberingAfterBreak="0">
    <w:nsid w:val="70FE187B"/>
    <w:multiLevelType w:val="hybridMultilevel"/>
    <w:tmpl w:val="0AE6891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9" w15:restartNumberingAfterBreak="0">
    <w:nsid w:val="715E7361"/>
    <w:multiLevelType w:val="hybridMultilevel"/>
    <w:tmpl w:val="1FBA938A"/>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0" w15:restartNumberingAfterBreak="0">
    <w:nsid w:val="75297DFA"/>
    <w:multiLevelType w:val="hybridMultilevel"/>
    <w:tmpl w:val="0A407E8E"/>
    <w:lvl w:ilvl="0" w:tplc="8576A6D6">
      <w:start w:val="1"/>
      <w:numFmt w:val="decimal"/>
      <w:lvlText w:val="%1."/>
      <w:lvlJc w:val="left"/>
      <w:pPr>
        <w:ind w:left="360" w:hanging="360"/>
      </w:pPr>
      <w:rPr>
        <w:b w:val="0"/>
        <w:sz w:val="20"/>
        <w:szCs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1" w15:restartNumberingAfterBreak="0">
    <w:nsid w:val="7D0C064E"/>
    <w:multiLevelType w:val="hybridMultilevel"/>
    <w:tmpl w:val="5B845FBC"/>
    <w:lvl w:ilvl="0" w:tplc="D1067066">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2" w15:restartNumberingAfterBreak="0">
    <w:nsid w:val="7F6F1B9D"/>
    <w:multiLevelType w:val="hybridMultilevel"/>
    <w:tmpl w:val="01EE71B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4"/>
  </w:num>
  <w:num w:numId="13">
    <w:abstractNumId w:val="30"/>
  </w:num>
  <w:num w:numId="14">
    <w:abstractNumId w:val="27"/>
  </w:num>
  <w:num w:numId="15">
    <w:abstractNumId w:val="18"/>
  </w:num>
  <w:num w:numId="16">
    <w:abstractNumId w:val="25"/>
  </w:num>
  <w:num w:numId="17">
    <w:abstractNumId w:val="12"/>
  </w:num>
  <w:num w:numId="18">
    <w:abstractNumId w:val="20"/>
  </w:num>
  <w:num w:numId="19">
    <w:abstractNumId w:val="23"/>
  </w:num>
  <w:num w:numId="20">
    <w:abstractNumId w:val="10"/>
  </w:num>
  <w:num w:numId="21">
    <w:abstractNumId w:val="28"/>
  </w:num>
  <w:num w:numId="22">
    <w:abstractNumId w:val="39"/>
  </w:num>
  <w:num w:numId="23">
    <w:abstractNumId w:val="36"/>
  </w:num>
  <w:num w:numId="24">
    <w:abstractNumId w:val="13"/>
  </w:num>
  <w:num w:numId="25">
    <w:abstractNumId w:val="17"/>
  </w:num>
  <w:num w:numId="26">
    <w:abstractNumId w:val="34"/>
  </w:num>
  <w:num w:numId="27">
    <w:abstractNumId w:val="42"/>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5"/>
  </w:num>
  <w:num w:numId="31">
    <w:abstractNumId w:val="41"/>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16"/>
  </w:num>
  <w:num w:numId="35">
    <w:abstractNumId w:val="37"/>
  </w:num>
  <w:num w:numId="36">
    <w:abstractNumId w:val="32"/>
  </w:num>
  <w:num w:numId="37">
    <w:abstractNumId w:val="24"/>
  </w:num>
  <w:num w:numId="38">
    <w:abstractNumId w:val="11"/>
  </w:num>
  <w:num w:numId="39">
    <w:abstractNumId w:val="26"/>
  </w:num>
  <w:num w:numId="40">
    <w:abstractNumId w:val="22"/>
  </w:num>
  <w:num w:numId="41">
    <w:abstractNumId w:val="19"/>
  </w:num>
  <w:num w:numId="42">
    <w:abstractNumId w:val="29"/>
  </w:num>
  <w:num w:numId="43">
    <w:abstractNumId w:val="40"/>
  </w:num>
  <w:num w:numId="44">
    <w:abstractNumId w:val="33"/>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3NTA2MDI2s7A0NzFV0lEKTi0uzszPAykwrAUA+lUGliwAAAA="/>
  </w:docVars>
  <w:rsids>
    <w:rsidRoot w:val="00A02924"/>
    <w:rsid w:val="000136D0"/>
    <w:rsid w:val="000210E7"/>
    <w:rsid w:val="00025BB4"/>
    <w:rsid w:val="000314CC"/>
    <w:rsid w:val="0005054A"/>
    <w:rsid w:val="000521B1"/>
    <w:rsid w:val="000538F2"/>
    <w:rsid w:val="000559F2"/>
    <w:rsid w:val="00067DEC"/>
    <w:rsid w:val="00070E2C"/>
    <w:rsid w:val="0007744E"/>
    <w:rsid w:val="00085246"/>
    <w:rsid w:val="00095C15"/>
    <w:rsid w:val="00097D23"/>
    <w:rsid w:val="000A241F"/>
    <w:rsid w:val="000A7A7C"/>
    <w:rsid w:val="000A7E5A"/>
    <w:rsid w:val="000B55F5"/>
    <w:rsid w:val="000C0B52"/>
    <w:rsid w:val="000C4DC3"/>
    <w:rsid w:val="000D34C1"/>
    <w:rsid w:val="000D46EE"/>
    <w:rsid w:val="000D7E90"/>
    <w:rsid w:val="000E6EB4"/>
    <w:rsid w:val="000F14C5"/>
    <w:rsid w:val="0010486D"/>
    <w:rsid w:val="00114597"/>
    <w:rsid w:val="00115351"/>
    <w:rsid w:val="00115CE1"/>
    <w:rsid w:val="00120AB4"/>
    <w:rsid w:val="00126878"/>
    <w:rsid w:val="00131831"/>
    <w:rsid w:val="00136BBA"/>
    <w:rsid w:val="0014300D"/>
    <w:rsid w:val="00167A4D"/>
    <w:rsid w:val="001713BC"/>
    <w:rsid w:val="001724D9"/>
    <w:rsid w:val="00175EE7"/>
    <w:rsid w:val="00180BF7"/>
    <w:rsid w:val="00181769"/>
    <w:rsid w:val="00182D5C"/>
    <w:rsid w:val="00190603"/>
    <w:rsid w:val="00191C75"/>
    <w:rsid w:val="00197358"/>
    <w:rsid w:val="001C00D6"/>
    <w:rsid w:val="001C6696"/>
    <w:rsid w:val="001D07AD"/>
    <w:rsid w:val="001D12EF"/>
    <w:rsid w:val="001D2435"/>
    <w:rsid w:val="001F05AA"/>
    <w:rsid w:val="001F06F5"/>
    <w:rsid w:val="001F1006"/>
    <w:rsid w:val="00223D8D"/>
    <w:rsid w:val="002314AB"/>
    <w:rsid w:val="00233EDB"/>
    <w:rsid w:val="00241248"/>
    <w:rsid w:val="00246AFF"/>
    <w:rsid w:val="0025446D"/>
    <w:rsid w:val="00255F4F"/>
    <w:rsid w:val="00257A96"/>
    <w:rsid w:val="00265926"/>
    <w:rsid w:val="00267634"/>
    <w:rsid w:val="00272201"/>
    <w:rsid w:val="002727C5"/>
    <w:rsid w:val="002737A6"/>
    <w:rsid w:val="00280A70"/>
    <w:rsid w:val="00282ACA"/>
    <w:rsid w:val="002832C2"/>
    <w:rsid w:val="00286363"/>
    <w:rsid w:val="0029712A"/>
    <w:rsid w:val="002A294D"/>
    <w:rsid w:val="002B2AF2"/>
    <w:rsid w:val="002B30B3"/>
    <w:rsid w:val="002B63A2"/>
    <w:rsid w:val="002F4630"/>
    <w:rsid w:val="00315057"/>
    <w:rsid w:val="00315575"/>
    <w:rsid w:val="00320DCF"/>
    <w:rsid w:val="003348D6"/>
    <w:rsid w:val="00350564"/>
    <w:rsid w:val="00366D46"/>
    <w:rsid w:val="003714D1"/>
    <w:rsid w:val="0037599E"/>
    <w:rsid w:val="00376CF5"/>
    <w:rsid w:val="00385B56"/>
    <w:rsid w:val="00392D76"/>
    <w:rsid w:val="00396D88"/>
    <w:rsid w:val="003B167A"/>
    <w:rsid w:val="003B1A73"/>
    <w:rsid w:val="003D00EB"/>
    <w:rsid w:val="003D5E14"/>
    <w:rsid w:val="003D7485"/>
    <w:rsid w:val="003E2085"/>
    <w:rsid w:val="003E3696"/>
    <w:rsid w:val="003E49D5"/>
    <w:rsid w:val="003E6635"/>
    <w:rsid w:val="003E722F"/>
    <w:rsid w:val="003F3943"/>
    <w:rsid w:val="003F4170"/>
    <w:rsid w:val="003F642F"/>
    <w:rsid w:val="004151E7"/>
    <w:rsid w:val="0041722A"/>
    <w:rsid w:val="004178DD"/>
    <w:rsid w:val="00421061"/>
    <w:rsid w:val="004231C5"/>
    <w:rsid w:val="004321EE"/>
    <w:rsid w:val="00435AA4"/>
    <w:rsid w:val="00440F3E"/>
    <w:rsid w:val="00443073"/>
    <w:rsid w:val="0044329D"/>
    <w:rsid w:val="00475061"/>
    <w:rsid w:val="00481396"/>
    <w:rsid w:val="00495B11"/>
    <w:rsid w:val="004A2EB2"/>
    <w:rsid w:val="004B0BE1"/>
    <w:rsid w:val="004C0784"/>
    <w:rsid w:val="004C67A4"/>
    <w:rsid w:val="004E242D"/>
    <w:rsid w:val="004E75DE"/>
    <w:rsid w:val="004F3A9B"/>
    <w:rsid w:val="00501F2C"/>
    <w:rsid w:val="0050743F"/>
    <w:rsid w:val="005224A7"/>
    <w:rsid w:val="00527E2B"/>
    <w:rsid w:val="005374A9"/>
    <w:rsid w:val="0054141F"/>
    <w:rsid w:val="0054411F"/>
    <w:rsid w:val="005502BA"/>
    <w:rsid w:val="00551F6B"/>
    <w:rsid w:val="00556752"/>
    <w:rsid w:val="00577E77"/>
    <w:rsid w:val="0059032B"/>
    <w:rsid w:val="0059188C"/>
    <w:rsid w:val="005A2ECE"/>
    <w:rsid w:val="005C7354"/>
    <w:rsid w:val="005D3F0B"/>
    <w:rsid w:val="006004EB"/>
    <w:rsid w:val="006005BD"/>
    <w:rsid w:val="00605D0B"/>
    <w:rsid w:val="006174FA"/>
    <w:rsid w:val="00617542"/>
    <w:rsid w:val="0062254E"/>
    <w:rsid w:val="006227A4"/>
    <w:rsid w:val="00625939"/>
    <w:rsid w:val="00630072"/>
    <w:rsid w:val="00642DC3"/>
    <w:rsid w:val="006502EB"/>
    <w:rsid w:val="00662803"/>
    <w:rsid w:val="00681ED8"/>
    <w:rsid w:val="006928A3"/>
    <w:rsid w:val="006A480A"/>
    <w:rsid w:val="006A4DD8"/>
    <w:rsid w:val="006A5AFA"/>
    <w:rsid w:val="006B3CB1"/>
    <w:rsid w:val="006C4783"/>
    <w:rsid w:val="006C547D"/>
    <w:rsid w:val="006D016D"/>
    <w:rsid w:val="006D14B2"/>
    <w:rsid w:val="006E5F23"/>
    <w:rsid w:val="006F22F4"/>
    <w:rsid w:val="006F2559"/>
    <w:rsid w:val="006F3D8A"/>
    <w:rsid w:val="00702425"/>
    <w:rsid w:val="007046F3"/>
    <w:rsid w:val="00710BAC"/>
    <w:rsid w:val="0071403C"/>
    <w:rsid w:val="00715B6D"/>
    <w:rsid w:val="00716ACC"/>
    <w:rsid w:val="00747E4D"/>
    <w:rsid w:val="00754929"/>
    <w:rsid w:val="00756175"/>
    <w:rsid w:val="00763ED3"/>
    <w:rsid w:val="007655D3"/>
    <w:rsid w:val="0076648D"/>
    <w:rsid w:val="00766924"/>
    <w:rsid w:val="00774915"/>
    <w:rsid w:val="0077678B"/>
    <w:rsid w:val="00783A98"/>
    <w:rsid w:val="00797687"/>
    <w:rsid w:val="007A0A86"/>
    <w:rsid w:val="007B147D"/>
    <w:rsid w:val="007B1F3C"/>
    <w:rsid w:val="007B48DA"/>
    <w:rsid w:val="007C46C5"/>
    <w:rsid w:val="007C4FA2"/>
    <w:rsid w:val="007C633D"/>
    <w:rsid w:val="007C6442"/>
    <w:rsid w:val="007E2B1F"/>
    <w:rsid w:val="007E4755"/>
    <w:rsid w:val="007E6FE3"/>
    <w:rsid w:val="007F6C62"/>
    <w:rsid w:val="007F6EAC"/>
    <w:rsid w:val="00805622"/>
    <w:rsid w:val="00820FEB"/>
    <w:rsid w:val="00831197"/>
    <w:rsid w:val="00832DF1"/>
    <w:rsid w:val="0083441C"/>
    <w:rsid w:val="0083670D"/>
    <w:rsid w:val="00844C35"/>
    <w:rsid w:val="00862967"/>
    <w:rsid w:val="00864E55"/>
    <w:rsid w:val="008869BC"/>
    <w:rsid w:val="008A1834"/>
    <w:rsid w:val="008A250B"/>
    <w:rsid w:val="008A55EA"/>
    <w:rsid w:val="008B58C1"/>
    <w:rsid w:val="008D2F34"/>
    <w:rsid w:val="008E3A4E"/>
    <w:rsid w:val="008E6684"/>
    <w:rsid w:val="008E7936"/>
    <w:rsid w:val="008E7C7F"/>
    <w:rsid w:val="008F6600"/>
    <w:rsid w:val="009131CC"/>
    <w:rsid w:val="0092687E"/>
    <w:rsid w:val="0092743C"/>
    <w:rsid w:val="00931CCC"/>
    <w:rsid w:val="0093288B"/>
    <w:rsid w:val="00944F46"/>
    <w:rsid w:val="00961E4B"/>
    <w:rsid w:val="00977B35"/>
    <w:rsid w:val="00981BE5"/>
    <w:rsid w:val="00993A7E"/>
    <w:rsid w:val="00996386"/>
    <w:rsid w:val="009A1BA3"/>
    <w:rsid w:val="009B02CE"/>
    <w:rsid w:val="009C780C"/>
    <w:rsid w:val="009C78F2"/>
    <w:rsid w:val="009D2A19"/>
    <w:rsid w:val="009D4D63"/>
    <w:rsid w:val="009E7450"/>
    <w:rsid w:val="009F1E15"/>
    <w:rsid w:val="00A02924"/>
    <w:rsid w:val="00A02EDA"/>
    <w:rsid w:val="00A0370D"/>
    <w:rsid w:val="00A05097"/>
    <w:rsid w:val="00A12D2A"/>
    <w:rsid w:val="00A13025"/>
    <w:rsid w:val="00A20881"/>
    <w:rsid w:val="00A21ABC"/>
    <w:rsid w:val="00A263FD"/>
    <w:rsid w:val="00A46C57"/>
    <w:rsid w:val="00A505B7"/>
    <w:rsid w:val="00A5149E"/>
    <w:rsid w:val="00A5290E"/>
    <w:rsid w:val="00A544EE"/>
    <w:rsid w:val="00A57B62"/>
    <w:rsid w:val="00A74B9A"/>
    <w:rsid w:val="00A77D10"/>
    <w:rsid w:val="00A80CEA"/>
    <w:rsid w:val="00A8423C"/>
    <w:rsid w:val="00AA6B04"/>
    <w:rsid w:val="00AB5893"/>
    <w:rsid w:val="00AB7109"/>
    <w:rsid w:val="00AC05DF"/>
    <w:rsid w:val="00AC6D29"/>
    <w:rsid w:val="00AD7892"/>
    <w:rsid w:val="00AE5165"/>
    <w:rsid w:val="00AF0FE1"/>
    <w:rsid w:val="00AF59AF"/>
    <w:rsid w:val="00B10F43"/>
    <w:rsid w:val="00B15EEB"/>
    <w:rsid w:val="00B20A46"/>
    <w:rsid w:val="00B21659"/>
    <w:rsid w:val="00B246D9"/>
    <w:rsid w:val="00B26050"/>
    <w:rsid w:val="00B30FF0"/>
    <w:rsid w:val="00B33678"/>
    <w:rsid w:val="00B3530A"/>
    <w:rsid w:val="00B37D61"/>
    <w:rsid w:val="00B41D7B"/>
    <w:rsid w:val="00B54760"/>
    <w:rsid w:val="00B55FA0"/>
    <w:rsid w:val="00B67A0D"/>
    <w:rsid w:val="00B71420"/>
    <w:rsid w:val="00B72596"/>
    <w:rsid w:val="00B83EFA"/>
    <w:rsid w:val="00B842E6"/>
    <w:rsid w:val="00B85292"/>
    <w:rsid w:val="00B93407"/>
    <w:rsid w:val="00BC04E7"/>
    <w:rsid w:val="00BD1285"/>
    <w:rsid w:val="00BD38A3"/>
    <w:rsid w:val="00BE618F"/>
    <w:rsid w:val="00BE7A89"/>
    <w:rsid w:val="00BF41EF"/>
    <w:rsid w:val="00BF7B3A"/>
    <w:rsid w:val="00C04680"/>
    <w:rsid w:val="00C04895"/>
    <w:rsid w:val="00C04945"/>
    <w:rsid w:val="00C06EC0"/>
    <w:rsid w:val="00C12354"/>
    <w:rsid w:val="00C13CA4"/>
    <w:rsid w:val="00C159D8"/>
    <w:rsid w:val="00C271A3"/>
    <w:rsid w:val="00C44E4B"/>
    <w:rsid w:val="00C45174"/>
    <w:rsid w:val="00C61155"/>
    <w:rsid w:val="00C67832"/>
    <w:rsid w:val="00C730E4"/>
    <w:rsid w:val="00C773E1"/>
    <w:rsid w:val="00C81CB0"/>
    <w:rsid w:val="00C90CA8"/>
    <w:rsid w:val="00CA298D"/>
    <w:rsid w:val="00CA53ED"/>
    <w:rsid w:val="00CB26D3"/>
    <w:rsid w:val="00CC1D9E"/>
    <w:rsid w:val="00CC302C"/>
    <w:rsid w:val="00CD00E0"/>
    <w:rsid w:val="00CD0E12"/>
    <w:rsid w:val="00CD1128"/>
    <w:rsid w:val="00CD24BC"/>
    <w:rsid w:val="00CD5F8B"/>
    <w:rsid w:val="00CE0394"/>
    <w:rsid w:val="00CE19FD"/>
    <w:rsid w:val="00CE79A8"/>
    <w:rsid w:val="00CE7FCE"/>
    <w:rsid w:val="00D0184C"/>
    <w:rsid w:val="00D06126"/>
    <w:rsid w:val="00D30790"/>
    <w:rsid w:val="00D43ECF"/>
    <w:rsid w:val="00D506B9"/>
    <w:rsid w:val="00D55209"/>
    <w:rsid w:val="00D77278"/>
    <w:rsid w:val="00D77D09"/>
    <w:rsid w:val="00D84C0C"/>
    <w:rsid w:val="00D916E1"/>
    <w:rsid w:val="00D96516"/>
    <w:rsid w:val="00D96F77"/>
    <w:rsid w:val="00DA5207"/>
    <w:rsid w:val="00DB425D"/>
    <w:rsid w:val="00DB5B7E"/>
    <w:rsid w:val="00DB5FA5"/>
    <w:rsid w:val="00DC4DC5"/>
    <w:rsid w:val="00DC5B7E"/>
    <w:rsid w:val="00DD0F1D"/>
    <w:rsid w:val="00DD2705"/>
    <w:rsid w:val="00DE1C76"/>
    <w:rsid w:val="00E0088C"/>
    <w:rsid w:val="00E16236"/>
    <w:rsid w:val="00E175B9"/>
    <w:rsid w:val="00E31814"/>
    <w:rsid w:val="00E3333E"/>
    <w:rsid w:val="00E364E0"/>
    <w:rsid w:val="00E43103"/>
    <w:rsid w:val="00E652ED"/>
    <w:rsid w:val="00E776D6"/>
    <w:rsid w:val="00E827E3"/>
    <w:rsid w:val="00E82A51"/>
    <w:rsid w:val="00E82FC5"/>
    <w:rsid w:val="00E852A5"/>
    <w:rsid w:val="00E95289"/>
    <w:rsid w:val="00EA3ECA"/>
    <w:rsid w:val="00EA4344"/>
    <w:rsid w:val="00EA45F1"/>
    <w:rsid w:val="00EA670B"/>
    <w:rsid w:val="00EB37B5"/>
    <w:rsid w:val="00EB4648"/>
    <w:rsid w:val="00EC1DD6"/>
    <w:rsid w:val="00EC3994"/>
    <w:rsid w:val="00EC5FE9"/>
    <w:rsid w:val="00ED0FFD"/>
    <w:rsid w:val="00ED75F4"/>
    <w:rsid w:val="00EE2DEB"/>
    <w:rsid w:val="00EF7624"/>
    <w:rsid w:val="00F05365"/>
    <w:rsid w:val="00F15A99"/>
    <w:rsid w:val="00F21303"/>
    <w:rsid w:val="00F416A4"/>
    <w:rsid w:val="00F46C9E"/>
    <w:rsid w:val="00F5649E"/>
    <w:rsid w:val="00F605D3"/>
    <w:rsid w:val="00F61087"/>
    <w:rsid w:val="00F71B1C"/>
    <w:rsid w:val="00F74D44"/>
    <w:rsid w:val="00F875E9"/>
    <w:rsid w:val="00F92F84"/>
    <w:rsid w:val="00FA226C"/>
    <w:rsid w:val="00FA7A38"/>
    <w:rsid w:val="00FB2679"/>
    <w:rsid w:val="00FB6C0C"/>
    <w:rsid w:val="00FC2BEA"/>
    <w:rsid w:val="00FC4422"/>
    <w:rsid w:val="00FD5AB6"/>
    <w:rsid w:val="00FD5D4E"/>
    <w:rsid w:val="00FF74D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047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6"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0F3E"/>
    <w:pPr>
      <w:spacing w:after="200" w:line="276" w:lineRule="auto"/>
    </w:pPr>
    <w:rPr>
      <w:sz w:val="22"/>
      <w:szCs w:val="22"/>
      <w:lang w:eastAsia="en-US"/>
    </w:rPr>
  </w:style>
  <w:style w:type="paragraph" w:styleId="Heading1">
    <w:name w:val="heading 1"/>
    <w:basedOn w:val="Normal"/>
    <w:next w:val="Normal"/>
    <w:link w:val="Heading1Char"/>
    <w:uiPriority w:val="9"/>
    <w:qFormat/>
    <w:rsid w:val="003E49D5"/>
    <w:pPr>
      <w:keepNext/>
      <w:keepLines/>
      <w:spacing w:after="0" w:line="480" w:lineRule="auto"/>
      <w:jc w:val="center"/>
      <w:outlineLvl w:val="0"/>
    </w:pPr>
    <w:rPr>
      <w:rFonts w:ascii="Times New Roman" w:eastAsia="SimHei" w:hAnsi="Times New Roman"/>
      <w:b/>
      <w:bCs/>
      <w:color w:val="000000"/>
      <w:sz w:val="24"/>
      <w:szCs w:val="24"/>
      <w:lang w:val="en-US" w:eastAsia="ja-JP"/>
    </w:rPr>
  </w:style>
  <w:style w:type="paragraph" w:styleId="Heading2">
    <w:name w:val="heading 2"/>
    <w:basedOn w:val="Normal"/>
    <w:next w:val="Normal"/>
    <w:link w:val="Heading2Char"/>
    <w:uiPriority w:val="9"/>
    <w:qFormat/>
    <w:rsid w:val="003E49D5"/>
    <w:pPr>
      <w:keepNext/>
      <w:keepLines/>
      <w:spacing w:after="0" w:line="480" w:lineRule="auto"/>
      <w:outlineLvl w:val="1"/>
    </w:pPr>
    <w:rPr>
      <w:rFonts w:ascii="Times New Roman" w:eastAsia="SimHei" w:hAnsi="Times New Roman"/>
      <w:b/>
      <w:bCs/>
      <w:color w:val="000000"/>
      <w:sz w:val="24"/>
      <w:szCs w:val="24"/>
      <w:lang w:val="en-US" w:eastAsia="ja-JP"/>
    </w:rPr>
  </w:style>
  <w:style w:type="paragraph" w:styleId="Heading3">
    <w:name w:val="heading 3"/>
    <w:basedOn w:val="Normal"/>
    <w:next w:val="Normal"/>
    <w:link w:val="Heading3Char"/>
    <w:uiPriority w:val="9"/>
    <w:qFormat/>
    <w:rsid w:val="003E49D5"/>
    <w:pPr>
      <w:keepNext/>
      <w:keepLines/>
      <w:spacing w:after="0" w:line="480" w:lineRule="auto"/>
      <w:ind w:firstLine="720"/>
      <w:outlineLvl w:val="2"/>
    </w:pPr>
    <w:rPr>
      <w:rFonts w:ascii="Times New Roman" w:eastAsia="SimHei" w:hAnsi="Times New Roman"/>
      <w:b/>
      <w:bCs/>
      <w:color w:val="000000"/>
      <w:sz w:val="24"/>
      <w:szCs w:val="24"/>
      <w:lang w:val="en-US" w:eastAsia="ja-JP"/>
    </w:rPr>
  </w:style>
  <w:style w:type="paragraph" w:styleId="Heading4">
    <w:name w:val="heading 4"/>
    <w:basedOn w:val="Normal"/>
    <w:next w:val="Normal"/>
    <w:link w:val="Heading4Char"/>
    <w:uiPriority w:val="9"/>
    <w:qFormat/>
    <w:rsid w:val="003E49D5"/>
    <w:pPr>
      <w:keepNext/>
      <w:keepLines/>
      <w:spacing w:after="0" w:line="480" w:lineRule="auto"/>
      <w:ind w:firstLine="720"/>
      <w:outlineLvl w:val="3"/>
    </w:pPr>
    <w:rPr>
      <w:rFonts w:ascii="Times New Roman" w:eastAsia="SimHei" w:hAnsi="Times New Roman"/>
      <w:b/>
      <w:bCs/>
      <w:i/>
      <w:iCs/>
      <w:color w:val="000000"/>
      <w:sz w:val="24"/>
      <w:szCs w:val="24"/>
      <w:lang w:val="en-US" w:eastAsia="ja-JP"/>
    </w:rPr>
  </w:style>
  <w:style w:type="paragraph" w:styleId="Heading5">
    <w:name w:val="heading 5"/>
    <w:basedOn w:val="Normal"/>
    <w:next w:val="Normal"/>
    <w:link w:val="Heading5Char"/>
    <w:uiPriority w:val="9"/>
    <w:qFormat/>
    <w:rsid w:val="003E49D5"/>
    <w:pPr>
      <w:keepNext/>
      <w:keepLines/>
      <w:spacing w:after="0" w:line="480" w:lineRule="auto"/>
      <w:ind w:firstLine="720"/>
      <w:outlineLvl w:val="4"/>
    </w:pPr>
    <w:rPr>
      <w:rFonts w:ascii="Times New Roman" w:eastAsia="SimHei" w:hAnsi="Times New Roman"/>
      <w:i/>
      <w:iCs/>
      <w:color w:val="000000"/>
      <w:sz w:val="24"/>
      <w:szCs w:val="24"/>
      <w:lang w:val="en-US" w:eastAsia="ja-JP"/>
    </w:rPr>
  </w:style>
  <w:style w:type="paragraph" w:styleId="Heading6">
    <w:name w:val="heading 6"/>
    <w:basedOn w:val="Normal"/>
    <w:next w:val="Normal"/>
    <w:link w:val="Heading6Char"/>
    <w:uiPriority w:val="9"/>
    <w:semiHidden/>
    <w:qFormat/>
    <w:rsid w:val="003E49D5"/>
    <w:pPr>
      <w:keepNext/>
      <w:keepLines/>
      <w:spacing w:before="40" w:after="0" w:line="480" w:lineRule="auto"/>
      <w:outlineLvl w:val="5"/>
    </w:pPr>
    <w:rPr>
      <w:rFonts w:ascii="Times New Roman" w:eastAsia="SimHei" w:hAnsi="Times New Roman"/>
      <w:color w:val="6E6E6E"/>
      <w:sz w:val="24"/>
      <w:szCs w:val="24"/>
      <w:lang w:val="en-US" w:eastAsia="ja-JP"/>
    </w:rPr>
  </w:style>
  <w:style w:type="paragraph" w:styleId="Heading7">
    <w:name w:val="heading 7"/>
    <w:basedOn w:val="Normal"/>
    <w:next w:val="Normal"/>
    <w:link w:val="Heading7Char"/>
    <w:uiPriority w:val="9"/>
    <w:semiHidden/>
    <w:unhideWhenUsed/>
    <w:qFormat/>
    <w:rsid w:val="003E49D5"/>
    <w:pPr>
      <w:keepNext/>
      <w:keepLines/>
      <w:spacing w:before="200" w:after="0" w:line="360" w:lineRule="auto"/>
      <w:ind w:left="1296" w:hanging="1296"/>
      <w:jc w:val="both"/>
      <w:outlineLvl w:val="6"/>
    </w:pPr>
    <w:rPr>
      <w:rFonts w:ascii="Times New Roman" w:eastAsia="SimHei" w:hAnsi="Times New Roman"/>
      <w:i/>
      <w:iCs/>
      <w:color w:val="404040"/>
      <w:sz w:val="24"/>
    </w:rPr>
  </w:style>
  <w:style w:type="paragraph" w:styleId="Heading8">
    <w:name w:val="heading 8"/>
    <w:basedOn w:val="Normal"/>
    <w:next w:val="Normal"/>
    <w:link w:val="Heading8Char"/>
    <w:uiPriority w:val="9"/>
    <w:semiHidden/>
    <w:unhideWhenUsed/>
    <w:qFormat/>
    <w:rsid w:val="003E49D5"/>
    <w:pPr>
      <w:keepNext/>
      <w:keepLines/>
      <w:spacing w:before="200" w:after="0" w:line="360" w:lineRule="auto"/>
      <w:ind w:left="1440" w:hanging="1440"/>
      <w:jc w:val="both"/>
      <w:outlineLvl w:val="7"/>
    </w:pPr>
    <w:rPr>
      <w:rFonts w:ascii="Times New Roman" w:eastAsia="SimHei" w:hAnsi="Times New Roman"/>
      <w:color w:val="404040"/>
      <w:sz w:val="20"/>
      <w:szCs w:val="20"/>
    </w:rPr>
  </w:style>
  <w:style w:type="paragraph" w:styleId="Heading9">
    <w:name w:val="heading 9"/>
    <w:basedOn w:val="Normal"/>
    <w:next w:val="Normal"/>
    <w:link w:val="Heading9Char"/>
    <w:uiPriority w:val="9"/>
    <w:semiHidden/>
    <w:unhideWhenUsed/>
    <w:qFormat/>
    <w:rsid w:val="003E49D5"/>
    <w:pPr>
      <w:keepNext/>
      <w:keepLines/>
      <w:spacing w:before="200" w:after="0" w:line="360" w:lineRule="auto"/>
      <w:ind w:left="1584" w:hanging="1584"/>
      <w:jc w:val="both"/>
      <w:outlineLvl w:val="8"/>
    </w:pPr>
    <w:rPr>
      <w:rFonts w:ascii="Times New Roman" w:eastAsia="SimHei" w:hAnsi="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02924"/>
    <w:pPr>
      <w:tabs>
        <w:tab w:val="center" w:pos="4252"/>
        <w:tab w:val="right" w:pos="8504"/>
      </w:tabs>
      <w:spacing w:after="0" w:line="240" w:lineRule="auto"/>
    </w:pPr>
  </w:style>
  <w:style w:type="character" w:customStyle="1" w:styleId="HeaderChar">
    <w:name w:val="Header Char"/>
    <w:basedOn w:val="DefaultParagraphFont"/>
    <w:link w:val="Header"/>
    <w:uiPriority w:val="99"/>
    <w:rsid w:val="00A02924"/>
  </w:style>
  <w:style w:type="paragraph" w:styleId="Footer">
    <w:name w:val="footer"/>
    <w:basedOn w:val="Normal"/>
    <w:link w:val="FooterChar"/>
    <w:uiPriority w:val="99"/>
    <w:unhideWhenUsed/>
    <w:qFormat/>
    <w:rsid w:val="00A02924"/>
    <w:pPr>
      <w:tabs>
        <w:tab w:val="center" w:pos="4252"/>
        <w:tab w:val="right" w:pos="8504"/>
      </w:tabs>
      <w:spacing w:after="0" w:line="240" w:lineRule="auto"/>
    </w:pPr>
  </w:style>
  <w:style w:type="character" w:customStyle="1" w:styleId="FooterChar">
    <w:name w:val="Footer Char"/>
    <w:basedOn w:val="DefaultParagraphFont"/>
    <w:link w:val="Footer"/>
    <w:uiPriority w:val="99"/>
    <w:rsid w:val="00A02924"/>
  </w:style>
  <w:style w:type="paragraph" w:styleId="BalloonText">
    <w:name w:val="Balloon Text"/>
    <w:basedOn w:val="Normal"/>
    <w:link w:val="BalloonTextChar"/>
    <w:uiPriority w:val="99"/>
    <w:semiHidden/>
    <w:unhideWhenUsed/>
    <w:rsid w:val="00A0292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2924"/>
    <w:rPr>
      <w:rFonts w:ascii="Tahoma" w:hAnsi="Tahoma" w:cs="Tahoma"/>
      <w:sz w:val="16"/>
      <w:szCs w:val="16"/>
    </w:rPr>
  </w:style>
  <w:style w:type="character" w:customStyle="1" w:styleId="Heading1Char">
    <w:name w:val="Heading 1 Char"/>
    <w:link w:val="Heading1"/>
    <w:uiPriority w:val="9"/>
    <w:rsid w:val="003E49D5"/>
    <w:rPr>
      <w:rFonts w:ascii="Times New Roman" w:eastAsia="SimHei" w:hAnsi="Times New Roman"/>
      <w:b/>
      <w:bCs/>
      <w:color w:val="000000"/>
      <w:sz w:val="24"/>
      <w:szCs w:val="24"/>
      <w:lang w:val="en-US" w:eastAsia="ja-JP"/>
    </w:rPr>
  </w:style>
  <w:style w:type="character" w:customStyle="1" w:styleId="Heading2Char">
    <w:name w:val="Heading 2 Char"/>
    <w:link w:val="Heading2"/>
    <w:uiPriority w:val="9"/>
    <w:rsid w:val="003E49D5"/>
    <w:rPr>
      <w:rFonts w:ascii="Times New Roman" w:eastAsia="SimHei" w:hAnsi="Times New Roman"/>
      <w:b/>
      <w:bCs/>
      <w:color w:val="000000"/>
      <w:sz w:val="24"/>
      <w:szCs w:val="24"/>
      <w:lang w:val="en-US" w:eastAsia="ja-JP"/>
    </w:rPr>
  </w:style>
  <w:style w:type="character" w:customStyle="1" w:styleId="Heading3Char">
    <w:name w:val="Heading 3 Char"/>
    <w:link w:val="Heading3"/>
    <w:uiPriority w:val="9"/>
    <w:rsid w:val="003E49D5"/>
    <w:rPr>
      <w:rFonts w:ascii="Times New Roman" w:eastAsia="SimHei" w:hAnsi="Times New Roman"/>
      <w:b/>
      <w:bCs/>
      <w:color w:val="000000"/>
      <w:sz w:val="24"/>
      <w:szCs w:val="24"/>
      <w:lang w:val="en-US" w:eastAsia="ja-JP"/>
    </w:rPr>
  </w:style>
  <w:style w:type="character" w:customStyle="1" w:styleId="Heading4Char">
    <w:name w:val="Heading 4 Char"/>
    <w:link w:val="Heading4"/>
    <w:uiPriority w:val="9"/>
    <w:rsid w:val="003E49D5"/>
    <w:rPr>
      <w:rFonts w:ascii="Times New Roman" w:eastAsia="SimHei" w:hAnsi="Times New Roman"/>
      <w:b/>
      <w:bCs/>
      <w:i/>
      <w:iCs/>
      <w:color w:val="000000"/>
      <w:sz w:val="24"/>
      <w:szCs w:val="24"/>
      <w:lang w:val="en-US" w:eastAsia="ja-JP"/>
    </w:rPr>
  </w:style>
  <w:style w:type="character" w:customStyle="1" w:styleId="Heading5Char">
    <w:name w:val="Heading 5 Char"/>
    <w:link w:val="Heading5"/>
    <w:uiPriority w:val="9"/>
    <w:rsid w:val="003E49D5"/>
    <w:rPr>
      <w:rFonts w:ascii="Times New Roman" w:eastAsia="SimHei" w:hAnsi="Times New Roman"/>
      <w:i/>
      <w:iCs/>
      <w:color w:val="000000"/>
      <w:sz w:val="24"/>
      <w:szCs w:val="24"/>
      <w:lang w:val="en-US" w:eastAsia="ja-JP"/>
    </w:rPr>
  </w:style>
  <w:style w:type="character" w:customStyle="1" w:styleId="Heading6Char">
    <w:name w:val="Heading 6 Char"/>
    <w:link w:val="Heading6"/>
    <w:uiPriority w:val="9"/>
    <w:semiHidden/>
    <w:rsid w:val="003E49D5"/>
    <w:rPr>
      <w:rFonts w:ascii="Times New Roman" w:eastAsia="SimHei" w:hAnsi="Times New Roman"/>
      <w:color w:val="6E6E6E"/>
      <w:sz w:val="24"/>
      <w:szCs w:val="24"/>
      <w:lang w:val="en-US" w:eastAsia="ja-JP"/>
    </w:rPr>
  </w:style>
  <w:style w:type="character" w:customStyle="1" w:styleId="Heading7Char">
    <w:name w:val="Heading 7 Char"/>
    <w:link w:val="Heading7"/>
    <w:uiPriority w:val="9"/>
    <w:semiHidden/>
    <w:rsid w:val="003E49D5"/>
    <w:rPr>
      <w:rFonts w:ascii="Times New Roman" w:eastAsia="SimHei" w:hAnsi="Times New Roman"/>
      <w:i/>
      <w:iCs/>
      <w:color w:val="404040"/>
      <w:sz w:val="24"/>
      <w:szCs w:val="22"/>
      <w:lang w:eastAsia="en-US"/>
    </w:rPr>
  </w:style>
  <w:style w:type="character" w:customStyle="1" w:styleId="Heading8Char">
    <w:name w:val="Heading 8 Char"/>
    <w:link w:val="Heading8"/>
    <w:uiPriority w:val="9"/>
    <w:semiHidden/>
    <w:rsid w:val="003E49D5"/>
    <w:rPr>
      <w:rFonts w:ascii="Times New Roman" w:eastAsia="SimHei" w:hAnsi="Times New Roman"/>
      <w:color w:val="404040"/>
      <w:lang w:eastAsia="en-US"/>
    </w:rPr>
  </w:style>
  <w:style w:type="character" w:customStyle="1" w:styleId="Heading9Char">
    <w:name w:val="Heading 9 Char"/>
    <w:link w:val="Heading9"/>
    <w:uiPriority w:val="9"/>
    <w:semiHidden/>
    <w:rsid w:val="003E49D5"/>
    <w:rPr>
      <w:rFonts w:ascii="Times New Roman" w:eastAsia="SimHei" w:hAnsi="Times New Roman"/>
      <w:i/>
      <w:iCs/>
      <w:color w:val="404040"/>
      <w:lang w:eastAsia="en-US"/>
    </w:rPr>
  </w:style>
  <w:style w:type="paragraph" w:customStyle="1" w:styleId="SectionTitle">
    <w:name w:val="Section Title"/>
    <w:basedOn w:val="Normal"/>
    <w:next w:val="Normal"/>
    <w:uiPriority w:val="2"/>
    <w:qFormat/>
    <w:rsid w:val="003E49D5"/>
    <w:pPr>
      <w:pageBreakBefore/>
      <w:spacing w:after="0" w:line="480" w:lineRule="auto"/>
      <w:jc w:val="center"/>
      <w:outlineLvl w:val="0"/>
    </w:pPr>
    <w:rPr>
      <w:rFonts w:ascii="Times New Roman" w:eastAsia="SimHei" w:hAnsi="Times New Roman"/>
      <w:color w:val="000000"/>
      <w:sz w:val="24"/>
      <w:szCs w:val="24"/>
      <w:lang w:val="en-US" w:eastAsia="ja-JP"/>
    </w:rPr>
  </w:style>
  <w:style w:type="character" w:styleId="PlaceholderText">
    <w:name w:val="Placeholder Text"/>
    <w:uiPriority w:val="99"/>
    <w:semiHidden/>
    <w:rsid w:val="003E49D5"/>
    <w:rPr>
      <w:color w:val="000000"/>
    </w:rPr>
  </w:style>
  <w:style w:type="paragraph" w:styleId="NoSpacing">
    <w:name w:val="No Spacing"/>
    <w:aliases w:val="No Indent"/>
    <w:uiPriority w:val="1"/>
    <w:qFormat/>
    <w:rsid w:val="003E49D5"/>
    <w:pPr>
      <w:spacing w:line="480" w:lineRule="auto"/>
    </w:pPr>
    <w:rPr>
      <w:rFonts w:ascii="Times New Roman" w:eastAsia="SimSun" w:hAnsi="Times New Roman"/>
      <w:color w:val="000000"/>
      <w:sz w:val="24"/>
      <w:szCs w:val="24"/>
      <w:lang w:val="en-US" w:eastAsia="ja-JP"/>
    </w:rPr>
  </w:style>
  <w:style w:type="paragraph" w:styleId="Title">
    <w:name w:val="Title"/>
    <w:basedOn w:val="Normal"/>
    <w:next w:val="Normal"/>
    <w:link w:val="TitleChar"/>
    <w:uiPriority w:val="10"/>
    <w:qFormat/>
    <w:rsid w:val="003E49D5"/>
    <w:pPr>
      <w:spacing w:before="2400" w:after="0" w:line="480" w:lineRule="auto"/>
      <w:contextualSpacing/>
      <w:jc w:val="center"/>
    </w:pPr>
    <w:rPr>
      <w:rFonts w:ascii="Times New Roman" w:eastAsia="SimHei" w:hAnsi="Times New Roman"/>
      <w:color w:val="000000"/>
      <w:sz w:val="24"/>
      <w:szCs w:val="24"/>
      <w:lang w:val="en-US" w:eastAsia="ja-JP"/>
    </w:rPr>
  </w:style>
  <w:style w:type="character" w:customStyle="1" w:styleId="TitleChar">
    <w:name w:val="Title Char"/>
    <w:link w:val="Title"/>
    <w:uiPriority w:val="10"/>
    <w:rsid w:val="003E49D5"/>
    <w:rPr>
      <w:rFonts w:ascii="Times New Roman" w:eastAsia="SimHei" w:hAnsi="Times New Roman"/>
      <w:color w:val="000000"/>
      <w:sz w:val="24"/>
      <w:szCs w:val="24"/>
      <w:lang w:val="en-US" w:eastAsia="ja-JP"/>
    </w:rPr>
  </w:style>
  <w:style w:type="character" w:styleId="Emphasis">
    <w:name w:val="Emphasis"/>
    <w:uiPriority w:val="4"/>
    <w:qFormat/>
    <w:rsid w:val="003E49D5"/>
    <w:rPr>
      <w:i/>
      <w:iCs/>
    </w:rPr>
  </w:style>
  <w:style w:type="paragraph" w:styleId="Bibliography">
    <w:name w:val="Bibliography"/>
    <w:basedOn w:val="Normal"/>
    <w:next w:val="Normal"/>
    <w:uiPriority w:val="6"/>
    <w:unhideWhenUsed/>
    <w:qFormat/>
    <w:rsid w:val="003E49D5"/>
    <w:pPr>
      <w:spacing w:after="0" w:line="480" w:lineRule="auto"/>
      <w:ind w:left="720" w:hanging="720"/>
    </w:pPr>
    <w:rPr>
      <w:rFonts w:ascii="Times New Roman" w:eastAsia="SimSun" w:hAnsi="Times New Roman"/>
      <w:color w:val="000000"/>
      <w:sz w:val="24"/>
      <w:szCs w:val="24"/>
      <w:lang w:val="en-US" w:eastAsia="ja-JP"/>
    </w:rPr>
  </w:style>
  <w:style w:type="paragraph" w:styleId="BlockText">
    <w:name w:val="Block Text"/>
    <w:basedOn w:val="Normal"/>
    <w:uiPriority w:val="99"/>
    <w:semiHidden/>
    <w:unhideWhenUsed/>
    <w:rsid w:val="003E49D5"/>
    <w:pPr>
      <w:pBdr>
        <w:top w:val="single" w:sz="2" w:space="10" w:color="000000" w:shadow="1"/>
        <w:left w:val="single" w:sz="2" w:space="10" w:color="000000" w:shadow="1"/>
        <w:bottom w:val="single" w:sz="2" w:space="10" w:color="000000" w:shadow="1"/>
        <w:right w:val="single" w:sz="2" w:space="10" w:color="000000" w:shadow="1"/>
      </w:pBdr>
      <w:spacing w:after="0" w:line="480" w:lineRule="auto"/>
      <w:ind w:left="1152" w:right="1152"/>
    </w:pPr>
    <w:rPr>
      <w:rFonts w:ascii="Times New Roman" w:eastAsia="SimSun" w:hAnsi="Times New Roman"/>
      <w:i/>
      <w:iCs/>
      <w:color w:val="000000"/>
      <w:sz w:val="24"/>
      <w:szCs w:val="24"/>
      <w:lang w:val="en-US" w:eastAsia="ja-JP"/>
    </w:rPr>
  </w:style>
  <w:style w:type="paragraph" w:styleId="BodyText">
    <w:name w:val="Body Text"/>
    <w:basedOn w:val="Normal"/>
    <w:link w:val="BodyTextChar"/>
    <w:unhideWhenUsed/>
    <w:rsid w:val="003E49D5"/>
    <w:pPr>
      <w:spacing w:after="120" w:line="480" w:lineRule="auto"/>
    </w:pPr>
    <w:rPr>
      <w:rFonts w:ascii="Times New Roman" w:eastAsia="SimSun" w:hAnsi="Times New Roman"/>
      <w:color w:val="000000"/>
      <w:sz w:val="24"/>
      <w:szCs w:val="24"/>
      <w:lang w:val="en-US" w:eastAsia="ja-JP"/>
    </w:rPr>
  </w:style>
  <w:style w:type="character" w:customStyle="1" w:styleId="BodyTextChar">
    <w:name w:val="Body Text Char"/>
    <w:link w:val="BodyText"/>
    <w:rsid w:val="003E49D5"/>
    <w:rPr>
      <w:rFonts w:ascii="Times New Roman" w:eastAsia="SimSun" w:hAnsi="Times New Roman"/>
      <w:color w:val="000000"/>
      <w:sz w:val="24"/>
      <w:szCs w:val="24"/>
      <w:lang w:val="en-US" w:eastAsia="ja-JP"/>
    </w:rPr>
  </w:style>
  <w:style w:type="paragraph" w:styleId="BodyText2">
    <w:name w:val="Body Text 2"/>
    <w:basedOn w:val="Normal"/>
    <w:link w:val="BodyText2Char"/>
    <w:uiPriority w:val="99"/>
    <w:semiHidden/>
    <w:unhideWhenUsed/>
    <w:rsid w:val="003E49D5"/>
    <w:pPr>
      <w:spacing w:after="120" w:line="480" w:lineRule="auto"/>
    </w:pPr>
    <w:rPr>
      <w:rFonts w:ascii="Times New Roman" w:eastAsia="SimSun" w:hAnsi="Times New Roman"/>
      <w:color w:val="000000"/>
      <w:sz w:val="24"/>
      <w:szCs w:val="24"/>
      <w:lang w:val="en-US" w:eastAsia="ja-JP"/>
    </w:rPr>
  </w:style>
  <w:style w:type="character" w:customStyle="1" w:styleId="BodyText2Char">
    <w:name w:val="Body Text 2 Char"/>
    <w:link w:val="BodyText2"/>
    <w:uiPriority w:val="99"/>
    <w:semiHidden/>
    <w:rsid w:val="003E49D5"/>
    <w:rPr>
      <w:rFonts w:ascii="Times New Roman" w:eastAsia="SimSun" w:hAnsi="Times New Roman"/>
      <w:color w:val="000000"/>
      <w:sz w:val="24"/>
      <w:szCs w:val="24"/>
      <w:lang w:val="en-US" w:eastAsia="ja-JP"/>
    </w:rPr>
  </w:style>
  <w:style w:type="paragraph" w:styleId="BodyText3">
    <w:name w:val="Body Text 3"/>
    <w:basedOn w:val="Normal"/>
    <w:link w:val="BodyText3Char"/>
    <w:uiPriority w:val="99"/>
    <w:semiHidden/>
    <w:unhideWhenUsed/>
    <w:rsid w:val="003E49D5"/>
    <w:pPr>
      <w:spacing w:after="120" w:line="480" w:lineRule="auto"/>
    </w:pPr>
    <w:rPr>
      <w:rFonts w:ascii="Times New Roman" w:eastAsia="SimSun" w:hAnsi="Times New Roman"/>
      <w:color w:val="000000"/>
      <w:szCs w:val="16"/>
      <w:lang w:val="en-US" w:eastAsia="ja-JP"/>
    </w:rPr>
  </w:style>
  <w:style w:type="character" w:customStyle="1" w:styleId="BodyText3Char">
    <w:name w:val="Body Text 3 Char"/>
    <w:link w:val="BodyText3"/>
    <w:uiPriority w:val="99"/>
    <w:semiHidden/>
    <w:rsid w:val="003E49D5"/>
    <w:rPr>
      <w:rFonts w:ascii="Times New Roman" w:eastAsia="SimSun" w:hAnsi="Times New Roman"/>
      <w:color w:val="000000"/>
      <w:sz w:val="22"/>
      <w:szCs w:val="16"/>
      <w:lang w:val="en-US" w:eastAsia="ja-JP"/>
    </w:rPr>
  </w:style>
  <w:style w:type="paragraph" w:styleId="BodyTextFirstIndent">
    <w:name w:val="Body Text First Indent"/>
    <w:basedOn w:val="BodyText"/>
    <w:link w:val="BodyTextFirstIndentChar"/>
    <w:uiPriority w:val="99"/>
    <w:semiHidden/>
    <w:unhideWhenUsed/>
    <w:rsid w:val="003E49D5"/>
    <w:pPr>
      <w:spacing w:after="0"/>
    </w:pPr>
  </w:style>
  <w:style w:type="character" w:customStyle="1" w:styleId="BodyTextFirstIndentChar">
    <w:name w:val="Body Text First Indent Char"/>
    <w:basedOn w:val="BodyTextChar"/>
    <w:link w:val="BodyTextFirstIndent"/>
    <w:uiPriority w:val="99"/>
    <w:semiHidden/>
    <w:rsid w:val="003E49D5"/>
    <w:rPr>
      <w:rFonts w:ascii="Times New Roman" w:eastAsia="SimSun" w:hAnsi="Times New Roman"/>
      <w:color w:val="000000"/>
      <w:sz w:val="24"/>
      <w:szCs w:val="24"/>
      <w:lang w:val="en-US" w:eastAsia="ja-JP"/>
    </w:rPr>
  </w:style>
  <w:style w:type="paragraph" w:styleId="BodyTextIndent">
    <w:name w:val="Body Text Indent"/>
    <w:basedOn w:val="Normal"/>
    <w:link w:val="BodyTextIndentChar"/>
    <w:uiPriority w:val="99"/>
    <w:semiHidden/>
    <w:unhideWhenUsed/>
    <w:rsid w:val="003E49D5"/>
    <w:pPr>
      <w:spacing w:after="120" w:line="480" w:lineRule="auto"/>
      <w:ind w:left="360"/>
    </w:pPr>
    <w:rPr>
      <w:rFonts w:ascii="Times New Roman" w:eastAsia="SimSun" w:hAnsi="Times New Roman"/>
      <w:color w:val="000000"/>
      <w:sz w:val="24"/>
      <w:szCs w:val="24"/>
      <w:lang w:val="en-US" w:eastAsia="ja-JP"/>
    </w:rPr>
  </w:style>
  <w:style w:type="character" w:customStyle="1" w:styleId="BodyTextIndentChar">
    <w:name w:val="Body Text Indent Char"/>
    <w:link w:val="BodyTextIndent"/>
    <w:uiPriority w:val="99"/>
    <w:semiHidden/>
    <w:rsid w:val="003E49D5"/>
    <w:rPr>
      <w:rFonts w:ascii="Times New Roman" w:eastAsia="SimSun" w:hAnsi="Times New Roman"/>
      <w:color w:val="000000"/>
      <w:sz w:val="24"/>
      <w:szCs w:val="24"/>
      <w:lang w:val="en-US" w:eastAsia="ja-JP"/>
    </w:rPr>
  </w:style>
  <w:style w:type="paragraph" w:styleId="BodyTextFirstIndent2">
    <w:name w:val="Body Text First Indent 2"/>
    <w:basedOn w:val="BodyTextIndent"/>
    <w:link w:val="BodyTextFirstIndent2Char"/>
    <w:uiPriority w:val="99"/>
    <w:semiHidden/>
    <w:unhideWhenUsed/>
    <w:rsid w:val="003E49D5"/>
    <w:pPr>
      <w:spacing w:after="0"/>
    </w:pPr>
  </w:style>
  <w:style w:type="character" w:customStyle="1" w:styleId="BodyTextFirstIndent2Char">
    <w:name w:val="Body Text First Indent 2 Char"/>
    <w:basedOn w:val="BodyTextIndentChar"/>
    <w:link w:val="BodyTextFirstIndent2"/>
    <w:uiPriority w:val="99"/>
    <w:semiHidden/>
    <w:rsid w:val="003E49D5"/>
    <w:rPr>
      <w:rFonts w:ascii="Times New Roman" w:eastAsia="SimSun" w:hAnsi="Times New Roman"/>
      <w:color w:val="000000"/>
      <w:sz w:val="24"/>
      <w:szCs w:val="24"/>
      <w:lang w:val="en-US" w:eastAsia="ja-JP"/>
    </w:rPr>
  </w:style>
  <w:style w:type="paragraph" w:styleId="BodyTextIndent2">
    <w:name w:val="Body Text Indent 2"/>
    <w:basedOn w:val="Normal"/>
    <w:link w:val="BodyTextIndent2Char"/>
    <w:uiPriority w:val="99"/>
    <w:semiHidden/>
    <w:unhideWhenUsed/>
    <w:rsid w:val="003E49D5"/>
    <w:pPr>
      <w:spacing w:after="120" w:line="480" w:lineRule="auto"/>
      <w:ind w:left="360"/>
    </w:pPr>
    <w:rPr>
      <w:rFonts w:ascii="Times New Roman" w:eastAsia="SimSun" w:hAnsi="Times New Roman"/>
      <w:color w:val="000000"/>
      <w:sz w:val="24"/>
      <w:szCs w:val="24"/>
      <w:lang w:val="en-US" w:eastAsia="ja-JP"/>
    </w:rPr>
  </w:style>
  <w:style w:type="character" w:customStyle="1" w:styleId="BodyTextIndent2Char">
    <w:name w:val="Body Text Indent 2 Char"/>
    <w:link w:val="BodyTextIndent2"/>
    <w:uiPriority w:val="99"/>
    <w:semiHidden/>
    <w:rsid w:val="003E49D5"/>
    <w:rPr>
      <w:rFonts w:ascii="Times New Roman" w:eastAsia="SimSun" w:hAnsi="Times New Roman"/>
      <w:color w:val="000000"/>
      <w:sz w:val="24"/>
      <w:szCs w:val="24"/>
      <w:lang w:val="en-US" w:eastAsia="ja-JP"/>
    </w:rPr>
  </w:style>
  <w:style w:type="paragraph" w:styleId="BodyTextIndent3">
    <w:name w:val="Body Text Indent 3"/>
    <w:basedOn w:val="Normal"/>
    <w:link w:val="BodyTextIndent3Char"/>
    <w:uiPriority w:val="99"/>
    <w:semiHidden/>
    <w:unhideWhenUsed/>
    <w:rsid w:val="003E49D5"/>
    <w:pPr>
      <w:spacing w:after="120" w:line="480" w:lineRule="auto"/>
      <w:ind w:left="360"/>
    </w:pPr>
    <w:rPr>
      <w:rFonts w:ascii="Times New Roman" w:eastAsia="SimSun" w:hAnsi="Times New Roman"/>
      <w:color w:val="000000"/>
      <w:szCs w:val="16"/>
      <w:lang w:val="en-US" w:eastAsia="ja-JP"/>
    </w:rPr>
  </w:style>
  <w:style w:type="character" w:customStyle="1" w:styleId="BodyTextIndent3Char">
    <w:name w:val="Body Text Indent 3 Char"/>
    <w:link w:val="BodyTextIndent3"/>
    <w:uiPriority w:val="99"/>
    <w:semiHidden/>
    <w:rsid w:val="003E49D5"/>
    <w:rPr>
      <w:rFonts w:ascii="Times New Roman" w:eastAsia="SimSun" w:hAnsi="Times New Roman"/>
      <w:color w:val="000000"/>
      <w:sz w:val="22"/>
      <w:szCs w:val="16"/>
      <w:lang w:val="en-US" w:eastAsia="ja-JP"/>
    </w:rPr>
  </w:style>
  <w:style w:type="paragraph" w:styleId="Caption">
    <w:name w:val="caption"/>
    <w:basedOn w:val="Normal"/>
    <w:next w:val="Normal"/>
    <w:uiPriority w:val="35"/>
    <w:unhideWhenUsed/>
    <w:qFormat/>
    <w:rsid w:val="003E49D5"/>
    <w:pPr>
      <w:spacing w:line="240" w:lineRule="auto"/>
    </w:pPr>
    <w:rPr>
      <w:rFonts w:ascii="Times New Roman" w:eastAsia="SimSun" w:hAnsi="Times New Roman"/>
      <w:i/>
      <w:iCs/>
      <w:color w:val="000000"/>
      <w:szCs w:val="18"/>
      <w:lang w:val="en-US" w:eastAsia="ja-JP"/>
    </w:rPr>
  </w:style>
  <w:style w:type="paragraph" w:styleId="Closing">
    <w:name w:val="Closing"/>
    <w:basedOn w:val="Normal"/>
    <w:link w:val="ClosingChar"/>
    <w:uiPriority w:val="99"/>
    <w:semiHidden/>
    <w:unhideWhenUsed/>
    <w:rsid w:val="003E49D5"/>
    <w:pPr>
      <w:spacing w:after="0" w:line="240" w:lineRule="auto"/>
      <w:ind w:left="4320"/>
    </w:pPr>
    <w:rPr>
      <w:rFonts w:ascii="Times New Roman" w:eastAsia="SimSun" w:hAnsi="Times New Roman"/>
      <w:color w:val="000000"/>
      <w:sz w:val="24"/>
      <w:szCs w:val="24"/>
      <w:lang w:val="en-US" w:eastAsia="ja-JP"/>
    </w:rPr>
  </w:style>
  <w:style w:type="character" w:customStyle="1" w:styleId="ClosingChar">
    <w:name w:val="Closing Char"/>
    <w:link w:val="Closing"/>
    <w:uiPriority w:val="99"/>
    <w:semiHidden/>
    <w:rsid w:val="003E49D5"/>
    <w:rPr>
      <w:rFonts w:ascii="Times New Roman" w:eastAsia="SimSun" w:hAnsi="Times New Roman"/>
      <w:color w:val="000000"/>
      <w:sz w:val="24"/>
      <w:szCs w:val="24"/>
      <w:lang w:val="en-US" w:eastAsia="ja-JP"/>
    </w:rPr>
  </w:style>
  <w:style w:type="paragraph" w:styleId="CommentText">
    <w:name w:val="annotation text"/>
    <w:basedOn w:val="Normal"/>
    <w:link w:val="CommentTextChar"/>
    <w:uiPriority w:val="99"/>
    <w:semiHidden/>
    <w:unhideWhenUsed/>
    <w:rsid w:val="003E49D5"/>
    <w:pPr>
      <w:spacing w:after="0" w:line="240" w:lineRule="auto"/>
    </w:pPr>
    <w:rPr>
      <w:rFonts w:ascii="Times New Roman" w:eastAsia="SimSun" w:hAnsi="Times New Roman"/>
      <w:color w:val="000000"/>
      <w:szCs w:val="20"/>
      <w:lang w:val="en-US" w:eastAsia="ja-JP"/>
    </w:rPr>
  </w:style>
  <w:style w:type="character" w:customStyle="1" w:styleId="CommentTextChar">
    <w:name w:val="Comment Text Char"/>
    <w:link w:val="CommentText"/>
    <w:uiPriority w:val="99"/>
    <w:semiHidden/>
    <w:rsid w:val="003E49D5"/>
    <w:rPr>
      <w:rFonts w:ascii="Times New Roman" w:eastAsia="SimSun" w:hAnsi="Times New Roman"/>
      <w:color w:val="000000"/>
      <w:sz w:val="22"/>
      <w:lang w:val="en-US" w:eastAsia="ja-JP"/>
    </w:rPr>
  </w:style>
  <w:style w:type="paragraph" w:styleId="CommentSubject">
    <w:name w:val="annotation subject"/>
    <w:basedOn w:val="CommentText"/>
    <w:next w:val="CommentText"/>
    <w:link w:val="CommentSubjectChar"/>
    <w:uiPriority w:val="99"/>
    <w:semiHidden/>
    <w:unhideWhenUsed/>
    <w:rsid w:val="003E49D5"/>
    <w:rPr>
      <w:b/>
      <w:bCs/>
    </w:rPr>
  </w:style>
  <w:style w:type="character" w:customStyle="1" w:styleId="CommentSubjectChar">
    <w:name w:val="Comment Subject Char"/>
    <w:link w:val="CommentSubject"/>
    <w:uiPriority w:val="99"/>
    <w:semiHidden/>
    <w:rsid w:val="003E49D5"/>
    <w:rPr>
      <w:rFonts w:ascii="Times New Roman" w:eastAsia="SimSun" w:hAnsi="Times New Roman"/>
      <w:b/>
      <w:bCs/>
      <w:color w:val="000000"/>
      <w:sz w:val="22"/>
      <w:lang w:val="en-US" w:eastAsia="ja-JP"/>
    </w:rPr>
  </w:style>
  <w:style w:type="paragraph" w:styleId="Date">
    <w:name w:val="Date"/>
    <w:basedOn w:val="Normal"/>
    <w:next w:val="Normal"/>
    <w:link w:val="DateChar"/>
    <w:uiPriority w:val="99"/>
    <w:semiHidden/>
    <w:unhideWhenUsed/>
    <w:rsid w:val="003E49D5"/>
    <w:pPr>
      <w:spacing w:after="0" w:line="480" w:lineRule="auto"/>
    </w:pPr>
    <w:rPr>
      <w:rFonts w:ascii="Times New Roman" w:eastAsia="SimSun" w:hAnsi="Times New Roman"/>
      <w:color w:val="000000"/>
      <w:sz w:val="24"/>
      <w:szCs w:val="24"/>
      <w:lang w:val="en-US" w:eastAsia="ja-JP"/>
    </w:rPr>
  </w:style>
  <w:style w:type="character" w:customStyle="1" w:styleId="DateChar">
    <w:name w:val="Date Char"/>
    <w:link w:val="Date"/>
    <w:uiPriority w:val="99"/>
    <w:semiHidden/>
    <w:rsid w:val="003E49D5"/>
    <w:rPr>
      <w:rFonts w:ascii="Times New Roman" w:eastAsia="SimSun" w:hAnsi="Times New Roman"/>
      <w:color w:val="000000"/>
      <w:sz w:val="24"/>
      <w:szCs w:val="24"/>
      <w:lang w:val="en-US" w:eastAsia="ja-JP"/>
    </w:rPr>
  </w:style>
  <w:style w:type="paragraph" w:styleId="DocumentMap">
    <w:name w:val="Document Map"/>
    <w:basedOn w:val="Normal"/>
    <w:link w:val="DocumentMapChar"/>
    <w:uiPriority w:val="99"/>
    <w:semiHidden/>
    <w:unhideWhenUsed/>
    <w:rsid w:val="003E49D5"/>
    <w:pPr>
      <w:spacing w:after="0" w:line="240" w:lineRule="auto"/>
    </w:pPr>
    <w:rPr>
      <w:rFonts w:ascii="Segoe UI" w:eastAsia="SimSun" w:hAnsi="Segoe UI" w:cs="Segoe UI"/>
      <w:color w:val="000000"/>
      <w:szCs w:val="16"/>
      <w:lang w:val="en-US" w:eastAsia="ja-JP"/>
    </w:rPr>
  </w:style>
  <w:style w:type="character" w:customStyle="1" w:styleId="DocumentMapChar">
    <w:name w:val="Document Map Char"/>
    <w:link w:val="DocumentMap"/>
    <w:uiPriority w:val="99"/>
    <w:semiHidden/>
    <w:rsid w:val="003E49D5"/>
    <w:rPr>
      <w:rFonts w:ascii="Segoe UI" w:eastAsia="SimSun" w:hAnsi="Segoe UI" w:cs="Segoe UI"/>
      <w:color w:val="000000"/>
      <w:sz w:val="22"/>
      <w:szCs w:val="16"/>
      <w:lang w:val="en-US" w:eastAsia="ja-JP"/>
    </w:rPr>
  </w:style>
  <w:style w:type="paragraph" w:styleId="E-mailSignature">
    <w:name w:val="E-mail Signature"/>
    <w:basedOn w:val="Normal"/>
    <w:link w:val="E-mailSignatureChar"/>
    <w:uiPriority w:val="99"/>
    <w:semiHidden/>
    <w:unhideWhenUsed/>
    <w:rsid w:val="003E49D5"/>
    <w:pPr>
      <w:spacing w:after="0" w:line="240" w:lineRule="auto"/>
    </w:pPr>
    <w:rPr>
      <w:rFonts w:ascii="Times New Roman" w:eastAsia="SimSun" w:hAnsi="Times New Roman"/>
      <w:color w:val="000000"/>
      <w:sz w:val="24"/>
      <w:szCs w:val="24"/>
      <w:lang w:val="en-US" w:eastAsia="ja-JP"/>
    </w:rPr>
  </w:style>
  <w:style w:type="character" w:customStyle="1" w:styleId="E-mailSignatureChar">
    <w:name w:val="E-mail Signature Char"/>
    <w:link w:val="E-mailSignature"/>
    <w:uiPriority w:val="99"/>
    <w:semiHidden/>
    <w:rsid w:val="003E49D5"/>
    <w:rPr>
      <w:rFonts w:ascii="Times New Roman" w:eastAsia="SimSun" w:hAnsi="Times New Roman"/>
      <w:color w:val="000000"/>
      <w:sz w:val="24"/>
      <w:szCs w:val="24"/>
      <w:lang w:val="en-US" w:eastAsia="ja-JP"/>
    </w:rPr>
  </w:style>
  <w:style w:type="paragraph" w:styleId="FootnoteText">
    <w:name w:val="footnote text"/>
    <w:basedOn w:val="Normal"/>
    <w:link w:val="FootnoteTextChar"/>
    <w:uiPriority w:val="99"/>
    <w:semiHidden/>
    <w:unhideWhenUsed/>
    <w:rsid w:val="003E49D5"/>
    <w:pPr>
      <w:spacing w:after="0" w:line="240" w:lineRule="auto"/>
      <w:ind w:firstLine="720"/>
    </w:pPr>
    <w:rPr>
      <w:rFonts w:ascii="Times New Roman" w:eastAsia="SimSun" w:hAnsi="Times New Roman"/>
      <w:color w:val="000000"/>
      <w:szCs w:val="20"/>
      <w:lang w:val="en-US" w:eastAsia="ja-JP"/>
    </w:rPr>
  </w:style>
  <w:style w:type="character" w:customStyle="1" w:styleId="FootnoteTextChar">
    <w:name w:val="Footnote Text Char"/>
    <w:link w:val="FootnoteText"/>
    <w:uiPriority w:val="99"/>
    <w:semiHidden/>
    <w:rsid w:val="003E49D5"/>
    <w:rPr>
      <w:rFonts w:ascii="Times New Roman" w:eastAsia="SimSun" w:hAnsi="Times New Roman"/>
      <w:color w:val="000000"/>
      <w:sz w:val="22"/>
      <w:lang w:val="en-US" w:eastAsia="ja-JP"/>
    </w:rPr>
  </w:style>
  <w:style w:type="paragraph" w:styleId="EnvelopeAddress">
    <w:name w:val="envelope address"/>
    <w:basedOn w:val="Normal"/>
    <w:uiPriority w:val="99"/>
    <w:semiHidden/>
    <w:unhideWhenUsed/>
    <w:rsid w:val="003E49D5"/>
    <w:pPr>
      <w:framePr w:w="7920" w:h="1980" w:hRule="exact" w:hSpace="180" w:wrap="auto" w:hAnchor="page" w:xAlign="center" w:yAlign="bottom"/>
      <w:spacing w:after="0" w:line="240" w:lineRule="auto"/>
      <w:ind w:left="2880"/>
    </w:pPr>
    <w:rPr>
      <w:rFonts w:ascii="Times New Roman" w:eastAsia="SimHei" w:hAnsi="Times New Roman"/>
      <w:color w:val="000000"/>
      <w:sz w:val="24"/>
      <w:szCs w:val="24"/>
      <w:lang w:val="en-US" w:eastAsia="ja-JP"/>
    </w:rPr>
  </w:style>
  <w:style w:type="paragraph" w:styleId="EnvelopeReturn">
    <w:name w:val="envelope return"/>
    <w:basedOn w:val="Normal"/>
    <w:uiPriority w:val="99"/>
    <w:semiHidden/>
    <w:unhideWhenUsed/>
    <w:rsid w:val="003E49D5"/>
    <w:pPr>
      <w:spacing w:after="0" w:line="240" w:lineRule="auto"/>
    </w:pPr>
    <w:rPr>
      <w:rFonts w:ascii="Times New Roman" w:eastAsia="SimHei" w:hAnsi="Times New Roman"/>
      <w:color w:val="000000"/>
      <w:szCs w:val="20"/>
      <w:lang w:val="en-US" w:eastAsia="ja-JP"/>
    </w:rPr>
  </w:style>
  <w:style w:type="table" w:styleId="TableGrid">
    <w:name w:val="Table Grid"/>
    <w:basedOn w:val="TableNormal"/>
    <w:uiPriority w:val="39"/>
    <w:rsid w:val="003E49D5"/>
    <w:pPr>
      <w:ind w:firstLine="720"/>
    </w:pPr>
    <w:rPr>
      <w:rFonts w:ascii="Times New Roman" w:eastAsia="SimSun" w:hAnsi="Times New Roman"/>
      <w:color w:val="000000"/>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E49D5"/>
    <w:pPr>
      <w:ind w:firstLine="720"/>
    </w:pPr>
    <w:rPr>
      <w:rFonts w:ascii="Times New Roman" w:eastAsia="SimSun" w:hAnsi="Times New Roman"/>
      <w:color w:val="000000"/>
      <w:sz w:val="24"/>
      <w:szCs w:val="24"/>
      <w:lang w:val="en-US"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HTMLAddress">
    <w:name w:val="HTML Address"/>
    <w:basedOn w:val="Normal"/>
    <w:link w:val="HTMLAddressChar"/>
    <w:uiPriority w:val="99"/>
    <w:semiHidden/>
    <w:unhideWhenUsed/>
    <w:rsid w:val="003E49D5"/>
    <w:pPr>
      <w:spacing w:after="0" w:line="240" w:lineRule="auto"/>
    </w:pPr>
    <w:rPr>
      <w:rFonts w:ascii="Times New Roman" w:eastAsia="SimSun" w:hAnsi="Times New Roman"/>
      <w:i/>
      <w:iCs/>
      <w:color w:val="000000"/>
      <w:sz w:val="24"/>
      <w:szCs w:val="24"/>
      <w:lang w:val="en-US" w:eastAsia="ja-JP"/>
    </w:rPr>
  </w:style>
  <w:style w:type="character" w:customStyle="1" w:styleId="HTMLAddressChar">
    <w:name w:val="HTML Address Char"/>
    <w:link w:val="HTMLAddress"/>
    <w:uiPriority w:val="99"/>
    <w:semiHidden/>
    <w:rsid w:val="003E49D5"/>
    <w:rPr>
      <w:rFonts w:ascii="Times New Roman" w:eastAsia="SimSun" w:hAnsi="Times New Roman"/>
      <w:i/>
      <w:iCs/>
      <w:color w:val="000000"/>
      <w:sz w:val="24"/>
      <w:szCs w:val="24"/>
      <w:lang w:val="en-US" w:eastAsia="ja-JP"/>
    </w:rPr>
  </w:style>
  <w:style w:type="paragraph" w:styleId="HTMLPreformatted">
    <w:name w:val="HTML Preformatted"/>
    <w:basedOn w:val="Normal"/>
    <w:link w:val="HTMLPreformattedChar"/>
    <w:uiPriority w:val="99"/>
    <w:semiHidden/>
    <w:unhideWhenUsed/>
    <w:rsid w:val="003E49D5"/>
    <w:pPr>
      <w:spacing w:after="0" w:line="240" w:lineRule="auto"/>
    </w:pPr>
    <w:rPr>
      <w:rFonts w:ascii="Consolas" w:eastAsia="SimSun" w:hAnsi="Consolas" w:cs="Consolas"/>
      <w:color w:val="000000"/>
      <w:szCs w:val="20"/>
      <w:lang w:val="en-US" w:eastAsia="ja-JP"/>
    </w:rPr>
  </w:style>
  <w:style w:type="character" w:customStyle="1" w:styleId="HTMLPreformattedChar">
    <w:name w:val="HTML Preformatted Char"/>
    <w:link w:val="HTMLPreformatted"/>
    <w:uiPriority w:val="99"/>
    <w:semiHidden/>
    <w:rsid w:val="003E49D5"/>
    <w:rPr>
      <w:rFonts w:ascii="Consolas" w:eastAsia="SimSun" w:hAnsi="Consolas" w:cs="Consolas"/>
      <w:color w:val="000000"/>
      <w:sz w:val="22"/>
      <w:lang w:val="en-US" w:eastAsia="ja-JP"/>
    </w:rPr>
  </w:style>
  <w:style w:type="paragraph" w:styleId="Index1">
    <w:name w:val="index 1"/>
    <w:basedOn w:val="Normal"/>
    <w:next w:val="Normal"/>
    <w:autoRedefine/>
    <w:uiPriority w:val="99"/>
    <w:semiHidden/>
    <w:unhideWhenUsed/>
    <w:rsid w:val="003E49D5"/>
    <w:pPr>
      <w:spacing w:after="0" w:line="240" w:lineRule="auto"/>
      <w:ind w:left="240"/>
    </w:pPr>
    <w:rPr>
      <w:rFonts w:ascii="Times New Roman" w:eastAsia="SimSun" w:hAnsi="Times New Roman"/>
      <w:color w:val="000000"/>
      <w:sz w:val="24"/>
      <w:szCs w:val="24"/>
      <w:lang w:val="en-US" w:eastAsia="ja-JP"/>
    </w:rPr>
  </w:style>
  <w:style w:type="paragraph" w:styleId="Index2">
    <w:name w:val="index 2"/>
    <w:basedOn w:val="Normal"/>
    <w:next w:val="Normal"/>
    <w:autoRedefine/>
    <w:uiPriority w:val="99"/>
    <w:semiHidden/>
    <w:unhideWhenUsed/>
    <w:rsid w:val="003E49D5"/>
    <w:pPr>
      <w:spacing w:after="0" w:line="240" w:lineRule="auto"/>
      <w:ind w:left="480"/>
    </w:pPr>
    <w:rPr>
      <w:rFonts w:ascii="Times New Roman" w:eastAsia="SimSun" w:hAnsi="Times New Roman"/>
      <w:color w:val="000000"/>
      <w:sz w:val="24"/>
      <w:szCs w:val="24"/>
      <w:lang w:val="en-US" w:eastAsia="ja-JP"/>
    </w:rPr>
  </w:style>
  <w:style w:type="paragraph" w:styleId="Index3">
    <w:name w:val="index 3"/>
    <w:basedOn w:val="Normal"/>
    <w:next w:val="Normal"/>
    <w:autoRedefine/>
    <w:uiPriority w:val="99"/>
    <w:semiHidden/>
    <w:unhideWhenUsed/>
    <w:rsid w:val="003E49D5"/>
    <w:pPr>
      <w:spacing w:after="0" w:line="240" w:lineRule="auto"/>
      <w:ind w:left="720"/>
    </w:pPr>
    <w:rPr>
      <w:rFonts w:ascii="Times New Roman" w:eastAsia="SimSun" w:hAnsi="Times New Roman"/>
      <w:color w:val="000000"/>
      <w:sz w:val="24"/>
      <w:szCs w:val="24"/>
      <w:lang w:val="en-US" w:eastAsia="ja-JP"/>
    </w:rPr>
  </w:style>
  <w:style w:type="paragraph" w:styleId="Index4">
    <w:name w:val="index 4"/>
    <w:basedOn w:val="Normal"/>
    <w:next w:val="Normal"/>
    <w:autoRedefine/>
    <w:uiPriority w:val="99"/>
    <w:semiHidden/>
    <w:unhideWhenUsed/>
    <w:rsid w:val="003E49D5"/>
    <w:pPr>
      <w:spacing w:after="0" w:line="240" w:lineRule="auto"/>
      <w:ind w:left="960"/>
    </w:pPr>
    <w:rPr>
      <w:rFonts w:ascii="Times New Roman" w:eastAsia="SimSun" w:hAnsi="Times New Roman"/>
      <w:color w:val="000000"/>
      <w:sz w:val="24"/>
      <w:szCs w:val="24"/>
      <w:lang w:val="en-US" w:eastAsia="ja-JP"/>
    </w:rPr>
  </w:style>
  <w:style w:type="paragraph" w:styleId="Index5">
    <w:name w:val="index 5"/>
    <w:basedOn w:val="Normal"/>
    <w:next w:val="Normal"/>
    <w:autoRedefine/>
    <w:uiPriority w:val="99"/>
    <w:semiHidden/>
    <w:unhideWhenUsed/>
    <w:rsid w:val="003E49D5"/>
    <w:pPr>
      <w:spacing w:after="0" w:line="240" w:lineRule="auto"/>
      <w:ind w:left="1200"/>
    </w:pPr>
    <w:rPr>
      <w:rFonts w:ascii="Times New Roman" w:eastAsia="SimSun" w:hAnsi="Times New Roman"/>
      <w:color w:val="000000"/>
      <w:sz w:val="24"/>
      <w:szCs w:val="24"/>
      <w:lang w:val="en-US" w:eastAsia="ja-JP"/>
    </w:rPr>
  </w:style>
  <w:style w:type="paragraph" w:styleId="Index6">
    <w:name w:val="index 6"/>
    <w:basedOn w:val="Normal"/>
    <w:next w:val="Normal"/>
    <w:autoRedefine/>
    <w:uiPriority w:val="99"/>
    <w:semiHidden/>
    <w:unhideWhenUsed/>
    <w:rsid w:val="003E49D5"/>
    <w:pPr>
      <w:spacing w:after="0" w:line="240" w:lineRule="auto"/>
      <w:ind w:left="1440"/>
    </w:pPr>
    <w:rPr>
      <w:rFonts w:ascii="Times New Roman" w:eastAsia="SimSun" w:hAnsi="Times New Roman"/>
      <w:color w:val="000000"/>
      <w:sz w:val="24"/>
      <w:szCs w:val="24"/>
      <w:lang w:val="en-US" w:eastAsia="ja-JP"/>
    </w:rPr>
  </w:style>
  <w:style w:type="paragraph" w:styleId="Index7">
    <w:name w:val="index 7"/>
    <w:basedOn w:val="Normal"/>
    <w:next w:val="Normal"/>
    <w:autoRedefine/>
    <w:uiPriority w:val="99"/>
    <w:semiHidden/>
    <w:unhideWhenUsed/>
    <w:rsid w:val="003E49D5"/>
    <w:pPr>
      <w:spacing w:after="0" w:line="240" w:lineRule="auto"/>
      <w:ind w:left="1680"/>
    </w:pPr>
    <w:rPr>
      <w:rFonts w:ascii="Times New Roman" w:eastAsia="SimSun" w:hAnsi="Times New Roman"/>
      <w:color w:val="000000"/>
      <w:sz w:val="24"/>
      <w:szCs w:val="24"/>
      <w:lang w:val="en-US" w:eastAsia="ja-JP"/>
    </w:rPr>
  </w:style>
  <w:style w:type="paragraph" w:styleId="Index8">
    <w:name w:val="index 8"/>
    <w:basedOn w:val="Normal"/>
    <w:next w:val="Normal"/>
    <w:autoRedefine/>
    <w:uiPriority w:val="99"/>
    <w:semiHidden/>
    <w:unhideWhenUsed/>
    <w:rsid w:val="003E49D5"/>
    <w:pPr>
      <w:spacing w:after="0" w:line="240" w:lineRule="auto"/>
      <w:ind w:left="1920"/>
    </w:pPr>
    <w:rPr>
      <w:rFonts w:ascii="Times New Roman" w:eastAsia="SimSun" w:hAnsi="Times New Roman"/>
      <w:color w:val="000000"/>
      <w:sz w:val="24"/>
      <w:szCs w:val="24"/>
      <w:lang w:val="en-US" w:eastAsia="ja-JP"/>
    </w:rPr>
  </w:style>
  <w:style w:type="paragraph" w:styleId="Index9">
    <w:name w:val="index 9"/>
    <w:basedOn w:val="Normal"/>
    <w:next w:val="Normal"/>
    <w:autoRedefine/>
    <w:uiPriority w:val="99"/>
    <w:semiHidden/>
    <w:unhideWhenUsed/>
    <w:rsid w:val="003E49D5"/>
    <w:pPr>
      <w:spacing w:after="0" w:line="240" w:lineRule="auto"/>
      <w:ind w:left="2160"/>
    </w:pPr>
    <w:rPr>
      <w:rFonts w:ascii="Times New Roman" w:eastAsia="SimSun" w:hAnsi="Times New Roman"/>
      <w:color w:val="000000"/>
      <w:sz w:val="24"/>
      <w:szCs w:val="24"/>
      <w:lang w:val="en-US" w:eastAsia="ja-JP"/>
    </w:rPr>
  </w:style>
  <w:style w:type="paragraph" w:styleId="IndexHeading">
    <w:name w:val="index heading"/>
    <w:basedOn w:val="Normal"/>
    <w:next w:val="Index1"/>
    <w:uiPriority w:val="99"/>
    <w:semiHidden/>
    <w:unhideWhenUsed/>
    <w:rsid w:val="003E49D5"/>
    <w:pPr>
      <w:spacing w:after="0" w:line="480" w:lineRule="auto"/>
    </w:pPr>
    <w:rPr>
      <w:rFonts w:ascii="Times New Roman" w:eastAsia="SimHei" w:hAnsi="Times New Roman"/>
      <w:b/>
      <w:bCs/>
      <w:color w:val="000000"/>
      <w:sz w:val="24"/>
      <w:szCs w:val="24"/>
      <w:lang w:val="en-US" w:eastAsia="ja-JP"/>
    </w:rPr>
  </w:style>
  <w:style w:type="paragraph" w:styleId="IntenseQuote">
    <w:name w:val="Intense Quote"/>
    <w:basedOn w:val="Normal"/>
    <w:next w:val="Normal"/>
    <w:link w:val="IntenseQuoteChar"/>
    <w:uiPriority w:val="30"/>
    <w:unhideWhenUsed/>
    <w:qFormat/>
    <w:rsid w:val="003E49D5"/>
    <w:pPr>
      <w:pBdr>
        <w:top w:val="single" w:sz="4" w:space="10" w:color="6E6E6E"/>
        <w:bottom w:val="single" w:sz="4" w:space="10" w:color="6E6E6E"/>
      </w:pBdr>
      <w:spacing w:before="360" w:after="360" w:line="480" w:lineRule="auto"/>
      <w:ind w:left="864" w:right="864"/>
      <w:jc w:val="center"/>
    </w:pPr>
    <w:rPr>
      <w:rFonts w:ascii="Times New Roman" w:eastAsia="SimSun" w:hAnsi="Times New Roman"/>
      <w:i/>
      <w:iCs/>
      <w:color w:val="6E6E6E"/>
      <w:sz w:val="24"/>
      <w:szCs w:val="24"/>
      <w:lang w:val="en-US" w:eastAsia="ja-JP"/>
    </w:rPr>
  </w:style>
  <w:style w:type="character" w:customStyle="1" w:styleId="IntenseQuoteChar">
    <w:name w:val="Intense Quote Char"/>
    <w:link w:val="IntenseQuote"/>
    <w:uiPriority w:val="30"/>
    <w:rsid w:val="003E49D5"/>
    <w:rPr>
      <w:rFonts w:ascii="Times New Roman" w:eastAsia="SimSun" w:hAnsi="Times New Roman"/>
      <w:i/>
      <w:iCs/>
      <w:color w:val="6E6E6E"/>
      <w:sz w:val="24"/>
      <w:szCs w:val="24"/>
      <w:lang w:val="en-US" w:eastAsia="ja-JP"/>
    </w:rPr>
  </w:style>
  <w:style w:type="paragraph" w:styleId="List">
    <w:name w:val="List"/>
    <w:basedOn w:val="Normal"/>
    <w:uiPriority w:val="99"/>
    <w:semiHidden/>
    <w:unhideWhenUsed/>
    <w:rsid w:val="003E49D5"/>
    <w:pPr>
      <w:spacing w:after="0" w:line="480" w:lineRule="auto"/>
      <w:ind w:left="360"/>
      <w:contextualSpacing/>
    </w:pPr>
    <w:rPr>
      <w:rFonts w:ascii="Times New Roman" w:eastAsia="SimSun" w:hAnsi="Times New Roman"/>
      <w:color w:val="000000"/>
      <w:sz w:val="24"/>
      <w:szCs w:val="24"/>
      <w:lang w:val="en-US" w:eastAsia="ja-JP"/>
    </w:rPr>
  </w:style>
  <w:style w:type="paragraph" w:styleId="List2">
    <w:name w:val="List 2"/>
    <w:basedOn w:val="Normal"/>
    <w:uiPriority w:val="99"/>
    <w:semiHidden/>
    <w:unhideWhenUsed/>
    <w:rsid w:val="003E49D5"/>
    <w:pPr>
      <w:spacing w:after="0" w:line="480" w:lineRule="auto"/>
      <w:ind w:left="720"/>
      <w:contextualSpacing/>
    </w:pPr>
    <w:rPr>
      <w:rFonts w:ascii="Times New Roman" w:eastAsia="SimSun" w:hAnsi="Times New Roman"/>
      <w:color w:val="000000"/>
      <w:sz w:val="24"/>
      <w:szCs w:val="24"/>
      <w:lang w:val="en-US" w:eastAsia="ja-JP"/>
    </w:rPr>
  </w:style>
  <w:style w:type="paragraph" w:styleId="List3">
    <w:name w:val="List 3"/>
    <w:basedOn w:val="Normal"/>
    <w:uiPriority w:val="99"/>
    <w:semiHidden/>
    <w:unhideWhenUsed/>
    <w:rsid w:val="003E49D5"/>
    <w:pPr>
      <w:spacing w:after="0" w:line="480" w:lineRule="auto"/>
      <w:ind w:left="1080"/>
      <w:contextualSpacing/>
    </w:pPr>
    <w:rPr>
      <w:rFonts w:ascii="Times New Roman" w:eastAsia="SimSun" w:hAnsi="Times New Roman"/>
      <w:color w:val="000000"/>
      <w:sz w:val="24"/>
      <w:szCs w:val="24"/>
      <w:lang w:val="en-US" w:eastAsia="ja-JP"/>
    </w:rPr>
  </w:style>
  <w:style w:type="paragraph" w:styleId="List4">
    <w:name w:val="List 4"/>
    <w:basedOn w:val="Normal"/>
    <w:uiPriority w:val="99"/>
    <w:semiHidden/>
    <w:unhideWhenUsed/>
    <w:rsid w:val="003E49D5"/>
    <w:pPr>
      <w:spacing w:after="0" w:line="480" w:lineRule="auto"/>
      <w:ind w:left="1440"/>
      <w:contextualSpacing/>
    </w:pPr>
    <w:rPr>
      <w:rFonts w:ascii="Times New Roman" w:eastAsia="SimSun" w:hAnsi="Times New Roman"/>
      <w:color w:val="000000"/>
      <w:sz w:val="24"/>
      <w:szCs w:val="24"/>
      <w:lang w:val="en-US" w:eastAsia="ja-JP"/>
    </w:rPr>
  </w:style>
  <w:style w:type="paragraph" w:styleId="List5">
    <w:name w:val="List 5"/>
    <w:basedOn w:val="Normal"/>
    <w:uiPriority w:val="99"/>
    <w:semiHidden/>
    <w:unhideWhenUsed/>
    <w:rsid w:val="003E49D5"/>
    <w:pPr>
      <w:spacing w:after="0" w:line="480" w:lineRule="auto"/>
      <w:ind w:left="1800"/>
      <w:contextualSpacing/>
    </w:pPr>
    <w:rPr>
      <w:rFonts w:ascii="Times New Roman" w:eastAsia="SimSun" w:hAnsi="Times New Roman"/>
      <w:color w:val="000000"/>
      <w:sz w:val="24"/>
      <w:szCs w:val="24"/>
      <w:lang w:val="en-US" w:eastAsia="ja-JP"/>
    </w:rPr>
  </w:style>
  <w:style w:type="paragraph" w:styleId="ListBullet">
    <w:name w:val="List Bullet"/>
    <w:basedOn w:val="Normal"/>
    <w:uiPriority w:val="8"/>
    <w:unhideWhenUsed/>
    <w:qFormat/>
    <w:rsid w:val="003E49D5"/>
    <w:pPr>
      <w:numPr>
        <w:numId w:val="1"/>
      </w:numPr>
      <w:spacing w:after="0" w:line="480" w:lineRule="auto"/>
      <w:contextualSpacing/>
    </w:pPr>
    <w:rPr>
      <w:rFonts w:ascii="Times New Roman" w:eastAsia="SimSun" w:hAnsi="Times New Roman"/>
      <w:color w:val="000000"/>
      <w:sz w:val="24"/>
      <w:szCs w:val="24"/>
      <w:lang w:val="en-US" w:eastAsia="ja-JP"/>
    </w:rPr>
  </w:style>
  <w:style w:type="paragraph" w:styleId="ListBullet2">
    <w:name w:val="List Bullet 2"/>
    <w:basedOn w:val="Normal"/>
    <w:uiPriority w:val="99"/>
    <w:semiHidden/>
    <w:unhideWhenUsed/>
    <w:rsid w:val="003E49D5"/>
    <w:pPr>
      <w:numPr>
        <w:numId w:val="2"/>
      </w:numPr>
      <w:spacing w:after="0" w:line="480" w:lineRule="auto"/>
      <w:ind w:firstLine="0"/>
      <w:contextualSpacing/>
    </w:pPr>
    <w:rPr>
      <w:rFonts w:ascii="Times New Roman" w:eastAsia="SimSun" w:hAnsi="Times New Roman"/>
      <w:color w:val="000000"/>
      <w:sz w:val="24"/>
      <w:szCs w:val="24"/>
      <w:lang w:val="en-US" w:eastAsia="ja-JP"/>
    </w:rPr>
  </w:style>
  <w:style w:type="paragraph" w:styleId="ListBullet3">
    <w:name w:val="List Bullet 3"/>
    <w:basedOn w:val="Normal"/>
    <w:uiPriority w:val="99"/>
    <w:semiHidden/>
    <w:unhideWhenUsed/>
    <w:rsid w:val="003E49D5"/>
    <w:pPr>
      <w:numPr>
        <w:numId w:val="3"/>
      </w:numPr>
      <w:spacing w:after="0" w:line="480" w:lineRule="auto"/>
      <w:ind w:firstLine="0"/>
      <w:contextualSpacing/>
    </w:pPr>
    <w:rPr>
      <w:rFonts w:ascii="Times New Roman" w:eastAsia="SimSun" w:hAnsi="Times New Roman"/>
      <w:color w:val="000000"/>
      <w:sz w:val="24"/>
      <w:szCs w:val="24"/>
      <w:lang w:val="en-US" w:eastAsia="ja-JP"/>
    </w:rPr>
  </w:style>
  <w:style w:type="paragraph" w:styleId="ListBullet4">
    <w:name w:val="List Bullet 4"/>
    <w:basedOn w:val="Normal"/>
    <w:uiPriority w:val="99"/>
    <w:semiHidden/>
    <w:unhideWhenUsed/>
    <w:rsid w:val="003E49D5"/>
    <w:pPr>
      <w:numPr>
        <w:numId w:val="4"/>
      </w:numPr>
      <w:spacing w:after="0" w:line="480" w:lineRule="auto"/>
      <w:ind w:firstLine="0"/>
      <w:contextualSpacing/>
    </w:pPr>
    <w:rPr>
      <w:rFonts w:ascii="Times New Roman" w:eastAsia="SimSun" w:hAnsi="Times New Roman"/>
      <w:color w:val="000000"/>
      <w:sz w:val="24"/>
      <w:szCs w:val="24"/>
      <w:lang w:val="en-US" w:eastAsia="ja-JP"/>
    </w:rPr>
  </w:style>
  <w:style w:type="paragraph" w:styleId="ListBullet5">
    <w:name w:val="List Bullet 5"/>
    <w:basedOn w:val="Normal"/>
    <w:uiPriority w:val="99"/>
    <w:semiHidden/>
    <w:unhideWhenUsed/>
    <w:rsid w:val="003E49D5"/>
    <w:pPr>
      <w:numPr>
        <w:numId w:val="5"/>
      </w:numPr>
      <w:spacing w:after="0" w:line="480" w:lineRule="auto"/>
      <w:ind w:firstLine="0"/>
      <w:contextualSpacing/>
    </w:pPr>
    <w:rPr>
      <w:rFonts w:ascii="Times New Roman" w:eastAsia="SimSun" w:hAnsi="Times New Roman"/>
      <w:color w:val="000000"/>
      <w:sz w:val="24"/>
      <w:szCs w:val="24"/>
      <w:lang w:val="en-US" w:eastAsia="ja-JP"/>
    </w:rPr>
  </w:style>
  <w:style w:type="paragraph" w:styleId="ListContinue">
    <w:name w:val="List Continue"/>
    <w:basedOn w:val="Normal"/>
    <w:uiPriority w:val="99"/>
    <w:semiHidden/>
    <w:unhideWhenUsed/>
    <w:rsid w:val="003E49D5"/>
    <w:pPr>
      <w:spacing w:after="120" w:line="480" w:lineRule="auto"/>
      <w:ind w:left="360"/>
      <w:contextualSpacing/>
    </w:pPr>
    <w:rPr>
      <w:rFonts w:ascii="Times New Roman" w:eastAsia="SimSun" w:hAnsi="Times New Roman"/>
      <w:color w:val="000000"/>
      <w:sz w:val="24"/>
      <w:szCs w:val="24"/>
      <w:lang w:val="en-US" w:eastAsia="ja-JP"/>
    </w:rPr>
  </w:style>
  <w:style w:type="paragraph" w:styleId="ListContinue2">
    <w:name w:val="List Continue 2"/>
    <w:basedOn w:val="Normal"/>
    <w:uiPriority w:val="99"/>
    <w:semiHidden/>
    <w:unhideWhenUsed/>
    <w:rsid w:val="003E49D5"/>
    <w:pPr>
      <w:spacing w:after="120" w:line="480" w:lineRule="auto"/>
      <w:ind w:left="720"/>
      <w:contextualSpacing/>
    </w:pPr>
    <w:rPr>
      <w:rFonts w:ascii="Times New Roman" w:eastAsia="SimSun" w:hAnsi="Times New Roman"/>
      <w:color w:val="000000"/>
      <w:sz w:val="24"/>
      <w:szCs w:val="24"/>
      <w:lang w:val="en-US" w:eastAsia="ja-JP"/>
    </w:rPr>
  </w:style>
  <w:style w:type="paragraph" w:styleId="ListContinue3">
    <w:name w:val="List Continue 3"/>
    <w:basedOn w:val="Normal"/>
    <w:uiPriority w:val="99"/>
    <w:semiHidden/>
    <w:unhideWhenUsed/>
    <w:rsid w:val="003E49D5"/>
    <w:pPr>
      <w:spacing w:after="120" w:line="480" w:lineRule="auto"/>
      <w:ind w:left="1080"/>
      <w:contextualSpacing/>
    </w:pPr>
    <w:rPr>
      <w:rFonts w:ascii="Times New Roman" w:eastAsia="SimSun" w:hAnsi="Times New Roman"/>
      <w:color w:val="000000"/>
      <w:sz w:val="24"/>
      <w:szCs w:val="24"/>
      <w:lang w:val="en-US" w:eastAsia="ja-JP"/>
    </w:rPr>
  </w:style>
  <w:style w:type="paragraph" w:styleId="ListContinue4">
    <w:name w:val="List Continue 4"/>
    <w:basedOn w:val="Normal"/>
    <w:uiPriority w:val="99"/>
    <w:semiHidden/>
    <w:unhideWhenUsed/>
    <w:rsid w:val="003E49D5"/>
    <w:pPr>
      <w:spacing w:after="120" w:line="480" w:lineRule="auto"/>
      <w:ind w:left="1440"/>
      <w:contextualSpacing/>
    </w:pPr>
    <w:rPr>
      <w:rFonts w:ascii="Times New Roman" w:eastAsia="SimSun" w:hAnsi="Times New Roman"/>
      <w:color w:val="000000"/>
      <w:sz w:val="24"/>
      <w:szCs w:val="24"/>
      <w:lang w:val="en-US" w:eastAsia="ja-JP"/>
    </w:rPr>
  </w:style>
  <w:style w:type="paragraph" w:styleId="ListContinue5">
    <w:name w:val="List Continue 5"/>
    <w:basedOn w:val="Normal"/>
    <w:uiPriority w:val="99"/>
    <w:semiHidden/>
    <w:unhideWhenUsed/>
    <w:rsid w:val="003E49D5"/>
    <w:pPr>
      <w:spacing w:after="120" w:line="480" w:lineRule="auto"/>
      <w:ind w:left="1800"/>
      <w:contextualSpacing/>
    </w:pPr>
    <w:rPr>
      <w:rFonts w:ascii="Times New Roman" w:eastAsia="SimSun" w:hAnsi="Times New Roman"/>
      <w:color w:val="000000"/>
      <w:sz w:val="24"/>
      <w:szCs w:val="24"/>
      <w:lang w:val="en-US" w:eastAsia="ja-JP"/>
    </w:rPr>
  </w:style>
  <w:style w:type="paragraph" w:styleId="ListNumber">
    <w:name w:val="List Number"/>
    <w:basedOn w:val="Normal"/>
    <w:uiPriority w:val="8"/>
    <w:unhideWhenUsed/>
    <w:qFormat/>
    <w:rsid w:val="003E49D5"/>
    <w:pPr>
      <w:numPr>
        <w:numId w:val="6"/>
      </w:numPr>
      <w:spacing w:after="0" w:line="480" w:lineRule="auto"/>
      <w:contextualSpacing/>
    </w:pPr>
    <w:rPr>
      <w:rFonts w:ascii="Times New Roman" w:eastAsia="SimSun" w:hAnsi="Times New Roman"/>
      <w:color w:val="000000"/>
      <w:sz w:val="24"/>
      <w:szCs w:val="24"/>
      <w:lang w:val="en-US" w:eastAsia="ja-JP"/>
    </w:rPr>
  </w:style>
  <w:style w:type="paragraph" w:styleId="ListNumber2">
    <w:name w:val="List Number 2"/>
    <w:basedOn w:val="Normal"/>
    <w:uiPriority w:val="99"/>
    <w:semiHidden/>
    <w:unhideWhenUsed/>
    <w:rsid w:val="003E49D5"/>
    <w:pPr>
      <w:numPr>
        <w:numId w:val="7"/>
      </w:numPr>
      <w:spacing w:after="0" w:line="480" w:lineRule="auto"/>
      <w:ind w:firstLine="0"/>
      <w:contextualSpacing/>
    </w:pPr>
    <w:rPr>
      <w:rFonts w:ascii="Times New Roman" w:eastAsia="SimSun" w:hAnsi="Times New Roman"/>
      <w:color w:val="000000"/>
      <w:sz w:val="24"/>
      <w:szCs w:val="24"/>
      <w:lang w:val="en-US" w:eastAsia="ja-JP"/>
    </w:rPr>
  </w:style>
  <w:style w:type="paragraph" w:styleId="ListNumber3">
    <w:name w:val="List Number 3"/>
    <w:basedOn w:val="Normal"/>
    <w:uiPriority w:val="99"/>
    <w:semiHidden/>
    <w:unhideWhenUsed/>
    <w:rsid w:val="003E49D5"/>
    <w:pPr>
      <w:numPr>
        <w:numId w:val="8"/>
      </w:numPr>
      <w:spacing w:after="0" w:line="480" w:lineRule="auto"/>
      <w:ind w:firstLine="0"/>
      <w:contextualSpacing/>
    </w:pPr>
    <w:rPr>
      <w:rFonts w:ascii="Times New Roman" w:eastAsia="SimSun" w:hAnsi="Times New Roman"/>
      <w:color w:val="000000"/>
      <w:sz w:val="24"/>
      <w:szCs w:val="24"/>
      <w:lang w:val="en-US" w:eastAsia="ja-JP"/>
    </w:rPr>
  </w:style>
  <w:style w:type="paragraph" w:styleId="ListNumber4">
    <w:name w:val="List Number 4"/>
    <w:basedOn w:val="Normal"/>
    <w:uiPriority w:val="99"/>
    <w:semiHidden/>
    <w:unhideWhenUsed/>
    <w:rsid w:val="003E49D5"/>
    <w:pPr>
      <w:numPr>
        <w:numId w:val="9"/>
      </w:numPr>
      <w:spacing w:after="0" w:line="480" w:lineRule="auto"/>
      <w:ind w:firstLine="0"/>
      <w:contextualSpacing/>
    </w:pPr>
    <w:rPr>
      <w:rFonts w:ascii="Times New Roman" w:eastAsia="SimSun" w:hAnsi="Times New Roman"/>
      <w:color w:val="000000"/>
      <w:sz w:val="24"/>
      <w:szCs w:val="24"/>
      <w:lang w:val="en-US" w:eastAsia="ja-JP"/>
    </w:rPr>
  </w:style>
  <w:style w:type="paragraph" w:styleId="ListNumber5">
    <w:name w:val="List Number 5"/>
    <w:basedOn w:val="Normal"/>
    <w:uiPriority w:val="99"/>
    <w:semiHidden/>
    <w:unhideWhenUsed/>
    <w:rsid w:val="003E49D5"/>
    <w:pPr>
      <w:numPr>
        <w:numId w:val="10"/>
      </w:numPr>
      <w:spacing w:after="0" w:line="480" w:lineRule="auto"/>
      <w:ind w:firstLine="0"/>
      <w:contextualSpacing/>
    </w:pPr>
    <w:rPr>
      <w:rFonts w:ascii="Times New Roman" w:eastAsia="SimSun" w:hAnsi="Times New Roman"/>
      <w:color w:val="000000"/>
      <w:sz w:val="24"/>
      <w:szCs w:val="24"/>
      <w:lang w:val="en-US" w:eastAsia="ja-JP"/>
    </w:rPr>
  </w:style>
  <w:style w:type="paragraph" w:styleId="ListParagraph">
    <w:name w:val="List Paragraph"/>
    <w:basedOn w:val="Normal"/>
    <w:uiPriority w:val="34"/>
    <w:unhideWhenUsed/>
    <w:qFormat/>
    <w:rsid w:val="003E49D5"/>
    <w:pPr>
      <w:spacing w:after="0" w:line="480" w:lineRule="auto"/>
      <w:ind w:left="720"/>
      <w:contextualSpacing/>
    </w:pPr>
    <w:rPr>
      <w:rFonts w:ascii="Times New Roman" w:eastAsia="SimSun" w:hAnsi="Times New Roman"/>
      <w:color w:val="000000"/>
      <w:sz w:val="24"/>
      <w:szCs w:val="24"/>
      <w:lang w:val="en-US" w:eastAsia="ja-JP"/>
    </w:rPr>
  </w:style>
  <w:style w:type="paragraph" w:styleId="MacroText">
    <w:name w:val="macro"/>
    <w:link w:val="MacroTextChar"/>
    <w:uiPriority w:val="99"/>
    <w:semiHidden/>
    <w:unhideWhenUsed/>
    <w:rsid w:val="003E49D5"/>
    <w:pPr>
      <w:tabs>
        <w:tab w:val="left" w:pos="480"/>
        <w:tab w:val="left" w:pos="960"/>
        <w:tab w:val="left" w:pos="1440"/>
        <w:tab w:val="left" w:pos="1920"/>
        <w:tab w:val="left" w:pos="2400"/>
        <w:tab w:val="left" w:pos="2880"/>
        <w:tab w:val="left" w:pos="3360"/>
        <w:tab w:val="left" w:pos="3840"/>
        <w:tab w:val="left" w:pos="4320"/>
      </w:tabs>
      <w:spacing w:line="480" w:lineRule="auto"/>
    </w:pPr>
    <w:rPr>
      <w:rFonts w:ascii="Consolas" w:eastAsia="SimSun" w:hAnsi="Consolas" w:cs="Consolas"/>
      <w:color w:val="000000"/>
      <w:kern w:val="24"/>
      <w:sz w:val="22"/>
      <w:lang w:val="en-US" w:eastAsia="ja-JP"/>
    </w:rPr>
  </w:style>
  <w:style w:type="character" w:customStyle="1" w:styleId="MacroTextChar">
    <w:name w:val="Macro Text Char"/>
    <w:link w:val="MacroText"/>
    <w:uiPriority w:val="99"/>
    <w:semiHidden/>
    <w:rsid w:val="003E49D5"/>
    <w:rPr>
      <w:rFonts w:ascii="Consolas" w:eastAsia="SimSun" w:hAnsi="Consolas" w:cs="Consolas"/>
      <w:color w:val="000000"/>
      <w:kern w:val="24"/>
      <w:sz w:val="22"/>
      <w:lang w:val="en-US" w:eastAsia="ja-JP"/>
    </w:rPr>
  </w:style>
  <w:style w:type="paragraph" w:styleId="MessageHeader">
    <w:name w:val="Message Header"/>
    <w:basedOn w:val="Normal"/>
    <w:link w:val="MessageHeaderChar"/>
    <w:uiPriority w:val="99"/>
    <w:semiHidden/>
    <w:unhideWhenUsed/>
    <w:rsid w:val="003E49D5"/>
    <w:pPr>
      <w:pBdr>
        <w:top w:val="single" w:sz="6" w:space="1" w:color="auto"/>
        <w:left w:val="single" w:sz="6" w:space="1" w:color="auto"/>
        <w:bottom w:val="single" w:sz="6" w:space="1" w:color="auto"/>
        <w:right w:val="single" w:sz="6" w:space="1" w:color="auto"/>
      </w:pBdr>
      <w:shd w:val="pct20" w:color="auto" w:fill="auto"/>
      <w:spacing w:after="0" w:line="240" w:lineRule="auto"/>
      <w:ind w:left="1080"/>
    </w:pPr>
    <w:rPr>
      <w:rFonts w:ascii="Times New Roman" w:eastAsia="SimHei" w:hAnsi="Times New Roman"/>
      <w:color w:val="000000"/>
      <w:sz w:val="24"/>
      <w:szCs w:val="24"/>
      <w:lang w:val="en-US" w:eastAsia="ja-JP"/>
    </w:rPr>
  </w:style>
  <w:style w:type="character" w:customStyle="1" w:styleId="MessageHeaderChar">
    <w:name w:val="Message Header Char"/>
    <w:link w:val="MessageHeader"/>
    <w:uiPriority w:val="99"/>
    <w:semiHidden/>
    <w:rsid w:val="003E49D5"/>
    <w:rPr>
      <w:rFonts w:ascii="Times New Roman" w:eastAsia="SimHei" w:hAnsi="Times New Roman"/>
      <w:color w:val="000000"/>
      <w:sz w:val="24"/>
      <w:szCs w:val="24"/>
      <w:shd w:val="pct20" w:color="auto" w:fill="auto"/>
      <w:lang w:val="en-US" w:eastAsia="ja-JP"/>
    </w:rPr>
  </w:style>
  <w:style w:type="paragraph" w:styleId="NormalWeb">
    <w:name w:val="Normal (Web)"/>
    <w:basedOn w:val="Normal"/>
    <w:uiPriority w:val="99"/>
    <w:semiHidden/>
    <w:unhideWhenUsed/>
    <w:rsid w:val="003E49D5"/>
    <w:pPr>
      <w:spacing w:after="0" w:line="480" w:lineRule="auto"/>
    </w:pPr>
    <w:rPr>
      <w:rFonts w:ascii="Times New Roman" w:eastAsia="SimSun" w:hAnsi="Times New Roman"/>
      <w:color w:val="000000"/>
      <w:sz w:val="24"/>
      <w:szCs w:val="24"/>
      <w:lang w:val="en-US" w:eastAsia="ja-JP"/>
    </w:rPr>
  </w:style>
  <w:style w:type="paragraph" w:styleId="NormalIndent">
    <w:name w:val="Normal Indent"/>
    <w:basedOn w:val="Normal"/>
    <w:uiPriority w:val="99"/>
    <w:semiHidden/>
    <w:unhideWhenUsed/>
    <w:rsid w:val="003E49D5"/>
    <w:pPr>
      <w:spacing w:after="0" w:line="480" w:lineRule="auto"/>
      <w:ind w:left="720"/>
    </w:pPr>
    <w:rPr>
      <w:rFonts w:ascii="Times New Roman" w:eastAsia="SimSun" w:hAnsi="Times New Roman"/>
      <w:color w:val="000000"/>
      <w:sz w:val="24"/>
      <w:szCs w:val="24"/>
      <w:lang w:val="en-US" w:eastAsia="ja-JP"/>
    </w:rPr>
  </w:style>
  <w:style w:type="paragraph" w:styleId="NoteHeading">
    <w:name w:val="Note Heading"/>
    <w:basedOn w:val="Normal"/>
    <w:next w:val="Normal"/>
    <w:link w:val="NoteHeadingChar"/>
    <w:uiPriority w:val="99"/>
    <w:semiHidden/>
    <w:unhideWhenUsed/>
    <w:rsid w:val="003E49D5"/>
    <w:pPr>
      <w:spacing w:after="0" w:line="240" w:lineRule="auto"/>
    </w:pPr>
    <w:rPr>
      <w:rFonts w:ascii="Times New Roman" w:eastAsia="SimSun" w:hAnsi="Times New Roman"/>
      <w:color w:val="000000"/>
      <w:sz w:val="24"/>
      <w:szCs w:val="24"/>
      <w:lang w:val="en-US" w:eastAsia="ja-JP"/>
    </w:rPr>
  </w:style>
  <w:style w:type="character" w:customStyle="1" w:styleId="NoteHeadingChar">
    <w:name w:val="Note Heading Char"/>
    <w:link w:val="NoteHeading"/>
    <w:uiPriority w:val="99"/>
    <w:semiHidden/>
    <w:rsid w:val="003E49D5"/>
    <w:rPr>
      <w:rFonts w:ascii="Times New Roman" w:eastAsia="SimSun" w:hAnsi="Times New Roman"/>
      <w:color w:val="000000"/>
      <w:sz w:val="24"/>
      <w:szCs w:val="24"/>
      <w:lang w:val="en-US" w:eastAsia="ja-JP"/>
    </w:rPr>
  </w:style>
  <w:style w:type="paragraph" w:styleId="PlainText">
    <w:name w:val="Plain Text"/>
    <w:basedOn w:val="Normal"/>
    <w:link w:val="PlainTextChar"/>
    <w:uiPriority w:val="99"/>
    <w:semiHidden/>
    <w:unhideWhenUsed/>
    <w:rsid w:val="003E49D5"/>
    <w:pPr>
      <w:spacing w:after="0" w:line="240" w:lineRule="auto"/>
    </w:pPr>
    <w:rPr>
      <w:rFonts w:ascii="Consolas" w:eastAsia="SimSun" w:hAnsi="Consolas" w:cs="Consolas"/>
      <w:color w:val="000000"/>
      <w:szCs w:val="21"/>
      <w:lang w:val="en-US" w:eastAsia="ja-JP"/>
    </w:rPr>
  </w:style>
  <w:style w:type="character" w:customStyle="1" w:styleId="PlainTextChar">
    <w:name w:val="Plain Text Char"/>
    <w:link w:val="PlainText"/>
    <w:uiPriority w:val="99"/>
    <w:semiHidden/>
    <w:rsid w:val="003E49D5"/>
    <w:rPr>
      <w:rFonts w:ascii="Consolas" w:eastAsia="SimSun" w:hAnsi="Consolas" w:cs="Consolas"/>
      <w:color w:val="000000"/>
      <w:sz w:val="22"/>
      <w:szCs w:val="21"/>
      <w:lang w:val="en-US" w:eastAsia="ja-JP"/>
    </w:rPr>
  </w:style>
  <w:style w:type="paragraph" w:styleId="Quote">
    <w:name w:val="Quote"/>
    <w:basedOn w:val="Normal"/>
    <w:next w:val="Normal"/>
    <w:link w:val="QuoteChar"/>
    <w:uiPriority w:val="29"/>
    <w:unhideWhenUsed/>
    <w:qFormat/>
    <w:rsid w:val="003E49D5"/>
    <w:pPr>
      <w:spacing w:before="200" w:after="160" w:line="480" w:lineRule="auto"/>
      <w:ind w:left="864" w:right="864"/>
      <w:jc w:val="center"/>
    </w:pPr>
    <w:rPr>
      <w:rFonts w:ascii="Times New Roman" w:eastAsia="SimSun" w:hAnsi="Times New Roman"/>
      <w:i/>
      <w:iCs/>
      <w:color w:val="404040"/>
      <w:sz w:val="24"/>
      <w:szCs w:val="24"/>
      <w:lang w:val="en-US" w:eastAsia="ja-JP"/>
    </w:rPr>
  </w:style>
  <w:style w:type="character" w:customStyle="1" w:styleId="QuoteChar">
    <w:name w:val="Quote Char"/>
    <w:link w:val="Quote"/>
    <w:uiPriority w:val="29"/>
    <w:rsid w:val="003E49D5"/>
    <w:rPr>
      <w:rFonts w:ascii="Times New Roman" w:eastAsia="SimSun" w:hAnsi="Times New Roman"/>
      <w:i/>
      <w:iCs/>
      <w:color w:val="404040"/>
      <w:sz w:val="24"/>
      <w:szCs w:val="24"/>
      <w:lang w:val="en-US" w:eastAsia="ja-JP"/>
    </w:rPr>
  </w:style>
  <w:style w:type="paragraph" w:styleId="Salutation">
    <w:name w:val="Salutation"/>
    <w:basedOn w:val="Normal"/>
    <w:next w:val="Normal"/>
    <w:link w:val="SalutationChar"/>
    <w:uiPriority w:val="99"/>
    <w:semiHidden/>
    <w:unhideWhenUsed/>
    <w:rsid w:val="003E49D5"/>
    <w:pPr>
      <w:spacing w:after="0" w:line="480" w:lineRule="auto"/>
    </w:pPr>
    <w:rPr>
      <w:rFonts w:ascii="Times New Roman" w:eastAsia="SimSun" w:hAnsi="Times New Roman"/>
      <w:color w:val="000000"/>
      <w:sz w:val="24"/>
      <w:szCs w:val="24"/>
      <w:lang w:val="en-US" w:eastAsia="ja-JP"/>
    </w:rPr>
  </w:style>
  <w:style w:type="character" w:customStyle="1" w:styleId="SalutationChar">
    <w:name w:val="Salutation Char"/>
    <w:link w:val="Salutation"/>
    <w:uiPriority w:val="99"/>
    <w:semiHidden/>
    <w:rsid w:val="003E49D5"/>
    <w:rPr>
      <w:rFonts w:ascii="Times New Roman" w:eastAsia="SimSun" w:hAnsi="Times New Roman"/>
      <w:color w:val="000000"/>
      <w:sz w:val="24"/>
      <w:szCs w:val="24"/>
      <w:lang w:val="en-US" w:eastAsia="ja-JP"/>
    </w:rPr>
  </w:style>
  <w:style w:type="paragraph" w:styleId="Signature">
    <w:name w:val="Signature"/>
    <w:basedOn w:val="Normal"/>
    <w:link w:val="SignatureChar"/>
    <w:uiPriority w:val="99"/>
    <w:semiHidden/>
    <w:unhideWhenUsed/>
    <w:rsid w:val="003E49D5"/>
    <w:pPr>
      <w:spacing w:after="0" w:line="240" w:lineRule="auto"/>
      <w:ind w:left="4320"/>
    </w:pPr>
    <w:rPr>
      <w:rFonts w:ascii="Times New Roman" w:eastAsia="SimSun" w:hAnsi="Times New Roman"/>
      <w:color w:val="000000"/>
      <w:sz w:val="24"/>
      <w:szCs w:val="24"/>
      <w:lang w:val="en-US" w:eastAsia="ja-JP"/>
    </w:rPr>
  </w:style>
  <w:style w:type="character" w:customStyle="1" w:styleId="SignatureChar">
    <w:name w:val="Signature Char"/>
    <w:link w:val="Signature"/>
    <w:uiPriority w:val="99"/>
    <w:semiHidden/>
    <w:rsid w:val="003E49D5"/>
    <w:rPr>
      <w:rFonts w:ascii="Times New Roman" w:eastAsia="SimSun" w:hAnsi="Times New Roman"/>
      <w:color w:val="000000"/>
      <w:sz w:val="24"/>
      <w:szCs w:val="24"/>
      <w:lang w:val="en-US" w:eastAsia="ja-JP"/>
    </w:rPr>
  </w:style>
  <w:style w:type="paragraph" w:customStyle="1" w:styleId="Title2">
    <w:name w:val="Title 2"/>
    <w:basedOn w:val="Normal"/>
    <w:uiPriority w:val="1"/>
    <w:qFormat/>
    <w:rsid w:val="003E49D5"/>
    <w:pPr>
      <w:spacing w:after="0" w:line="480" w:lineRule="auto"/>
      <w:jc w:val="center"/>
    </w:pPr>
    <w:rPr>
      <w:rFonts w:ascii="Times New Roman" w:eastAsia="SimSun" w:hAnsi="Times New Roman"/>
      <w:color w:val="000000"/>
      <w:sz w:val="24"/>
      <w:szCs w:val="24"/>
      <w:lang w:val="en-US" w:eastAsia="ja-JP"/>
    </w:rPr>
  </w:style>
  <w:style w:type="paragraph" w:styleId="TableofAuthorities">
    <w:name w:val="table of authorities"/>
    <w:basedOn w:val="Normal"/>
    <w:next w:val="Normal"/>
    <w:uiPriority w:val="99"/>
    <w:semiHidden/>
    <w:unhideWhenUsed/>
    <w:rsid w:val="003E49D5"/>
    <w:pPr>
      <w:spacing w:after="0" w:line="480" w:lineRule="auto"/>
      <w:ind w:left="240"/>
    </w:pPr>
    <w:rPr>
      <w:rFonts w:ascii="Times New Roman" w:eastAsia="SimSun" w:hAnsi="Times New Roman"/>
      <w:color w:val="000000"/>
      <w:sz w:val="24"/>
      <w:szCs w:val="24"/>
      <w:lang w:val="en-US" w:eastAsia="ja-JP"/>
    </w:rPr>
  </w:style>
  <w:style w:type="paragraph" w:styleId="TableofFigures">
    <w:name w:val="table of figures"/>
    <w:basedOn w:val="Normal"/>
    <w:next w:val="Normal"/>
    <w:uiPriority w:val="99"/>
    <w:unhideWhenUsed/>
    <w:rsid w:val="003E49D5"/>
    <w:pPr>
      <w:spacing w:after="0" w:line="480" w:lineRule="auto"/>
    </w:pPr>
    <w:rPr>
      <w:rFonts w:ascii="Times New Roman" w:eastAsia="SimSun" w:hAnsi="Times New Roman"/>
      <w:color w:val="000000"/>
      <w:sz w:val="24"/>
      <w:szCs w:val="24"/>
      <w:lang w:val="en-US" w:eastAsia="ja-JP"/>
    </w:rPr>
  </w:style>
  <w:style w:type="paragraph" w:styleId="TOAHeading">
    <w:name w:val="toa heading"/>
    <w:basedOn w:val="Normal"/>
    <w:next w:val="Normal"/>
    <w:uiPriority w:val="99"/>
    <w:semiHidden/>
    <w:unhideWhenUsed/>
    <w:rsid w:val="003E49D5"/>
    <w:pPr>
      <w:spacing w:before="120" w:after="0" w:line="480" w:lineRule="auto"/>
    </w:pPr>
    <w:rPr>
      <w:rFonts w:ascii="Times New Roman" w:eastAsia="SimHei" w:hAnsi="Times New Roman"/>
      <w:b/>
      <w:bCs/>
      <w:color w:val="000000"/>
      <w:sz w:val="24"/>
      <w:szCs w:val="24"/>
      <w:lang w:val="en-US" w:eastAsia="ja-JP"/>
    </w:rPr>
  </w:style>
  <w:style w:type="paragraph" w:styleId="TOC4">
    <w:name w:val="toc 4"/>
    <w:basedOn w:val="Normal"/>
    <w:next w:val="Normal"/>
    <w:autoRedefine/>
    <w:uiPriority w:val="39"/>
    <w:unhideWhenUsed/>
    <w:rsid w:val="003E49D5"/>
    <w:pPr>
      <w:spacing w:after="100" w:line="480" w:lineRule="auto"/>
      <w:ind w:left="720"/>
    </w:pPr>
    <w:rPr>
      <w:rFonts w:ascii="Times New Roman" w:eastAsia="SimSun" w:hAnsi="Times New Roman"/>
      <w:color w:val="000000"/>
      <w:sz w:val="24"/>
      <w:szCs w:val="24"/>
      <w:lang w:val="en-US" w:eastAsia="ja-JP"/>
    </w:rPr>
  </w:style>
  <w:style w:type="paragraph" w:styleId="TOC5">
    <w:name w:val="toc 5"/>
    <w:basedOn w:val="Normal"/>
    <w:next w:val="Normal"/>
    <w:autoRedefine/>
    <w:uiPriority w:val="39"/>
    <w:unhideWhenUsed/>
    <w:rsid w:val="003E49D5"/>
    <w:pPr>
      <w:spacing w:after="100" w:line="480" w:lineRule="auto"/>
      <w:ind w:left="960"/>
    </w:pPr>
    <w:rPr>
      <w:rFonts w:ascii="Times New Roman" w:eastAsia="SimSun" w:hAnsi="Times New Roman"/>
      <w:color w:val="000000"/>
      <w:sz w:val="24"/>
      <w:szCs w:val="24"/>
      <w:lang w:val="en-US" w:eastAsia="ja-JP"/>
    </w:rPr>
  </w:style>
  <w:style w:type="paragraph" w:styleId="TOC6">
    <w:name w:val="toc 6"/>
    <w:basedOn w:val="Normal"/>
    <w:next w:val="Normal"/>
    <w:autoRedefine/>
    <w:uiPriority w:val="39"/>
    <w:unhideWhenUsed/>
    <w:rsid w:val="003E49D5"/>
    <w:pPr>
      <w:spacing w:after="100" w:line="480" w:lineRule="auto"/>
      <w:ind w:left="1200"/>
    </w:pPr>
    <w:rPr>
      <w:rFonts w:ascii="Times New Roman" w:eastAsia="SimSun" w:hAnsi="Times New Roman"/>
      <w:color w:val="000000"/>
      <w:sz w:val="24"/>
      <w:szCs w:val="24"/>
      <w:lang w:val="en-US" w:eastAsia="ja-JP"/>
    </w:rPr>
  </w:style>
  <w:style w:type="paragraph" w:styleId="TOC7">
    <w:name w:val="toc 7"/>
    <w:basedOn w:val="Normal"/>
    <w:next w:val="Normal"/>
    <w:autoRedefine/>
    <w:uiPriority w:val="39"/>
    <w:unhideWhenUsed/>
    <w:rsid w:val="003E49D5"/>
    <w:pPr>
      <w:spacing w:after="100" w:line="480" w:lineRule="auto"/>
      <w:ind w:left="1440"/>
    </w:pPr>
    <w:rPr>
      <w:rFonts w:ascii="Times New Roman" w:eastAsia="SimSun" w:hAnsi="Times New Roman"/>
      <w:color w:val="000000"/>
      <w:sz w:val="24"/>
      <w:szCs w:val="24"/>
      <w:lang w:val="en-US" w:eastAsia="ja-JP"/>
    </w:rPr>
  </w:style>
  <w:style w:type="paragraph" w:styleId="TOC8">
    <w:name w:val="toc 8"/>
    <w:basedOn w:val="Normal"/>
    <w:next w:val="Normal"/>
    <w:autoRedefine/>
    <w:uiPriority w:val="39"/>
    <w:unhideWhenUsed/>
    <w:rsid w:val="003E49D5"/>
    <w:pPr>
      <w:spacing w:after="100" w:line="480" w:lineRule="auto"/>
      <w:ind w:left="1680"/>
    </w:pPr>
    <w:rPr>
      <w:rFonts w:ascii="Times New Roman" w:eastAsia="SimSun" w:hAnsi="Times New Roman"/>
      <w:color w:val="000000"/>
      <w:sz w:val="24"/>
      <w:szCs w:val="24"/>
      <w:lang w:val="en-US" w:eastAsia="ja-JP"/>
    </w:rPr>
  </w:style>
  <w:style w:type="paragraph" w:styleId="TOC9">
    <w:name w:val="toc 9"/>
    <w:basedOn w:val="Normal"/>
    <w:next w:val="Normal"/>
    <w:autoRedefine/>
    <w:uiPriority w:val="39"/>
    <w:unhideWhenUsed/>
    <w:rsid w:val="003E49D5"/>
    <w:pPr>
      <w:spacing w:after="100" w:line="480" w:lineRule="auto"/>
      <w:ind w:left="1920"/>
    </w:pPr>
    <w:rPr>
      <w:rFonts w:ascii="Times New Roman" w:eastAsia="SimSun" w:hAnsi="Times New Roman"/>
      <w:color w:val="000000"/>
      <w:sz w:val="24"/>
      <w:szCs w:val="24"/>
      <w:lang w:val="en-US" w:eastAsia="ja-JP"/>
    </w:rPr>
  </w:style>
  <w:style w:type="character" w:styleId="EndnoteReference">
    <w:name w:val="endnote reference"/>
    <w:uiPriority w:val="99"/>
    <w:semiHidden/>
    <w:unhideWhenUsed/>
    <w:rsid w:val="003E49D5"/>
    <w:rPr>
      <w:vertAlign w:val="superscript"/>
    </w:rPr>
  </w:style>
  <w:style w:type="character" w:styleId="FootnoteReference">
    <w:name w:val="footnote reference"/>
    <w:uiPriority w:val="99"/>
    <w:qFormat/>
    <w:rsid w:val="003E49D5"/>
    <w:rPr>
      <w:vertAlign w:val="superscript"/>
    </w:rPr>
  </w:style>
  <w:style w:type="table" w:customStyle="1" w:styleId="APAReport">
    <w:name w:val="APA Report"/>
    <w:basedOn w:val="TableNormal"/>
    <w:uiPriority w:val="99"/>
    <w:rsid w:val="003E49D5"/>
    <w:rPr>
      <w:rFonts w:ascii="Times New Roman" w:eastAsia="SimSun" w:hAnsi="Times New Roman"/>
      <w:color w:val="000000"/>
      <w:sz w:val="24"/>
      <w:szCs w:val="24"/>
      <w:lang w:val="en-US" w:eastAsia="ja-JP"/>
    </w:rPr>
    <w:tblPr>
      <w:tblBorders>
        <w:top w:val="single" w:sz="12" w:space="0" w:color="auto"/>
        <w:bottom w:val="single" w:sz="12" w:space="0" w:color="auto"/>
      </w:tblBorders>
    </w:tblPr>
    <w:tblStylePr w:type="firstRow">
      <w:rPr>
        <w:rFonts w:ascii="Times New Roman" w:hAnsi="Times New Roman"/>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rsid w:val="003E49D5"/>
    <w:pPr>
      <w:spacing w:before="240" w:after="0" w:line="480" w:lineRule="auto"/>
      <w:contextualSpacing/>
    </w:pPr>
    <w:rPr>
      <w:rFonts w:ascii="Times New Roman" w:eastAsia="SimSun" w:hAnsi="Times New Roman"/>
      <w:color w:val="000000"/>
      <w:sz w:val="24"/>
      <w:szCs w:val="24"/>
      <w:lang w:val="en-US" w:eastAsia="ja-JP"/>
    </w:rPr>
  </w:style>
  <w:style w:type="character" w:styleId="CommentReference">
    <w:name w:val="annotation reference"/>
    <w:uiPriority w:val="99"/>
    <w:semiHidden/>
    <w:unhideWhenUsed/>
    <w:rsid w:val="003E49D5"/>
    <w:rPr>
      <w:sz w:val="22"/>
      <w:szCs w:val="16"/>
    </w:rPr>
  </w:style>
  <w:style w:type="paragraph" w:styleId="EndnoteText">
    <w:name w:val="endnote text"/>
    <w:basedOn w:val="Normal"/>
    <w:link w:val="EndnoteTextChar"/>
    <w:uiPriority w:val="99"/>
    <w:unhideWhenUsed/>
    <w:qFormat/>
    <w:rsid w:val="003E49D5"/>
    <w:pPr>
      <w:spacing w:after="0" w:line="240" w:lineRule="auto"/>
      <w:ind w:firstLine="720"/>
    </w:pPr>
    <w:rPr>
      <w:rFonts w:ascii="Times New Roman" w:eastAsia="SimSun" w:hAnsi="Times New Roman"/>
      <w:color w:val="000000"/>
      <w:szCs w:val="20"/>
      <w:lang w:val="en-US" w:eastAsia="ja-JP"/>
    </w:rPr>
  </w:style>
  <w:style w:type="character" w:customStyle="1" w:styleId="EndnoteTextChar">
    <w:name w:val="Endnote Text Char"/>
    <w:link w:val="EndnoteText"/>
    <w:uiPriority w:val="99"/>
    <w:rsid w:val="003E49D5"/>
    <w:rPr>
      <w:rFonts w:ascii="Times New Roman" w:eastAsia="SimSun" w:hAnsi="Times New Roman"/>
      <w:color w:val="000000"/>
      <w:sz w:val="22"/>
      <w:lang w:val="en-US" w:eastAsia="ja-JP"/>
    </w:rPr>
  </w:style>
  <w:style w:type="character" w:styleId="HTMLCode">
    <w:name w:val="HTML Code"/>
    <w:uiPriority w:val="99"/>
    <w:semiHidden/>
    <w:unhideWhenUsed/>
    <w:rsid w:val="003E49D5"/>
    <w:rPr>
      <w:rFonts w:ascii="Consolas" w:hAnsi="Consolas"/>
      <w:sz w:val="22"/>
      <w:szCs w:val="20"/>
    </w:rPr>
  </w:style>
  <w:style w:type="character" w:styleId="HTMLKeyboard">
    <w:name w:val="HTML Keyboard"/>
    <w:uiPriority w:val="99"/>
    <w:semiHidden/>
    <w:unhideWhenUsed/>
    <w:rsid w:val="003E49D5"/>
    <w:rPr>
      <w:rFonts w:ascii="Consolas" w:hAnsi="Consolas"/>
      <w:sz w:val="22"/>
      <w:szCs w:val="20"/>
    </w:rPr>
  </w:style>
  <w:style w:type="character" w:styleId="HTMLTypewriter">
    <w:name w:val="HTML Typewriter"/>
    <w:uiPriority w:val="99"/>
    <w:semiHidden/>
    <w:unhideWhenUsed/>
    <w:rsid w:val="003E49D5"/>
    <w:rPr>
      <w:rFonts w:ascii="Consolas" w:hAnsi="Consolas"/>
      <w:sz w:val="22"/>
      <w:szCs w:val="20"/>
    </w:rPr>
  </w:style>
  <w:style w:type="paragraph" w:styleId="TOCHeading">
    <w:name w:val="TOC Heading"/>
    <w:basedOn w:val="Heading1"/>
    <w:next w:val="Normal"/>
    <w:uiPriority w:val="39"/>
    <w:unhideWhenUsed/>
    <w:qFormat/>
    <w:rsid w:val="003E49D5"/>
    <w:pPr>
      <w:spacing w:before="240"/>
      <w:ind w:firstLine="720"/>
      <w:jc w:val="left"/>
      <w:outlineLvl w:val="9"/>
    </w:pPr>
    <w:rPr>
      <w:b w:val="0"/>
      <w:bCs w:val="0"/>
      <w:color w:val="6E6E6E"/>
      <w:sz w:val="32"/>
      <w:szCs w:val="32"/>
    </w:rPr>
  </w:style>
  <w:style w:type="character" w:styleId="IntenseReference">
    <w:name w:val="Intense Reference"/>
    <w:uiPriority w:val="32"/>
    <w:unhideWhenUsed/>
    <w:qFormat/>
    <w:rsid w:val="003E49D5"/>
    <w:rPr>
      <w:b/>
      <w:bCs/>
      <w:caps w:val="0"/>
      <w:smallCaps/>
      <w:color w:val="6E6E6E"/>
      <w:spacing w:val="5"/>
    </w:rPr>
  </w:style>
  <w:style w:type="character" w:styleId="IntenseEmphasis">
    <w:name w:val="Intense Emphasis"/>
    <w:uiPriority w:val="21"/>
    <w:unhideWhenUsed/>
    <w:qFormat/>
    <w:rsid w:val="003E49D5"/>
    <w:rPr>
      <w:i/>
      <w:iCs/>
      <w:color w:val="6E6E6E"/>
    </w:rPr>
  </w:style>
  <w:style w:type="table" w:styleId="GridTable4-Accent4">
    <w:name w:val="Grid Table 4 Accent 4"/>
    <w:basedOn w:val="TableNormal"/>
    <w:uiPriority w:val="49"/>
    <w:rsid w:val="003E49D5"/>
    <w:pPr>
      <w:ind w:firstLine="720"/>
    </w:pPr>
    <w:rPr>
      <w:rFonts w:ascii="Times New Roman" w:eastAsia="SimSun" w:hAnsi="Times New Roman"/>
      <w:color w:val="000000"/>
      <w:sz w:val="24"/>
      <w:szCs w:val="24"/>
      <w:lang w:val="en-US" w:eastAsia="ja-JP"/>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blStylePr w:type="firstRow">
      <w:rPr>
        <w:b/>
        <w:bCs/>
        <w:color w:val="FFFFFF"/>
      </w:rPr>
      <w:tblPr/>
      <w:tcPr>
        <w:tcBorders>
          <w:top w:val="single" w:sz="4" w:space="0" w:color="808080"/>
          <w:left w:val="single" w:sz="4" w:space="0" w:color="808080"/>
          <w:bottom w:val="single" w:sz="4" w:space="0" w:color="808080"/>
          <w:right w:val="single" w:sz="4" w:space="0" w:color="808080"/>
          <w:insideH w:val="nil"/>
          <w:insideV w:val="nil"/>
        </w:tcBorders>
        <w:shd w:val="clear" w:color="auto" w:fill="808080"/>
      </w:tcPr>
    </w:tblStylePr>
    <w:tblStylePr w:type="lastRow">
      <w:rPr>
        <w:b/>
        <w:bCs/>
      </w:rPr>
      <w:tblPr/>
      <w:tcPr>
        <w:tcBorders>
          <w:top w:val="double" w:sz="4" w:space="0" w:color="808080"/>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paragraph" w:styleId="TOC1">
    <w:name w:val="toc 1"/>
    <w:basedOn w:val="Normal"/>
    <w:next w:val="Normal"/>
    <w:autoRedefine/>
    <w:uiPriority w:val="39"/>
    <w:unhideWhenUsed/>
    <w:qFormat/>
    <w:rsid w:val="003E49D5"/>
    <w:pPr>
      <w:tabs>
        <w:tab w:val="left" w:pos="1200"/>
        <w:tab w:val="right" w:leader="dot" w:pos="9062"/>
      </w:tabs>
      <w:spacing w:before="360" w:after="0" w:line="240" w:lineRule="auto"/>
      <w:ind w:firstLine="709"/>
    </w:pPr>
    <w:rPr>
      <w:rFonts w:ascii="Times New Roman" w:eastAsia="Times New Roman" w:hAnsi="Times New Roman"/>
      <w:b/>
      <w:bCs/>
      <w:caps/>
      <w:sz w:val="24"/>
      <w:szCs w:val="24"/>
    </w:rPr>
  </w:style>
  <w:style w:type="character" w:styleId="Hyperlink">
    <w:name w:val="Hyperlink"/>
    <w:uiPriority w:val="99"/>
    <w:unhideWhenUsed/>
    <w:rsid w:val="003E49D5"/>
    <w:rPr>
      <w:color w:val="5F5F5F"/>
      <w:u w:val="single"/>
    </w:rPr>
  </w:style>
  <w:style w:type="paragraph" w:styleId="Subtitle">
    <w:name w:val="Subtitle"/>
    <w:basedOn w:val="Normal"/>
    <w:next w:val="Normal"/>
    <w:link w:val="SubtitleChar"/>
    <w:uiPriority w:val="11"/>
    <w:qFormat/>
    <w:rsid w:val="003E49D5"/>
    <w:rPr>
      <w:rFonts w:ascii="Times New Roman" w:eastAsia="Times New Roman" w:hAnsi="Times New Roman"/>
      <w:sz w:val="24"/>
    </w:rPr>
  </w:style>
  <w:style w:type="character" w:customStyle="1" w:styleId="SubtitleChar">
    <w:name w:val="Subtitle Char"/>
    <w:link w:val="Subtitle"/>
    <w:uiPriority w:val="11"/>
    <w:rsid w:val="003E49D5"/>
    <w:rPr>
      <w:rFonts w:ascii="Times New Roman" w:eastAsia="Times New Roman" w:hAnsi="Times New Roman"/>
      <w:sz w:val="24"/>
      <w:szCs w:val="22"/>
      <w:lang w:eastAsia="en-US"/>
    </w:rPr>
  </w:style>
  <w:style w:type="paragraph" w:styleId="TOC2">
    <w:name w:val="toc 2"/>
    <w:basedOn w:val="Normal"/>
    <w:next w:val="Normal"/>
    <w:autoRedefine/>
    <w:uiPriority w:val="39"/>
    <w:unhideWhenUsed/>
    <w:qFormat/>
    <w:rsid w:val="003E49D5"/>
    <w:pPr>
      <w:tabs>
        <w:tab w:val="right" w:leader="dot" w:pos="9061"/>
      </w:tabs>
      <w:spacing w:before="240" w:after="0" w:line="360" w:lineRule="auto"/>
      <w:ind w:firstLine="709"/>
      <w:jc w:val="both"/>
    </w:pPr>
    <w:rPr>
      <w:rFonts w:ascii="Times New Roman" w:eastAsia="Times New Roman" w:hAnsi="Times New Roman"/>
      <w:b/>
      <w:bCs/>
      <w:sz w:val="24"/>
      <w:szCs w:val="20"/>
    </w:rPr>
  </w:style>
  <w:style w:type="paragraph" w:styleId="TOC3">
    <w:name w:val="toc 3"/>
    <w:basedOn w:val="Normal"/>
    <w:next w:val="Normal"/>
    <w:autoRedefine/>
    <w:uiPriority w:val="39"/>
    <w:unhideWhenUsed/>
    <w:qFormat/>
    <w:rsid w:val="003E49D5"/>
    <w:pPr>
      <w:tabs>
        <w:tab w:val="left" w:pos="1680"/>
        <w:tab w:val="right" w:leader="dot" w:pos="9062"/>
      </w:tabs>
      <w:spacing w:after="0" w:line="240" w:lineRule="auto"/>
      <w:ind w:left="240" w:firstLine="469"/>
    </w:pPr>
    <w:rPr>
      <w:rFonts w:ascii="Times New Roman" w:eastAsia="Times New Roman" w:hAnsi="Times New Roman"/>
      <w:sz w:val="24"/>
      <w:szCs w:val="20"/>
    </w:rPr>
  </w:style>
  <w:style w:type="character" w:customStyle="1" w:styleId="apple-converted-space">
    <w:name w:val="apple-converted-space"/>
    <w:rsid w:val="003E49D5"/>
  </w:style>
  <w:style w:type="character" w:customStyle="1" w:styleId="mw-headline">
    <w:name w:val="mw-headline"/>
    <w:rsid w:val="003E49D5"/>
  </w:style>
  <w:style w:type="paragraph" w:customStyle="1" w:styleId="Default">
    <w:name w:val="Default"/>
    <w:rsid w:val="003E49D5"/>
    <w:pPr>
      <w:autoSpaceDE w:val="0"/>
      <w:autoSpaceDN w:val="0"/>
      <w:adjustRightInd w:val="0"/>
    </w:pPr>
    <w:rPr>
      <w:rFonts w:ascii="Times New Roman" w:eastAsia="Times New Roman" w:hAnsi="Times New Roman"/>
      <w:color w:val="000000"/>
      <w:sz w:val="24"/>
      <w:szCs w:val="24"/>
    </w:rPr>
  </w:style>
  <w:style w:type="character" w:styleId="Strong">
    <w:name w:val="Strong"/>
    <w:uiPriority w:val="22"/>
    <w:qFormat/>
    <w:rsid w:val="003E49D5"/>
    <w:rPr>
      <w:b/>
      <w:bCs/>
    </w:rPr>
  </w:style>
  <w:style w:type="character" w:customStyle="1" w:styleId="fn">
    <w:name w:val="fn"/>
    <w:rsid w:val="003E49D5"/>
  </w:style>
  <w:style w:type="character" w:customStyle="1" w:styleId="Subttulo1">
    <w:name w:val="Subtítulo1"/>
    <w:rsid w:val="003E49D5"/>
  </w:style>
  <w:style w:type="character" w:customStyle="1" w:styleId="mw-cite-backlink">
    <w:name w:val="mw-cite-backlink"/>
    <w:rsid w:val="003E49D5"/>
  </w:style>
  <w:style w:type="character" w:customStyle="1" w:styleId="reference-text">
    <w:name w:val="reference-text"/>
    <w:rsid w:val="003E49D5"/>
  </w:style>
  <w:style w:type="paragraph" w:customStyle="1" w:styleId="m3525430758542388743default">
    <w:name w:val="m_3525430758542388743default"/>
    <w:basedOn w:val="Normal"/>
    <w:rsid w:val="003E49D5"/>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m3426683505022141389default">
    <w:name w:val="m_3426683505022141389default"/>
    <w:basedOn w:val="Normal"/>
    <w:rsid w:val="003E49D5"/>
    <w:pPr>
      <w:spacing w:before="100" w:beforeAutospacing="1" w:after="100" w:afterAutospacing="1" w:line="240" w:lineRule="auto"/>
    </w:pPr>
    <w:rPr>
      <w:rFonts w:ascii="Times New Roman" w:eastAsia="Times New Roman" w:hAnsi="Times New Roman"/>
      <w:sz w:val="24"/>
      <w:szCs w:val="24"/>
      <w:lang w:eastAsia="pt-BR"/>
    </w:rPr>
  </w:style>
  <w:style w:type="table" w:customStyle="1" w:styleId="Tabelacomgrade1">
    <w:name w:val="Tabela com grade1"/>
    <w:basedOn w:val="TableNormal"/>
    <w:next w:val="TableGrid"/>
    <w:uiPriority w:val="59"/>
    <w:rsid w:val="003E49D5"/>
    <w:rPr>
      <w:rFonts w:ascii="Times New Roman" w:eastAsia="SimSu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B3CB1"/>
    <w:rPr>
      <w:color w:val="808080"/>
      <w:shd w:val="clear" w:color="auto" w:fill="E6E6E6"/>
    </w:rPr>
  </w:style>
  <w:style w:type="character" w:styleId="FollowedHyperlink">
    <w:name w:val="FollowedHyperlink"/>
    <w:basedOn w:val="DefaultParagraphFont"/>
    <w:uiPriority w:val="99"/>
    <w:semiHidden/>
    <w:unhideWhenUsed/>
    <w:rsid w:val="003B1A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42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epository.law.umich.edu/cgi/viewcontent.cgi?article=1003&amp;context=law_econ_archive" TargetMode="External"/><Relationship Id="rId18" Type="http://schemas.openxmlformats.org/officeDocument/2006/relationships/hyperlink" Target="https://revistas.ufrj.br/index.php/%20scg/article/view/14171/9524%20"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michele.juca@mackenzie.br" TargetMode="External"/><Relationship Id="rId12" Type="http://schemas.openxmlformats.org/officeDocument/2006/relationships/hyperlink" Target="https://papers.ssrn.com/sol3/Delivery.cfm/98092505.pdf?abstractid=132529&amp;mirid=1" TargetMode="External"/><Relationship Id="rId17" Type="http://schemas.openxmlformats.org/officeDocument/2006/relationships/hyperlink" Target="https://www.insper.edu.br/wp-content/uploads/2012/11/2010_wpe224.pdf" TargetMode="External"/><Relationship Id="rId2" Type="http://schemas.openxmlformats.org/officeDocument/2006/relationships/styles" Target="styles.xml"/><Relationship Id="rId16" Type="http://schemas.openxmlformats.org/officeDocument/2006/relationships/hyperlink" Target="https://revistas.ufrj.br/index.php/scg/article/download/13945/pdf" TargetMode="External"/><Relationship Id="rId20" Type="http://schemas.openxmlformats.org/officeDocument/2006/relationships/hyperlink" Target="http://noticias.serasaexperian.com.br/blog/2016/02/17/com-crise-e-desemprego-abertura-de-empresas-cresce-53-em-2015-revela-serasa-experi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vcap.com.br/industria-de-pe-vc/sobre-osetor.aspx" TargetMode="External"/><Relationship Id="rId5" Type="http://schemas.openxmlformats.org/officeDocument/2006/relationships/footnotes" Target="footnotes.xml"/><Relationship Id="rId15" Type="http://schemas.openxmlformats.org/officeDocument/2006/relationships/hyperlink" Target="https://bibliotecadigital.fgv.br/dspace/%20bitstream/handle/10438/13439/Panorama%20da%20ind%C3%BAstria%20brasileira%20de%20Private%20Equity%20e%20Venture%20Vapital_2008.pdf?sequence=1&amp;isAllowed=y" TargetMode="External"/><Relationship Id="rId23" Type="http://schemas.openxmlformats.org/officeDocument/2006/relationships/theme" Target="theme/theme1.xml"/><Relationship Id="rId10" Type="http://schemas.openxmlformats.org/officeDocument/2006/relationships/hyperlink" Target="http://www.abdi.com.br/reunioescndi/curso.pdf" TargetMode="External"/><Relationship Id="rId19" Type="http://schemas.openxmlformats.org/officeDocument/2006/relationships/hyperlink" Target="http://www.ipea.gov.br/portal/%20images/stories/PDFs/TDs/td_1280.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cvm.gov.br/export/sites/cvm/legislacao/inst/anexos/400/inst400.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9145</Words>
  <Characters>49387</Characters>
  <DocSecurity>0</DocSecurity>
  <Lines>411</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58416</CharactersWithSpaces>
  <SharedDoc>false</SharedDoc>
  <HLinks>
    <vt:vector size="6" baseType="variant">
      <vt:variant>
        <vt:i4>8323184</vt:i4>
      </vt:variant>
      <vt:variant>
        <vt:i4>15</vt:i4>
      </vt:variant>
      <vt:variant>
        <vt:i4>0</vt:i4>
      </vt:variant>
      <vt:variant>
        <vt:i4>5</vt:i4>
      </vt:variant>
      <vt:variant>
        <vt:lpwstr>https://papers.ssrn.com/sol3/Delivery.cfm/ 98092505.pdf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2018-10-12T18:36:00Z</dcterms:created>
  <dcterms:modified xsi:type="dcterms:W3CDTF">2018-10-12T18:37:00Z</dcterms:modified>
</cp:coreProperties>
</file>