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148" w:rsidRPr="000E5487" w:rsidRDefault="002953FA" w:rsidP="00B747D7">
      <w:pPr>
        <w:spacing w:after="0" w:line="240" w:lineRule="auto"/>
        <w:jc w:val="center"/>
        <w:rPr>
          <w:rFonts w:ascii="Times New Roman" w:eastAsia="Calibri" w:hAnsi="Times New Roman"/>
          <w:b/>
          <w:color w:val="000000"/>
          <w:szCs w:val="24"/>
          <w:lang w:eastAsia="en-US"/>
        </w:rPr>
      </w:pPr>
      <w:r>
        <w:rPr>
          <w:rFonts w:ascii="Times New Roman" w:eastAsia="Calibri" w:hAnsi="Times New Roman"/>
          <w:b/>
          <w:color w:val="000000"/>
          <w:szCs w:val="24"/>
          <w:lang w:eastAsia="en-US"/>
        </w:rPr>
        <w:t xml:space="preserve">As </w:t>
      </w:r>
      <w:r w:rsidRPr="00BE4FE6">
        <w:rPr>
          <w:rFonts w:ascii="Times New Roman" w:eastAsia="Calibri" w:hAnsi="Times New Roman"/>
          <w:b/>
          <w:color w:val="000000"/>
          <w:szCs w:val="24"/>
          <w:lang w:eastAsia="en-US"/>
        </w:rPr>
        <w:t xml:space="preserve">Escolhas Contábeis </w:t>
      </w:r>
      <w:r>
        <w:rPr>
          <w:rFonts w:ascii="Times New Roman" w:eastAsia="Calibri" w:hAnsi="Times New Roman"/>
          <w:b/>
          <w:color w:val="000000"/>
          <w:szCs w:val="24"/>
          <w:lang w:eastAsia="en-US"/>
        </w:rPr>
        <w:t>na Mensuração d</w:t>
      </w:r>
      <w:r w:rsidRPr="00BE4FE6">
        <w:rPr>
          <w:rFonts w:ascii="Times New Roman" w:eastAsia="Calibri" w:hAnsi="Times New Roman"/>
          <w:b/>
          <w:color w:val="000000"/>
          <w:szCs w:val="24"/>
          <w:lang w:eastAsia="en-US"/>
        </w:rPr>
        <w:t>e Ativos Biológicos</w:t>
      </w:r>
      <w:r>
        <w:rPr>
          <w:rFonts w:ascii="Times New Roman" w:eastAsia="Calibri" w:hAnsi="Times New Roman"/>
          <w:b/>
          <w:color w:val="000000"/>
          <w:szCs w:val="24"/>
          <w:lang w:eastAsia="en-US"/>
        </w:rPr>
        <w:t xml:space="preserve"> estão Associadas ao</w:t>
      </w:r>
      <w:r w:rsidRPr="002953FA">
        <w:rPr>
          <w:rFonts w:ascii="Times New Roman" w:eastAsia="Calibri" w:hAnsi="Times New Roman"/>
          <w:b/>
          <w:color w:val="000000"/>
          <w:szCs w:val="24"/>
          <w:lang w:eastAsia="en-US"/>
        </w:rPr>
        <w:t xml:space="preserve"> Perfil </w:t>
      </w:r>
      <w:r>
        <w:rPr>
          <w:rFonts w:ascii="Times New Roman" w:eastAsia="Calibri" w:hAnsi="Times New Roman"/>
          <w:b/>
          <w:color w:val="000000"/>
          <w:szCs w:val="24"/>
          <w:lang w:eastAsia="en-US"/>
        </w:rPr>
        <w:t>do Profissional Contábil</w:t>
      </w:r>
      <w:r w:rsidRPr="00BE4FE6">
        <w:rPr>
          <w:rFonts w:ascii="Times New Roman" w:eastAsia="Calibri" w:hAnsi="Times New Roman"/>
          <w:b/>
          <w:color w:val="000000"/>
          <w:szCs w:val="24"/>
          <w:lang w:eastAsia="en-US"/>
        </w:rPr>
        <w:t>?</w:t>
      </w:r>
    </w:p>
    <w:p w:rsidR="005A197E" w:rsidRPr="000E5487" w:rsidRDefault="005A197E" w:rsidP="00B747D7">
      <w:pPr>
        <w:spacing w:after="0" w:line="240" w:lineRule="auto"/>
        <w:jc w:val="center"/>
        <w:rPr>
          <w:rFonts w:ascii="Times New Roman" w:eastAsia="Calibri" w:hAnsi="Times New Roman"/>
          <w:b/>
          <w:color w:val="000000"/>
          <w:szCs w:val="24"/>
          <w:lang w:eastAsia="en-US"/>
        </w:rPr>
      </w:pPr>
    </w:p>
    <w:p w:rsidR="003A4FF7" w:rsidRPr="000E5487" w:rsidRDefault="002953FA" w:rsidP="00B747D7">
      <w:pPr>
        <w:spacing w:after="0" w:line="240" w:lineRule="auto"/>
        <w:jc w:val="center"/>
        <w:rPr>
          <w:rFonts w:ascii="Times New Roman" w:eastAsia="Calibri" w:hAnsi="Times New Roman"/>
          <w:b/>
          <w:color w:val="000000"/>
          <w:szCs w:val="24"/>
          <w:lang w:val="en-US" w:eastAsia="en-US"/>
        </w:rPr>
      </w:pPr>
      <w:r w:rsidRPr="002953FA">
        <w:rPr>
          <w:rFonts w:ascii="Times New Roman" w:eastAsia="Calibri" w:hAnsi="Times New Roman"/>
          <w:b/>
          <w:color w:val="000000"/>
          <w:szCs w:val="24"/>
          <w:lang w:val="en-US" w:eastAsia="en-US"/>
        </w:rPr>
        <w:t>Are the Accounting Choices in the Measurement of Biological Assets Associated with the Accounting Professional Profile?</w:t>
      </w:r>
    </w:p>
    <w:p w:rsidR="00CE0D81" w:rsidRDefault="00CE0D81" w:rsidP="00B747D7">
      <w:pPr>
        <w:spacing w:after="0" w:line="240" w:lineRule="auto"/>
        <w:rPr>
          <w:rFonts w:ascii="Times New Roman" w:eastAsia="Calibri" w:hAnsi="Times New Roman"/>
          <w:b/>
          <w:color w:val="000000"/>
          <w:szCs w:val="24"/>
          <w:lang w:val="en-US" w:eastAsia="en-US"/>
        </w:rPr>
      </w:pPr>
    </w:p>
    <w:p w:rsidR="00A35883" w:rsidRDefault="00A35883" w:rsidP="00A35883">
      <w:pPr>
        <w:spacing w:after="0" w:line="240" w:lineRule="auto"/>
        <w:jc w:val="center"/>
        <w:rPr>
          <w:rFonts w:ascii="Times New Roman" w:eastAsia="Calibri" w:hAnsi="Times New Roman"/>
          <w:b/>
          <w:color w:val="000000"/>
          <w:szCs w:val="24"/>
          <w:lang w:val="en-US" w:eastAsia="en-US"/>
        </w:rPr>
      </w:pPr>
      <w:r>
        <w:rPr>
          <w:rFonts w:ascii="Times New Roman" w:eastAsia="Calibri" w:hAnsi="Times New Roman"/>
          <w:b/>
          <w:color w:val="000000"/>
          <w:szCs w:val="24"/>
          <w:lang w:val="en-US" w:eastAsia="en-US"/>
        </w:rPr>
        <w:t>Rafael Todescato Cavalheiro</w:t>
      </w:r>
    </w:p>
    <w:p w:rsidR="00A35883" w:rsidRPr="00A35883" w:rsidRDefault="00A35883" w:rsidP="00A35883">
      <w:pPr>
        <w:spacing w:after="0" w:line="240" w:lineRule="auto"/>
        <w:jc w:val="center"/>
        <w:rPr>
          <w:rFonts w:ascii="Times New Roman" w:eastAsia="Calibri" w:hAnsi="Times New Roman"/>
          <w:color w:val="000000"/>
          <w:szCs w:val="24"/>
          <w:lang w:eastAsia="en-US"/>
        </w:rPr>
      </w:pPr>
      <w:r w:rsidRPr="00A35883">
        <w:rPr>
          <w:rFonts w:ascii="Times New Roman" w:eastAsia="Calibri" w:hAnsi="Times New Roman"/>
          <w:color w:val="000000"/>
          <w:szCs w:val="24"/>
          <w:lang w:eastAsia="en-US"/>
        </w:rPr>
        <w:t>Mestre em Agronegócios – UFGD</w:t>
      </w:r>
    </w:p>
    <w:p w:rsidR="00A35883" w:rsidRPr="00A35883" w:rsidRDefault="00A35883" w:rsidP="00A35883">
      <w:pPr>
        <w:spacing w:after="0" w:line="240" w:lineRule="auto"/>
        <w:jc w:val="center"/>
        <w:rPr>
          <w:rFonts w:ascii="Times New Roman" w:eastAsia="Calibri" w:hAnsi="Times New Roman"/>
          <w:color w:val="000000"/>
          <w:szCs w:val="24"/>
          <w:lang w:eastAsia="en-US"/>
        </w:rPr>
      </w:pPr>
      <w:r w:rsidRPr="00A35883">
        <w:rPr>
          <w:rFonts w:ascii="Times New Roman" w:eastAsia="Calibri" w:hAnsi="Times New Roman"/>
          <w:color w:val="000000"/>
          <w:szCs w:val="24"/>
          <w:lang w:eastAsia="en-US"/>
        </w:rPr>
        <w:t>Universidade Federal da Grande Dourados – UFGD</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Faculdade de Administração, Ciências Contábeis e Economia (FACE), Campus Universitário, Caixa Postal – 364 - Dourados - MS</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 xml:space="preserve">CEP 79804-970 </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b/>
          <w:bCs/>
          <w:color w:val="0000FF"/>
          <w:szCs w:val="24"/>
          <w:lang w:eastAsia="en-US"/>
        </w:rPr>
      </w:pPr>
      <w:r w:rsidRPr="00A35883">
        <w:rPr>
          <w:rFonts w:ascii="Times New Roman" w:eastAsiaTheme="minorHAnsi" w:hAnsi="Times New Roman"/>
          <w:color w:val="000000"/>
          <w:szCs w:val="24"/>
          <w:lang w:eastAsia="en-US"/>
        </w:rPr>
        <w:t xml:space="preserve">E-mail: </w:t>
      </w:r>
      <w:r w:rsidRPr="00A35883">
        <w:rPr>
          <w:rFonts w:ascii="Times New Roman" w:eastAsiaTheme="minorHAnsi" w:hAnsi="Times New Roman"/>
          <w:b/>
          <w:bCs/>
          <w:color w:val="0000FF"/>
          <w:szCs w:val="24"/>
          <w:u w:val="single"/>
          <w:lang w:eastAsia="en-US"/>
        </w:rPr>
        <w:t>rafaeltodescato@hotmail.com</w:t>
      </w:r>
    </w:p>
    <w:p w:rsidR="00A35883" w:rsidRDefault="00A35883" w:rsidP="00A35883">
      <w:pPr>
        <w:autoSpaceDE w:val="0"/>
        <w:autoSpaceDN w:val="0"/>
        <w:adjustRightInd w:val="0"/>
        <w:spacing w:after="0" w:line="240" w:lineRule="auto"/>
        <w:jc w:val="center"/>
        <w:rPr>
          <w:rFonts w:ascii="Times New Roman" w:eastAsiaTheme="minorHAnsi" w:hAnsi="Times New Roman"/>
          <w:b/>
          <w:bCs/>
          <w:color w:val="000000"/>
          <w:szCs w:val="24"/>
          <w:lang w:eastAsia="en-US"/>
        </w:rPr>
      </w:pP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b/>
          <w:bCs/>
          <w:color w:val="000000"/>
          <w:szCs w:val="24"/>
          <w:lang w:eastAsia="en-US"/>
        </w:rPr>
      </w:pPr>
      <w:r w:rsidRPr="00A35883">
        <w:rPr>
          <w:rFonts w:ascii="Times New Roman" w:eastAsiaTheme="minorHAnsi" w:hAnsi="Times New Roman"/>
          <w:b/>
          <w:bCs/>
          <w:color w:val="000000"/>
          <w:szCs w:val="24"/>
          <w:lang w:eastAsia="en-US"/>
        </w:rPr>
        <w:t>Régio Marcio Toesca Gimenes</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Pós-Dout</w:t>
      </w:r>
      <w:r>
        <w:rPr>
          <w:rFonts w:ascii="Times New Roman" w:eastAsiaTheme="minorHAnsi" w:hAnsi="Times New Roman"/>
          <w:color w:val="000000"/>
          <w:szCs w:val="24"/>
          <w:lang w:eastAsia="en-US"/>
        </w:rPr>
        <w:t>or em Finanças Corporativas -</w:t>
      </w:r>
      <w:r w:rsidRPr="00A35883">
        <w:rPr>
          <w:rFonts w:ascii="Times New Roman" w:eastAsiaTheme="minorHAnsi" w:hAnsi="Times New Roman"/>
          <w:color w:val="000000"/>
          <w:szCs w:val="24"/>
          <w:lang w:eastAsia="en-US"/>
        </w:rPr>
        <w:t xml:space="preserve"> FEA/USP</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Universidade Federal da Grande Dourados</w:t>
      </w:r>
      <w:r w:rsidR="00C51813">
        <w:rPr>
          <w:rFonts w:ascii="Times New Roman" w:eastAsiaTheme="minorHAnsi" w:hAnsi="Times New Roman"/>
          <w:color w:val="000000"/>
          <w:szCs w:val="24"/>
          <w:lang w:eastAsia="en-US"/>
        </w:rPr>
        <w:t xml:space="preserve"> - UFGD</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Faculdade de Administração, Ciências Contábeis e Economia (FACE), Campus Universitário, Caixa Postal – 364 - Dourados - MS</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 xml:space="preserve">CEP 79804-970 </w:t>
      </w:r>
    </w:p>
    <w:p w:rsidR="00A35883" w:rsidRDefault="00A35883" w:rsidP="00A35883">
      <w:pPr>
        <w:spacing w:after="0" w:line="240" w:lineRule="auto"/>
        <w:jc w:val="center"/>
        <w:rPr>
          <w:rFonts w:ascii="Times New Roman" w:eastAsiaTheme="minorHAnsi" w:hAnsi="Times New Roman"/>
          <w:b/>
          <w:bCs/>
          <w:color w:val="0000FF"/>
          <w:szCs w:val="24"/>
          <w:u w:val="single"/>
          <w:lang w:eastAsia="en-US"/>
        </w:rPr>
      </w:pPr>
      <w:r w:rsidRPr="00A35883">
        <w:rPr>
          <w:rFonts w:ascii="Times New Roman" w:eastAsiaTheme="minorHAnsi" w:hAnsi="Times New Roman"/>
          <w:color w:val="000000"/>
          <w:szCs w:val="24"/>
          <w:lang w:eastAsia="en-US"/>
        </w:rPr>
        <w:t xml:space="preserve">E-mail: </w:t>
      </w:r>
      <w:r w:rsidRPr="00A35883">
        <w:rPr>
          <w:rFonts w:ascii="Times New Roman" w:eastAsiaTheme="minorHAnsi" w:hAnsi="Times New Roman"/>
          <w:b/>
          <w:bCs/>
          <w:color w:val="0000FF"/>
          <w:szCs w:val="24"/>
          <w:u w:val="single"/>
          <w:lang w:eastAsia="en-US"/>
        </w:rPr>
        <w:t>regiomtoesca@gmail.com</w:t>
      </w:r>
    </w:p>
    <w:p w:rsidR="00A35883" w:rsidRDefault="00A35883" w:rsidP="00A35883">
      <w:pPr>
        <w:spacing w:after="0" w:line="240" w:lineRule="auto"/>
        <w:jc w:val="center"/>
        <w:rPr>
          <w:rFonts w:ascii="Times New Roman" w:eastAsiaTheme="minorHAnsi" w:hAnsi="Times New Roman"/>
          <w:b/>
          <w:bCs/>
          <w:color w:val="0000FF"/>
          <w:szCs w:val="24"/>
          <w:u w:val="single"/>
          <w:lang w:eastAsia="en-US"/>
        </w:rPr>
      </w:pP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b/>
          <w:bCs/>
          <w:color w:val="000000"/>
          <w:szCs w:val="24"/>
          <w:lang w:eastAsia="en-US"/>
        </w:rPr>
      </w:pPr>
      <w:r w:rsidRPr="00A35883">
        <w:rPr>
          <w:rFonts w:ascii="Times New Roman" w:eastAsiaTheme="minorHAnsi" w:hAnsi="Times New Roman"/>
          <w:b/>
          <w:bCs/>
          <w:color w:val="000000"/>
          <w:szCs w:val="24"/>
          <w:lang w:eastAsia="en-US"/>
        </w:rPr>
        <w:t>Erlaine Binotto</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 xml:space="preserve">Doutora em Agronegócios </w:t>
      </w:r>
      <w:r>
        <w:rPr>
          <w:rFonts w:ascii="Times New Roman" w:eastAsiaTheme="minorHAnsi" w:hAnsi="Times New Roman"/>
          <w:color w:val="000000"/>
          <w:szCs w:val="24"/>
          <w:lang w:eastAsia="en-US"/>
        </w:rPr>
        <w:t>-</w:t>
      </w:r>
      <w:r w:rsidRPr="00A35883">
        <w:rPr>
          <w:rFonts w:ascii="Times New Roman" w:eastAsiaTheme="minorHAnsi" w:hAnsi="Times New Roman"/>
          <w:color w:val="000000"/>
          <w:szCs w:val="24"/>
          <w:lang w:eastAsia="en-US"/>
        </w:rPr>
        <w:t xml:space="preserve"> UFRGS</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Universidade Federal da Grande Dourados</w:t>
      </w:r>
      <w:r w:rsidR="00C51813">
        <w:rPr>
          <w:rFonts w:ascii="Times New Roman" w:eastAsiaTheme="minorHAnsi" w:hAnsi="Times New Roman"/>
          <w:color w:val="000000"/>
          <w:szCs w:val="24"/>
          <w:lang w:eastAsia="en-US"/>
        </w:rPr>
        <w:t xml:space="preserve"> - UFGD</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Faculdade de Administração, Ciências Contábeis e Economia (FACE), Campus Universitário, Caixa Postal – 364 - Dourados - MS</w:t>
      </w:r>
    </w:p>
    <w:p w:rsidR="00A35883" w:rsidRPr="00A35883" w:rsidRDefault="00A35883" w:rsidP="00A35883">
      <w:pPr>
        <w:autoSpaceDE w:val="0"/>
        <w:autoSpaceDN w:val="0"/>
        <w:adjustRightInd w:val="0"/>
        <w:spacing w:after="0" w:line="240" w:lineRule="auto"/>
        <w:jc w:val="center"/>
        <w:rPr>
          <w:rFonts w:ascii="Times New Roman" w:eastAsiaTheme="minorHAnsi" w:hAnsi="Times New Roman"/>
          <w:color w:val="000000"/>
          <w:szCs w:val="24"/>
          <w:lang w:eastAsia="en-US"/>
        </w:rPr>
      </w:pPr>
      <w:r w:rsidRPr="00A35883">
        <w:rPr>
          <w:rFonts w:ascii="Times New Roman" w:eastAsiaTheme="minorHAnsi" w:hAnsi="Times New Roman"/>
          <w:color w:val="000000"/>
          <w:szCs w:val="24"/>
          <w:lang w:eastAsia="en-US"/>
        </w:rPr>
        <w:t xml:space="preserve">CEP 79804-970 </w:t>
      </w:r>
    </w:p>
    <w:p w:rsidR="00A35883" w:rsidRPr="00A35883" w:rsidRDefault="00A35883" w:rsidP="00A35883">
      <w:pPr>
        <w:spacing w:after="0" w:line="240" w:lineRule="auto"/>
        <w:jc w:val="center"/>
        <w:rPr>
          <w:rFonts w:ascii="Times New Roman" w:eastAsiaTheme="minorHAnsi" w:hAnsi="Times New Roman"/>
          <w:b/>
          <w:bCs/>
          <w:color w:val="0000FF"/>
          <w:szCs w:val="24"/>
          <w:lang w:eastAsia="en-US"/>
        </w:rPr>
      </w:pPr>
      <w:r w:rsidRPr="00A35883">
        <w:rPr>
          <w:rFonts w:ascii="Times New Roman" w:eastAsiaTheme="minorHAnsi" w:hAnsi="Times New Roman"/>
          <w:color w:val="000000"/>
          <w:szCs w:val="24"/>
          <w:lang w:eastAsia="en-US"/>
        </w:rPr>
        <w:t xml:space="preserve">E-mail: </w:t>
      </w:r>
      <w:r w:rsidR="00C51813" w:rsidRPr="00C51813">
        <w:rPr>
          <w:rFonts w:ascii="Times New Roman" w:eastAsiaTheme="minorHAnsi" w:hAnsi="Times New Roman"/>
          <w:b/>
          <w:bCs/>
          <w:color w:val="0000FF"/>
          <w:szCs w:val="24"/>
          <w:u w:val="single"/>
          <w:lang w:eastAsia="en-US"/>
        </w:rPr>
        <w:t>e-binotto@uol.com.br</w:t>
      </w:r>
    </w:p>
    <w:p w:rsidR="00A35883" w:rsidRPr="00A35883" w:rsidRDefault="00A35883" w:rsidP="00A35883">
      <w:pPr>
        <w:spacing w:after="0" w:line="240" w:lineRule="auto"/>
        <w:jc w:val="center"/>
        <w:rPr>
          <w:rFonts w:ascii="Times New Roman" w:eastAsiaTheme="minorHAnsi" w:hAnsi="Times New Roman"/>
          <w:b/>
          <w:bCs/>
          <w:color w:val="0000FF"/>
          <w:szCs w:val="24"/>
          <w:u w:val="single"/>
          <w:lang w:eastAsia="en-US"/>
        </w:rPr>
      </w:pPr>
    </w:p>
    <w:p w:rsidR="00A35883" w:rsidRPr="00A35883" w:rsidRDefault="00A35883" w:rsidP="00A35883">
      <w:pPr>
        <w:spacing w:after="0" w:line="240" w:lineRule="auto"/>
        <w:jc w:val="center"/>
        <w:rPr>
          <w:rFonts w:ascii="Times New Roman" w:eastAsia="Calibri" w:hAnsi="Times New Roman"/>
          <w:b/>
          <w:color w:val="000000"/>
          <w:szCs w:val="24"/>
          <w:lang w:eastAsia="en-US"/>
        </w:rPr>
      </w:pPr>
    </w:p>
    <w:p w:rsidR="00871DFD" w:rsidRPr="000E5487" w:rsidRDefault="00CE0D81" w:rsidP="00B747D7">
      <w:pPr>
        <w:spacing w:after="120" w:line="240" w:lineRule="auto"/>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Resumo</w:t>
      </w:r>
    </w:p>
    <w:p w:rsidR="00871DFD" w:rsidRPr="000E5487" w:rsidRDefault="00B023E4" w:rsidP="00B747D7">
      <w:pPr>
        <w:spacing w:after="0" w:line="240" w:lineRule="auto"/>
        <w:jc w:val="both"/>
        <w:rPr>
          <w:rFonts w:ascii="Times New Roman" w:hAnsi="Times New Roman"/>
          <w:noProof/>
          <w:szCs w:val="24"/>
        </w:rPr>
      </w:pPr>
      <w:r>
        <w:rPr>
          <w:rFonts w:ascii="Times New Roman" w:eastAsia="Calibri" w:hAnsi="Times New Roman"/>
          <w:color w:val="000000"/>
          <w:szCs w:val="24"/>
          <w:lang w:eastAsia="en-US"/>
        </w:rPr>
        <w:t>C</w:t>
      </w:r>
      <w:r w:rsidR="0045504F">
        <w:rPr>
          <w:rFonts w:ascii="Times New Roman" w:eastAsia="Calibri" w:hAnsi="Times New Roman"/>
          <w:color w:val="000000"/>
          <w:szCs w:val="24"/>
          <w:lang w:eastAsia="en-US"/>
        </w:rPr>
        <w:t xml:space="preserve">om a entrada em vigor da IAS 41 no Brasil, a discricionariedade das escolhas contábeis relativas a mensuração de ativos biológicos se apresenta como um </w:t>
      </w:r>
      <w:r w:rsidR="0045504F" w:rsidRPr="0045504F">
        <w:rPr>
          <w:rFonts w:ascii="Times New Roman" w:eastAsia="Calibri" w:hAnsi="Times New Roman"/>
          <w:color w:val="000000"/>
          <w:szCs w:val="24"/>
          <w:lang w:eastAsia="en-US"/>
        </w:rPr>
        <w:t xml:space="preserve">desafio para os profissionais contábeis e para  as </w:t>
      </w:r>
      <w:r w:rsidR="002C5DAB">
        <w:rPr>
          <w:rFonts w:ascii="Times New Roman" w:eastAsia="Calibri" w:hAnsi="Times New Roman"/>
          <w:color w:val="000000"/>
          <w:szCs w:val="24"/>
          <w:lang w:eastAsia="en-US"/>
        </w:rPr>
        <w:t xml:space="preserve">entidades que atuam no setor do  </w:t>
      </w:r>
      <w:r w:rsidR="0045504F" w:rsidRPr="0045504F">
        <w:rPr>
          <w:rFonts w:ascii="Times New Roman" w:eastAsia="Calibri" w:hAnsi="Times New Roman"/>
          <w:color w:val="000000"/>
          <w:szCs w:val="24"/>
          <w:lang w:eastAsia="en-US"/>
        </w:rPr>
        <w:t>agronegócio</w:t>
      </w:r>
      <w:r w:rsidR="002C5DAB">
        <w:rPr>
          <w:rFonts w:ascii="Times New Roman" w:eastAsia="Calibri" w:hAnsi="Times New Roman"/>
          <w:color w:val="000000"/>
          <w:szCs w:val="24"/>
          <w:lang w:eastAsia="en-US"/>
        </w:rPr>
        <w:t xml:space="preserve">, </w:t>
      </w:r>
      <w:r w:rsidR="007C0174">
        <w:rPr>
          <w:rFonts w:ascii="Times New Roman" w:eastAsia="Calibri" w:hAnsi="Times New Roman"/>
          <w:color w:val="000000"/>
          <w:szCs w:val="24"/>
          <w:lang w:eastAsia="en-US"/>
        </w:rPr>
        <w:t xml:space="preserve">sendo este, </w:t>
      </w:r>
      <w:r w:rsidR="002C5DAB">
        <w:rPr>
          <w:rFonts w:ascii="Times New Roman" w:eastAsia="Calibri" w:hAnsi="Times New Roman"/>
          <w:color w:val="000000"/>
          <w:szCs w:val="24"/>
          <w:lang w:eastAsia="en-US"/>
        </w:rPr>
        <w:t>um</w:t>
      </w:r>
      <w:r w:rsidR="0045504F" w:rsidRPr="0045504F">
        <w:rPr>
          <w:rFonts w:ascii="Times New Roman" w:eastAsia="Calibri" w:hAnsi="Times New Roman"/>
          <w:color w:val="000000"/>
          <w:szCs w:val="24"/>
          <w:lang w:eastAsia="en-US"/>
        </w:rPr>
        <w:t xml:space="preserve"> </w:t>
      </w:r>
      <w:r w:rsidR="0045504F">
        <w:rPr>
          <w:rFonts w:ascii="Times New Roman" w:eastAsia="Calibri" w:hAnsi="Times New Roman"/>
          <w:color w:val="000000"/>
          <w:szCs w:val="24"/>
          <w:lang w:eastAsia="en-US"/>
        </w:rPr>
        <w:t xml:space="preserve">enriquecido campo de </w:t>
      </w:r>
      <w:r w:rsidR="007C0174">
        <w:rPr>
          <w:rFonts w:ascii="Times New Roman" w:eastAsia="Calibri" w:hAnsi="Times New Roman"/>
          <w:color w:val="000000"/>
          <w:szCs w:val="24"/>
          <w:lang w:eastAsia="en-US"/>
        </w:rPr>
        <w:t>pesquisa</w:t>
      </w:r>
      <w:r w:rsidR="0045504F">
        <w:rPr>
          <w:rFonts w:ascii="Times New Roman" w:eastAsia="Calibri" w:hAnsi="Times New Roman"/>
          <w:color w:val="000000"/>
          <w:szCs w:val="24"/>
          <w:lang w:eastAsia="en-US"/>
        </w:rPr>
        <w:t xml:space="preserve"> para a Contabilidade. Nesse sentido, e</w:t>
      </w:r>
      <w:r w:rsidR="00871DFD" w:rsidRPr="000E5487">
        <w:rPr>
          <w:rFonts w:ascii="Times New Roman" w:eastAsia="Calibri" w:hAnsi="Times New Roman"/>
          <w:color w:val="000000"/>
          <w:szCs w:val="24"/>
          <w:lang w:eastAsia="en-US"/>
        </w:rPr>
        <w:t>sse estudo tem por objetivo identificar as</w:t>
      </w:r>
      <w:r w:rsidR="005E25A1" w:rsidRPr="000E5487">
        <w:rPr>
          <w:rFonts w:ascii="Times New Roman" w:eastAsia="Calibri" w:hAnsi="Times New Roman"/>
          <w:color w:val="000000"/>
          <w:szCs w:val="24"/>
          <w:lang w:eastAsia="en-US"/>
        </w:rPr>
        <w:t xml:space="preserve"> </w:t>
      </w:r>
      <w:r w:rsidR="00871DFD" w:rsidRPr="000E5487">
        <w:rPr>
          <w:rFonts w:ascii="Times New Roman" w:eastAsia="Calibri" w:hAnsi="Times New Roman"/>
          <w:color w:val="000000"/>
          <w:szCs w:val="24"/>
          <w:lang w:eastAsia="en-US"/>
        </w:rPr>
        <w:t xml:space="preserve">escolhas contábeis no contexto da mensuração de ativos biológicos e verificar se tais escolhas estão associadas ao perfil dos </w:t>
      </w:r>
      <w:r w:rsidR="00203B31" w:rsidRPr="000E5487">
        <w:rPr>
          <w:rFonts w:ascii="Times New Roman" w:eastAsia="Calibri" w:hAnsi="Times New Roman"/>
          <w:color w:val="000000"/>
          <w:szCs w:val="24"/>
          <w:lang w:eastAsia="en-US"/>
        </w:rPr>
        <w:t xml:space="preserve">profissionais que </w:t>
      </w:r>
      <w:r w:rsidR="00455D9D" w:rsidRPr="000E5487">
        <w:rPr>
          <w:rFonts w:ascii="Times New Roman" w:eastAsia="Calibri" w:hAnsi="Times New Roman"/>
          <w:color w:val="000000"/>
          <w:szCs w:val="24"/>
          <w:lang w:eastAsia="en-US"/>
        </w:rPr>
        <w:t>o</w:t>
      </w:r>
      <w:r w:rsidR="00CE595C" w:rsidRPr="000E5487">
        <w:rPr>
          <w:rFonts w:ascii="Times New Roman" w:eastAsia="Calibri" w:hAnsi="Times New Roman"/>
          <w:color w:val="000000"/>
          <w:szCs w:val="24"/>
          <w:lang w:eastAsia="en-US"/>
        </w:rPr>
        <w:t>s</w:t>
      </w:r>
      <w:r w:rsidR="00BE4FE6">
        <w:rPr>
          <w:rFonts w:ascii="Times New Roman" w:eastAsia="Calibri" w:hAnsi="Times New Roman"/>
          <w:color w:val="000000"/>
          <w:szCs w:val="24"/>
          <w:lang w:eastAsia="en-US"/>
        </w:rPr>
        <w:t xml:space="preserve"> mensuram</w:t>
      </w:r>
      <w:r w:rsidR="00871DFD" w:rsidRPr="000E5487">
        <w:rPr>
          <w:rFonts w:ascii="Times New Roman" w:eastAsia="Calibri" w:hAnsi="Times New Roman"/>
          <w:color w:val="000000"/>
          <w:szCs w:val="24"/>
          <w:lang w:eastAsia="en-US"/>
        </w:rPr>
        <w:t xml:space="preserve">. </w:t>
      </w:r>
      <w:r w:rsidR="006765A0" w:rsidRPr="000E5487">
        <w:rPr>
          <w:rFonts w:ascii="Times New Roman" w:eastAsia="Calibri" w:hAnsi="Times New Roman"/>
          <w:color w:val="000000"/>
          <w:szCs w:val="24"/>
          <w:lang w:eastAsia="en-US"/>
        </w:rPr>
        <w:t>O levantamento das escolhas contábeis foi realizado mediante a aplicação de questionário enviado a uma amostra de e</w:t>
      </w:r>
      <w:r w:rsidR="00BE4FE6">
        <w:rPr>
          <w:rFonts w:ascii="Times New Roman" w:eastAsia="Calibri" w:hAnsi="Times New Roman"/>
          <w:color w:val="000000"/>
          <w:szCs w:val="24"/>
          <w:lang w:eastAsia="en-US"/>
        </w:rPr>
        <w:t xml:space="preserve">mpresas </w:t>
      </w:r>
      <w:r w:rsidR="00BE4FE6" w:rsidRPr="00BE4FE6">
        <w:rPr>
          <w:rFonts w:ascii="Times New Roman" w:eastAsia="Calibri" w:hAnsi="Times New Roman"/>
          <w:color w:val="000000"/>
          <w:szCs w:val="24"/>
          <w:lang w:eastAsia="en-US"/>
        </w:rPr>
        <w:t>do setor sucroenergético brasileiro</w:t>
      </w:r>
      <w:r w:rsidR="006765A0" w:rsidRPr="000E5487">
        <w:rPr>
          <w:rFonts w:ascii="Times New Roman" w:eastAsia="Calibri" w:hAnsi="Times New Roman"/>
          <w:color w:val="000000"/>
          <w:szCs w:val="24"/>
          <w:lang w:eastAsia="en-US"/>
        </w:rPr>
        <w:t xml:space="preserve"> e a referida associação foi testada por meio do </w:t>
      </w:r>
      <w:r w:rsidR="006765A0" w:rsidRPr="000E5487">
        <w:rPr>
          <w:rFonts w:ascii="Times New Roman" w:hAnsi="Times New Roman"/>
          <w:color w:val="000000"/>
          <w:szCs w:val="24"/>
        </w:rPr>
        <w:t>t</w:t>
      </w:r>
      <w:r w:rsidR="00F011B2" w:rsidRPr="000E5487">
        <w:rPr>
          <w:rFonts w:ascii="Times New Roman" w:hAnsi="Times New Roman"/>
          <w:color w:val="000000"/>
          <w:szCs w:val="24"/>
        </w:rPr>
        <w:t xml:space="preserve">este exato de </w:t>
      </w:r>
      <w:r w:rsidR="00F011B2" w:rsidRPr="000E5487">
        <w:rPr>
          <w:rFonts w:ascii="Times New Roman" w:hAnsi="Times New Roman"/>
          <w:i/>
          <w:color w:val="000000"/>
          <w:szCs w:val="24"/>
        </w:rPr>
        <w:t>Fisher</w:t>
      </w:r>
      <w:r w:rsidR="00F011B2" w:rsidRPr="000E5487">
        <w:rPr>
          <w:rFonts w:ascii="Times New Roman" w:hAnsi="Times New Roman"/>
          <w:bCs/>
          <w:szCs w:val="24"/>
        </w:rPr>
        <w:t xml:space="preserve"> com </w:t>
      </w:r>
      <w:r w:rsidR="00F011B2" w:rsidRPr="000E5487">
        <w:rPr>
          <w:rFonts w:ascii="Times New Roman" w:hAnsi="Times New Roman"/>
          <w:color w:val="000000"/>
          <w:szCs w:val="24"/>
        </w:rPr>
        <w:t xml:space="preserve">nível de significância fixado em 5%. Obteve-se </w:t>
      </w:r>
      <w:r w:rsidR="00F011B2" w:rsidRPr="000E5487">
        <w:rPr>
          <w:rFonts w:ascii="Times New Roman" w:eastAsia="Calibri" w:hAnsi="Times New Roman"/>
          <w:color w:val="000000"/>
          <w:szCs w:val="24"/>
          <w:lang w:eastAsia="en-US"/>
        </w:rPr>
        <w:t>32 respostas válidas</w:t>
      </w:r>
      <w:r w:rsidR="00203B31" w:rsidRPr="000E5487">
        <w:rPr>
          <w:rFonts w:ascii="Times New Roman" w:eastAsia="Calibri" w:hAnsi="Times New Roman"/>
          <w:color w:val="000000"/>
          <w:szCs w:val="24"/>
          <w:lang w:eastAsia="en-US"/>
        </w:rPr>
        <w:t xml:space="preserve"> que permitem inferir uma associação significativa entre o </w:t>
      </w:r>
      <w:r w:rsidR="009F732A" w:rsidRPr="000E5487">
        <w:rPr>
          <w:rFonts w:ascii="Times New Roman" w:hAnsi="Times New Roman"/>
          <w:noProof/>
          <w:szCs w:val="24"/>
        </w:rPr>
        <w:t xml:space="preserve">tempo de experiência do profissional </w:t>
      </w:r>
      <w:r w:rsidR="00BA029B" w:rsidRPr="000E5487">
        <w:rPr>
          <w:rFonts w:ascii="Times New Roman" w:hAnsi="Times New Roman"/>
          <w:noProof/>
          <w:szCs w:val="24"/>
        </w:rPr>
        <w:t xml:space="preserve">na mensuração de ativos biológicos </w:t>
      </w:r>
      <w:r w:rsidR="00203B31" w:rsidRPr="000E5487">
        <w:rPr>
          <w:rFonts w:ascii="Times New Roman" w:hAnsi="Times New Roman"/>
          <w:noProof/>
          <w:szCs w:val="24"/>
        </w:rPr>
        <w:t xml:space="preserve">e as </w:t>
      </w:r>
      <w:r w:rsidR="00B907FC" w:rsidRPr="000E5487">
        <w:rPr>
          <w:rFonts w:ascii="Times New Roman" w:hAnsi="Times New Roman"/>
          <w:noProof/>
          <w:szCs w:val="24"/>
        </w:rPr>
        <w:t>escolhas contábeis relativas a avaliação d</w:t>
      </w:r>
      <w:r w:rsidR="00BA029B" w:rsidRPr="000E5487">
        <w:rPr>
          <w:rFonts w:ascii="Times New Roman" w:hAnsi="Times New Roman"/>
          <w:noProof/>
          <w:szCs w:val="24"/>
        </w:rPr>
        <w:t>esse</w:t>
      </w:r>
      <w:r w:rsidR="00667FB1" w:rsidRPr="000E5487">
        <w:rPr>
          <w:rFonts w:ascii="Times New Roman" w:hAnsi="Times New Roman"/>
          <w:noProof/>
          <w:szCs w:val="24"/>
        </w:rPr>
        <w:t>s</w:t>
      </w:r>
      <w:r w:rsidR="00B907FC" w:rsidRPr="000E5487">
        <w:rPr>
          <w:rFonts w:ascii="Times New Roman" w:hAnsi="Times New Roman"/>
          <w:noProof/>
          <w:szCs w:val="24"/>
        </w:rPr>
        <w:t xml:space="preserve"> ativo</w:t>
      </w:r>
      <w:r w:rsidR="00667FB1" w:rsidRPr="000E5487">
        <w:rPr>
          <w:rFonts w:ascii="Times New Roman" w:hAnsi="Times New Roman"/>
          <w:noProof/>
          <w:szCs w:val="24"/>
        </w:rPr>
        <w:t>s</w:t>
      </w:r>
      <w:r w:rsidR="00B907FC" w:rsidRPr="000E5487">
        <w:rPr>
          <w:rFonts w:ascii="Times New Roman" w:hAnsi="Times New Roman"/>
          <w:noProof/>
          <w:szCs w:val="24"/>
        </w:rPr>
        <w:t xml:space="preserve">, </w:t>
      </w:r>
      <w:r w:rsidR="00203B31" w:rsidRPr="000E5487">
        <w:rPr>
          <w:rFonts w:ascii="Times New Roman" w:hAnsi="Times New Roman"/>
          <w:noProof/>
          <w:szCs w:val="24"/>
        </w:rPr>
        <w:t xml:space="preserve">especificamente quanto a </w:t>
      </w:r>
      <w:r w:rsidR="00043DC7" w:rsidRPr="000E5487">
        <w:rPr>
          <w:rFonts w:ascii="Times New Roman" w:hAnsi="Times New Roman"/>
          <w:noProof/>
          <w:szCs w:val="24"/>
        </w:rPr>
        <w:t xml:space="preserve">definição do </w:t>
      </w:r>
      <w:r w:rsidR="00B907FC" w:rsidRPr="000E5487">
        <w:rPr>
          <w:rFonts w:ascii="Times New Roman" w:hAnsi="Times New Roman"/>
          <w:noProof/>
          <w:szCs w:val="24"/>
        </w:rPr>
        <w:t xml:space="preserve">método de mensuração, </w:t>
      </w:r>
      <w:r w:rsidR="00043DC7" w:rsidRPr="000E5487">
        <w:rPr>
          <w:rFonts w:ascii="Times New Roman" w:hAnsi="Times New Roman"/>
          <w:noProof/>
          <w:szCs w:val="24"/>
        </w:rPr>
        <w:t>d</w:t>
      </w:r>
      <w:r w:rsidR="00B907FC" w:rsidRPr="000E5487">
        <w:rPr>
          <w:rFonts w:ascii="Times New Roman" w:hAnsi="Times New Roman"/>
          <w:noProof/>
          <w:szCs w:val="24"/>
        </w:rPr>
        <w:t>a taxa de desconto</w:t>
      </w:r>
      <w:r w:rsidR="00667FB1" w:rsidRPr="000E5487">
        <w:rPr>
          <w:rFonts w:ascii="Times New Roman" w:hAnsi="Times New Roman"/>
          <w:noProof/>
          <w:szCs w:val="24"/>
        </w:rPr>
        <w:t xml:space="preserve">, </w:t>
      </w:r>
      <w:r w:rsidR="00043DC7" w:rsidRPr="000E5487">
        <w:rPr>
          <w:rFonts w:ascii="Times New Roman" w:hAnsi="Times New Roman"/>
          <w:noProof/>
          <w:szCs w:val="24"/>
        </w:rPr>
        <w:t xml:space="preserve">do horizonte de projeção dos </w:t>
      </w:r>
      <w:r w:rsidR="00C55011" w:rsidRPr="000E5487">
        <w:rPr>
          <w:rFonts w:ascii="Times New Roman" w:hAnsi="Times New Roman"/>
          <w:noProof/>
          <w:szCs w:val="24"/>
        </w:rPr>
        <w:t>fluxo</w:t>
      </w:r>
      <w:r w:rsidR="00043DC7" w:rsidRPr="000E5487">
        <w:rPr>
          <w:rFonts w:ascii="Times New Roman" w:hAnsi="Times New Roman"/>
          <w:noProof/>
          <w:szCs w:val="24"/>
        </w:rPr>
        <w:t>s</w:t>
      </w:r>
      <w:r w:rsidR="00C55011" w:rsidRPr="000E5487">
        <w:rPr>
          <w:rFonts w:ascii="Times New Roman" w:hAnsi="Times New Roman"/>
          <w:noProof/>
          <w:szCs w:val="24"/>
        </w:rPr>
        <w:t xml:space="preserve"> de caixa</w:t>
      </w:r>
      <w:r w:rsidR="00043DC7" w:rsidRPr="000E5487">
        <w:rPr>
          <w:rFonts w:ascii="Times New Roman" w:hAnsi="Times New Roman"/>
          <w:noProof/>
          <w:szCs w:val="24"/>
        </w:rPr>
        <w:t>, d</w:t>
      </w:r>
      <w:r w:rsidR="00B907FC" w:rsidRPr="000E5487">
        <w:rPr>
          <w:rFonts w:ascii="Times New Roman" w:hAnsi="Times New Roman"/>
          <w:noProof/>
          <w:szCs w:val="24"/>
        </w:rPr>
        <w:t>o coeficiente beta</w:t>
      </w:r>
      <w:r w:rsidR="00043DC7" w:rsidRPr="000E5487">
        <w:rPr>
          <w:rFonts w:ascii="Times New Roman" w:hAnsi="Times New Roman"/>
          <w:noProof/>
          <w:szCs w:val="24"/>
        </w:rPr>
        <w:t xml:space="preserve"> e d</w:t>
      </w:r>
      <w:r w:rsidR="00B907FC" w:rsidRPr="000E5487">
        <w:rPr>
          <w:rFonts w:ascii="Times New Roman" w:hAnsi="Times New Roman"/>
          <w:noProof/>
          <w:szCs w:val="24"/>
        </w:rPr>
        <w:t xml:space="preserve">a </w:t>
      </w:r>
      <w:r w:rsidR="00043DC7" w:rsidRPr="000E5487">
        <w:rPr>
          <w:rFonts w:ascii="Times New Roman" w:hAnsi="Times New Roman"/>
          <w:noProof/>
          <w:szCs w:val="24"/>
        </w:rPr>
        <w:t>consideração ou não do risco</w:t>
      </w:r>
      <w:r w:rsidR="00667FB1" w:rsidRPr="000E5487">
        <w:rPr>
          <w:rFonts w:ascii="Times New Roman" w:hAnsi="Times New Roman"/>
          <w:noProof/>
          <w:szCs w:val="24"/>
        </w:rPr>
        <w:t xml:space="preserve"> </w:t>
      </w:r>
      <w:r w:rsidR="00043DC7" w:rsidRPr="000E5487">
        <w:rPr>
          <w:rFonts w:ascii="Times New Roman" w:hAnsi="Times New Roman"/>
          <w:noProof/>
          <w:szCs w:val="24"/>
        </w:rPr>
        <w:t>país na definição do custo do capital próprio das empresas</w:t>
      </w:r>
      <w:r w:rsidR="00923B6F" w:rsidRPr="000E5487">
        <w:rPr>
          <w:rFonts w:ascii="Times New Roman" w:hAnsi="Times New Roman"/>
          <w:noProof/>
          <w:szCs w:val="24"/>
        </w:rPr>
        <w:t xml:space="preserve"> </w:t>
      </w:r>
      <w:r w:rsidR="00667FB1" w:rsidRPr="000E5487">
        <w:rPr>
          <w:rFonts w:ascii="Times New Roman" w:hAnsi="Times New Roman"/>
          <w:noProof/>
          <w:szCs w:val="24"/>
        </w:rPr>
        <w:t>componentes da amostra.</w:t>
      </w:r>
      <w:r w:rsidR="0010368E">
        <w:rPr>
          <w:rFonts w:ascii="Times New Roman" w:hAnsi="Times New Roman"/>
          <w:noProof/>
          <w:szCs w:val="24"/>
        </w:rPr>
        <w:t xml:space="preserve"> </w:t>
      </w:r>
      <w:r w:rsidR="0010368E" w:rsidRPr="0010368E">
        <w:rPr>
          <w:rFonts w:ascii="Times New Roman" w:hAnsi="Times New Roman"/>
          <w:noProof/>
          <w:szCs w:val="24"/>
        </w:rPr>
        <w:t>Essa associação co</w:t>
      </w:r>
      <w:r w:rsidR="0010368E">
        <w:rPr>
          <w:rFonts w:ascii="Times New Roman" w:hAnsi="Times New Roman"/>
          <w:noProof/>
          <w:szCs w:val="24"/>
        </w:rPr>
        <w:t>ntribui para o debate,</w:t>
      </w:r>
      <w:r w:rsidR="0010368E" w:rsidRPr="0010368E">
        <w:rPr>
          <w:rFonts w:ascii="Times New Roman" w:hAnsi="Times New Roman"/>
          <w:noProof/>
          <w:szCs w:val="24"/>
        </w:rPr>
        <w:t xml:space="preserve"> no sentido de que, não só o </w:t>
      </w:r>
      <w:r w:rsidR="0010368E" w:rsidRPr="0010368E">
        <w:rPr>
          <w:rFonts w:ascii="Times New Roman" w:hAnsi="Times New Roman"/>
          <w:i/>
          <w:noProof/>
          <w:szCs w:val="24"/>
        </w:rPr>
        <w:t>background</w:t>
      </w:r>
      <w:r w:rsidR="0010368E" w:rsidRPr="0010368E">
        <w:rPr>
          <w:rFonts w:ascii="Times New Roman" w:hAnsi="Times New Roman"/>
          <w:noProof/>
          <w:szCs w:val="24"/>
        </w:rPr>
        <w:t xml:space="preserve"> cultural individual dos profissionais, mas a experiência e o </w:t>
      </w:r>
      <w:r w:rsidR="0010368E" w:rsidRPr="0010368E">
        <w:rPr>
          <w:rFonts w:ascii="Times New Roman" w:hAnsi="Times New Roman"/>
          <w:i/>
          <w:noProof/>
          <w:szCs w:val="24"/>
        </w:rPr>
        <w:t>know-how</w:t>
      </w:r>
      <w:r w:rsidR="0010368E" w:rsidRPr="0010368E">
        <w:rPr>
          <w:rFonts w:ascii="Times New Roman" w:hAnsi="Times New Roman"/>
          <w:noProof/>
          <w:szCs w:val="24"/>
        </w:rPr>
        <w:t xml:space="preserve"> aliados a governança corporativa, podem explicar as escolhas contábeis.</w:t>
      </w:r>
      <w:r w:rsidR="0045504F">
        <w:rPr>
          <w:rFonts w:ascii="Times New Roman" w:hAnsi="Times New Roman"/>
          <w:noProof/>
          <w:szCs w:val="24"/>
        </w:rPr>
        <w:t xml:space="preserve"> </w:t>
      </w:r>
    </w:p>
    <w:p w:rsidR="00E57284" w:rsidRPr="000E5487" w:rsidRDefault="00E57284" w:rsidP="00B747D7">
      <w:pPr>
        <w:spacing w:after="0" w:line="240" w:lineRule="auto"/>
        <w:ind w:firstLine="709"/>
        <w:jc w:val="both"/>
        <w:rPr>
          <w:rFonts w:ascii="Times New Roman" w:hAnsi="Times New Roman"/>
          <w:noProof/>
          <w:szCs w:val="24"/>
        </w:rPr>
      </w:pPr>
    </w:p>
    <w:p w:rsidR="00D65949" w:rsidRPr="000E5487" w:rsidRDefault="00D65949" w:rsidP="00B747D7">
      <w:pPr>
        <w:spacing w:after="0" w:line="240" w:lineRule="auto"/>
        <w:jc w:val="both"/>
        <w:rPr>
          <w:rFonts w:ascii="Times New Roman" w:hAnsi="Times New Roman"/>
          <w:b/>
          <w:noProof/>
          <w:szCs w:val="24"/>
        </w:rPr>
      </w:pPr>
      <w:r w:rsidRPr="000E5487">
        <w:rPr>
          <w:rFonts w:ascii="Times New Roman" w:hAnsi="Times New Roman"/>
          <w:b/>
          <w:noProof/>
          <w:szCs w:val="24"/>
        </w:rPr>
        <w:lastRenderedPageBreak/>
        <w:t xml:space="preserve">Palavras-chave: </w:t>
      </w:r>
      <w:r w:rsidR="005C3AA4" w:rsidRPr="000E5487">
        <w:rPr>
          <w:rFonts w:ascii="Times New Roman" w:hAnsi="Times New Roman"/>
          <w:noProof/>
          <w:szCs w:val="24"/>
        </w:rPr>
        <w:t>Valor justo; CPC 29; IAS 41; Escolhas Contábeis.</w:t>
      </w:r>
    </w:p>
    <w:p w:rsidR="009F732A" w:rsidRPr="000E5487" w:rsidRDefault="009F732A" w:rsidP="00B747D7">
      <w:pPr>
        <w:spacing w:after="0" w:line="240" w:lineRule="auto"/>
        <w:jc w:val="both"/>
        <w:rPr>
          <w:rFonts w:ascii="Times New Roman" w:hAnsi="Times New Roman"/>
          <w:b/>
          <w:noProof/>
          <w:szCs w:val="24"/>
        </w:rPr>
      </w:pPr>
    </w:p>
    <w:p w:rsidR="009F732A" w:rsidRPr="000E5487" w:rsidRDefault="009F732A" w:rsidP="00B747D7">
      <w:pPr>
        <w:spacing w:after="120" w:line="240" w:lineRule="auto"/>
        <w:rPr>
          <w:rFonts w:ascii="Times New Roman" w:eastAsia="Calibri" w:hAnsi="Times New Roman"/>
          <w:b/>
          <w:color w:val="000000"/>
          <w:szCs w:val="24"/>
          <w:lang w:val="en-US" w:eastAsia="en-US"/>
        </w:rPr>
      </w:pPr>
      <w:r w:rsidRPr="000E5487">
        <w:rPr>
          <w:rFonts w:ascii="Times New Roman" w:eastAsia="Calibri" w:hAnsi="Times New Roman"/>
          <w:b/>
          <w:color w:val="000000"/>
          <w:szCs w:val="24"/>
          <w:lang w:val="en-US" w:eastAsia="en-US"/>
        </w:rPr>
        <w:t>A</w:t>
      </w:r>
      <w:r w:rsidR="00CE0D81" w:rsidRPr="000E5487">
        <w:rPr>
          <w:rFonts w:ascii="Times New Roman" w:eastAsia="Calibri" w:hAnsi="Times New Roman"/>
          <w:b/>
          <w:color w:val="000000"/>
          <w:szCs w:val="24"/>
          <w:lang w:val="en-US" w:eastAsia="en-US"/>
        </w:rPr>
        <w:t>bstract</w:t>
      </w:r>
    </w:p>
    <w:p w:rsidR="00F5418F" w:rsidRPr="000E5487" w:rsidRDefault="00B023E4" w:rsidP="00B747D7">
      <w:pPr>
        <w:spacing w:after="0" w:line="240" w:lineRule="auto"/>
        <w:jc w:val="both"/>
        <w:rPr>
          <w:rFonts w:ascii="Times New Roman" w:eastAsia="Calibri" w:hAnsi="Times New Roman"/>
          <w:color w:val="000000"/>
          <w:szCs w:val="24"/>
          <w:lang w:val="en-US" w:eastAsia="en-US"/>
        </w:rPr>
      </w:pPr>
      <w:r w:rsidRPr="00B023E4">
        <w:rPr>
          <w:rFonts w:ascii="Times New Roman" w:eastAsia="Calibri" w:hAnsi="Times New Roman"/>
          <w:color w:val="000000"/>
          <w:szCs w:val="24"/>
          <w:lang w:val="en-US" w:eastAsia="en-US"/>
        </w:rPr>
        <w:t>With the entry into force of IAS 41 in Brazil, the discretionary choice of accounting for the measurement of biological assets presents itself as a challenge for accounting professionals and for entities that operate in the agribusiness sector, which is an enriched field of research for Accounting. In this sense, this study aims to identify the accounting choices in the context of the measurement of biological assets and to verify if such choices are associated to the profile of the professionals that measure them. The collection of the accounting choices was made through the application of a questionnaire sent to a sample of companies in the Brazilian sugar and ethanol industry. The association was tested using the Fisher's exact test with a significance level set at 5%. We obtained 32 valid answers that allow us to infer a significant association between the professional's experience in the measurement of biological assets and the accounting choices related to the valuation of these assets, specifically regarding the definition of the method of measurement, discount rate, horizon cash flow projections, beta coefficients and whether or not country risk is taken into account in defining the cost of equity of the sampled companies. This association contributes to the debate, in the sense that not only the individual's professional background, but the experience and know-how allied to corporate governance, can explain accounting choices.</w:t>
      </w:r>
    </w:p>
    <w:p w:rsidR="00D82046" w:rsidRPr="000E5487" w:rsidRDefault="00D82046" w:rsidP="00B747D7">
      <w:pPr>
        <w:spacing w:after="0" w:line="240" w:lineRule="auto"/>
        <w:ind w:firstLine="709"/>
        <w:jc w:val="both"/>
        <w:rPr>
          <w:rFonts w:ascii="Times New Roman" w:eastAsia="Calibri" w:hAnsi="Times New Roman"/>
          <w:color w:val="000000"/>
          <w:szCs w:val="24"/>
          <w:lang w:val="en-US" w:eastAsia="en-US"/>
        </w:rPr>
      </w:pPr>
    </w:p>
    <w:p w:rsidR="00D82046" w:rsidRPr="000E5487" w:rsidRDefault="00D82046" w:rsidP="00B747D7">
      <w:pPr>
        <w:spacing w:after="0" w:line="240" w:lineRule="auto"/>
        <w:jc w:val="both"/>
        <w:rPr>
          <w:rFonts w:ascii="Times New Roman" w:eastAsia="Calibri" w:hAnsi="Times New Roman"/>
          <w:color w:val="000000"/>
          <w:szCs w:val="24"/>
          <w:lang w:val="en-US" w:eastAsia="en-US"/>
        </w:rPr>
      </w:pPr>
      <w:r w:rsidRPr="000E5487">
        <w:rPr>
          <w:rFonts w:ascii="Times New Roman" w:eastAsia="Calibri" w:hAnsi="Times New Roman"/>
          <w:b/>
          <w:color w:val="000000"/>
          <w:szCs w:val="24"/>
          <w:lang w:val="en-US" w:eastAsia="en-US"/>
        </w:rPr>
        <w:t>Keywords:</w:t>
      </w:r>
      <w:r w:rsidRPr="000E5487">
        <w:rPr>
          <w:rFonts w:ascii="Times New Roman" w:eastAsia="Calibri" w:hAnsi="Times New Roman"/>
          <w:color w:val="000000"/>
          <w:szCs w:val="24"/>
          <w:lang w:val="en-US" w:eastAsia="en-US"/>
        </w:rPr>
        <w:t xml:space="preserve"> Fair value; CPC 29; IAS 41; </w:t>
      </w:r>
      <w:bookmarkStart w:id="0" w:name="_GoBack"/>
      <w:bookmarkEnd w:id="0"/>
      <w:r w:rsidRPr="000E5487">
        <w:rPr>
          <w:rFonts w:ascii="Times New Roman" w:eastAsia="Calibri" w:hAnsi="Times New Roman"/>
          <w:color w:val="000000"/>
          <w:szCs w:val="24"/>
          <w:lang w:val="en-US" w:eastAsia="en-US"/>
        </w:rPr>
        <w:t>Accounting Choices.</w:t>
      </w:r>
    </w:p>
    <w:p w:rsidR="00CE0D81" w:rsidRPr="00162BFD" w:rsidRDefault="00CE0D81" w:rsidP="00B747D7">
      <w:pPr>
        <w:spacing w:after="0" w:line="240" w:lineRule="auto"/>
        <w:jc w:val="both"/>
        <w:rPr>
          <w:rFonts w:ascii="Times New Roman" w:eastAsia="Calibri" w:hAnsi="Times New Roman"/>
          <w:b/>
          <w:color w:val="000000"/>
          <w:szCs w:val="24"/>
          <w:lang w:val="en-US" w:eastAsia="en-US"/>
        </w:rPr>
      </w:pPr>
    </w:p>
    <w:p w:rsidR="00792148" w:rsidRPr="000E5487" w:rsidRDefault="00300484" w:rsidP="00B747D7">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 xml:space="preserve">1 </w:t>
      </w:r>
      <w:r w:rsidR="0094437F" w:rsidRPr="000E5487">
        <w:rPr>
          <w:rFonts w:ascii="Times New Roman" w:eastAsia="Calibri" w:hAnsi="Times New Roman"/>
          <w:b/>
          <w:color w:val="000000"/>
          <w:szCs w:val="24"/>
          <w:lang w:eastAsia="en-US"/>
        </w:rPr>
        <w:t>I</w:t>
      </w:r>
      <w:r w:rsidR="00CE0D81" w:rsidRPr="000E5487">
        <w:rPr>
          <w:rFonts w:ascii="Times New Roman" w:eastAsia="Calibri" w:hAnsi="Times New Roman"/>
          <w:b/>
          <w:color w:val="000000"/>
          <w:szCs w:val="24"/>
          <w:lang w:eastAsia="en-US"/>
        </w:rPr>
        <w:t>ntrodução</w:t>
      </w:r>
    </w:p>
    <w:p w:rsidR="000B2F55" w:rsidRPr="000E5487" w:rsidRDefault="002E5400"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No contexto da adoção das</w:t>
      </w:r>
      <w:r w:rsidR="00E57284" w:rsidRPr="000E5487">
        <w:rPr>
          <w:rFonts w:ascii="Times New Roman" w:eastAsia="Calibri" w:hAnsi="Times New Roman"/>
          <w:color w:val="000000"/>
          <w:szCs w:val="24"/>
          <w:lang w:eastAsia="en-US"/>
        </w:rPr>
        <w:t xml:space="preserve"> </w:t>
      </w:r>
      <w:r w:rsidR="00E57284" w:rsidRPr="000E5487">
        <w:rPr>
          <w:rFonts w:ascii="Times New Roman" w:eastAsia="Calibri" w:hAnsi="Times New Roman"/>
          <w:i/>
          <w:color w:val="000000"/>
          <w:szCs w:val="24"/>
          <w:lang w:eastAsia="en-US"/>
        </w:rPr>
        <w:t>International Financial Reporting Standards</w:t>
      </w:r>
      <w:r w:rsidRPr="000E5487">
        <w:rPr>
          <w:rFonts w:ascii="Times New Roman" w:eastAsia="Calibri" w:hAnsi="Times New Roman"/>
          <w:color w:val="000000"/>
          <w:szCs w:val="24"/>
          <w:lang w:eastAsia="en-US"/>
        </w:rPr>
        <w:t xml:space="preserve"> </w:t>
      </w:r>
      <w:r w:rsidR="00782CC3"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IFRS</w:t>
      </w:r>
      <w:r w:rsidR="00782CC3"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no Brasil, a mensuração a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de ativos biológicos passou a ser exigida a partir de 2010, com a entrada em vigor da IAS </w:t>
      </w:r>
      <w:r w:rsidR="00CC084B" w:rsidRPr="000E5487">
        <w:rPr>
          <w:rFonts w:ascii="Times New Roman" w:eastAsia="Calibri" w:hAnsi="Times New Roman"/>
          <w:color w:val="000000"/>
          <w:szCs w:val="24"/>
          <w:lang w:eastAsia="en-US"/>
        </w:rPr>
        <w:t xml:space="preserve">nº </w:t>
      </w:r>
      <w:r w:rsidRPr="000E5487">
        <w:rPr>
          <w:rFonts w:ascii="Times New Roman" w:eastAsia="Calibri" w:hAnsi="Times New Roman"/>
          <w:color w:val="000000"/>
          <w:szCs w:val="24"/>
          <w:lang w:eastAsia="en-US"/>
        </w:rPr>
        <w:t>41</w:t>
      </w:r>
      <w:r w:rsidR="00CC084B" w:rsidRPr="000E5487">
        <w:rPr>
          <w:rFonts w:ascii="Times New Roman" w:eastAsia="Calibri" w:hAnsi="Times New Roman"/>
          <w:color w:val="000000"/>
          <w:szCs w:val="24"/>
          <w:lang w:eastAsia="en-US"/>
        </w:rPr>
        <w:t xml:space="preserve"> –</w:t>
      </w:r>
      <w:r w:rsidR="00CC084B" w:rsidRPr="000E5487">
        <w:rPr>
          <w:rFonts w:ascii="Times New Roman" w:eastAsia="Calibri" w:hAnsi="Times New Roman"/>
          <w:i/>
          <w:color w:val="000000"/>
          <w:szCs w:val="24"/>
          <w:lang w:eastAsia="en-US"/>
        </w:rPr>
        <w:t xml:space="preserve"> Agriculture</w:t>
      </w:r>
      <w:r w:rsidR="00CC084B" w:rsidRPr="000E5487">
        <w:rPr>
          <w:rFonts w:ascii="Times New Roman" w:eastAsia="Calibri" w:hAnsi="Times New Roman"/>
          <w:color w:val="000000"/>
          <w:szCs w:val="24"/>
          <w:lang w:eastAsia="en-US"/>
        </w:rPr>
        <w:t xml:space="preserve"> </w:t>
      </w:r>
      <w:r w:rsidR="000C391D" w:rsidRPr="000E5487">
        <w:rPr>
          <w:rFonts w:ascii="Times New Roman" w:eastAsia="Calibri" w:hAnsi="Times New Roman"/>
          <w:color w:val="000000"/>
          <w:szCs w:val="24"/>
          <w:lang w:eastAsia="en-US"/>
        </w:rPr>
        <w:t>por meio</w:t>
      </w:r>
      <w:r w:rsidRPr="000E5487">
        <w:rPr>
          <w:rFonts w:ascii="Times New Roman" w:eastAsia="Calibri" w:hAnsi="Times New Roman"/>
          <w:color w:val="000000"/>
          <w:szCs w:val="24"/>
          <w:lang w:eastAsia="en-US"/>
        </w:rPr>
        <w:t xml:space="preserve"> do CPC 29. </w:t>
      </w:r>
      <w:r w:rsidR="009076BB" w:rsidRPr="000E5487">
        <w:rPr>
          <w:rFonts w:ascii="Times New Roman" w:eastAsia="Calibri" w:hAnsi="Times New Roman"/>
          <w:color w:val="000000"/>
          <w:szCs w:val="24"/>
          <w:lang w:eastAsia="en-US"/>
        </w:rPr>
        <w:t>A avaliaç</w:t>
      </w:r>
      <w:r w:rsidR="00AF6FEB" w:rsidRPr="000E5487">
        <w:rPr>
          <w:rFonts w:ascii="Times New Roman" w:eastAsia="Calibri" w:hAnsi="Times New Roman"/>
          <w:color w:val="000000"/>
          <w:szCs w:val="24"/>
          <w:lang w:eastAsia="en-US"/>
        </w:rPr>
        <w:t>ão de animais ou plantas vivos a</w:t>
      </w:r>
      <w:r w:rsidR="009076BB" w:rsidRPr="000E5487">
        <w:rPr>
          <w:rFonts w:ascii="Times New Roman" w:eastAsia="Calibri" w:hAnsi="Times New Roman"/>
          <w:color w:val="000000"/>
          <w:szCs w:val="24"/>
          <w:lang w:eastAsia="en-US"/>
        </w:rPr>
        <w:t xml:space="preserve"> </w:t>
      </w:r>
      <w:r w:rsidR="009076BB" w:rsidRPr="000E5487">
        <w:rPr>
          <w:rFonts w:ascii="Times New Roman" w:eastAsia="Calibri" w:hAnsi="Times New Roman"/>
          <w:i/>
          <w:color w:val="000000"/>
          <w:szCs w:val="24"/>
          <w:lang w:eastAsia="en-US"/>
        </w:rPr>
        <w:t>fair value</w:t>
      </w:r>
      <w:r w:rsidR="009076BB" w:rsidRPr="000E5487">
        <w:rPr>
          <w:rFonts w:ascii="Times New Roman" w:eastAsia="Calibri" w:hAnsi="Times New Roman"/>
          <w:color w:val="000000"/>
          <w:szCs w:val="24"/>
          <w:lang w:eastAsia="en-US"/>
        </w:rPr>
        <w:t xml:space="preserve"> </w:t>
      </w:r>
      <w:r w:rsidR="00EF1BE6" w:rsidRPr="000E5487">
        <w:rPr>
          <w:rFonts w:ascii="Times New Roman" w:eastAsia="Calibri" w:hAnsi="Times New Roman"/>
          <w:color w:val="000000"/>
          <w:szCs w:val="24"/>
          <w:lang w:eastAsia="en-US"/>
        </w:rPr>
        <w:t xml:space="preserve">é relevante e </w:t>
      </w:r>
      <w:r w:rsidR="00A03F48" w:rsidRPr="000E5487">
        <w:rPr>
          <w:rFonts w:ascii="Times New Roman" w:eastAsia="Calibri" w:hAnsi="Times New Roman"/>
          <w:color w:val="000000"/>
          <w:szCs w:val="24"/>
          <w:lang w:eastAsia="en-US"/>
        </w:rPr>
        <w:t>melhor reflete a realidade econômico-financeira das entidades que atuam no agronegócio</w:t>
      </w:r>
      <w:r w:rsidR="00782CC3" w:rsidRPr="000E5487">
        <w:rPr>
          <w:rFonts w:ascii="Times New Roman" w:eastAsia="Calibri" w:hAnsi="Times New Roman"/>
          <w:color w:val="000000"/>
          <w:szCs w:val="24"/>
          <w:lang w:eastAsia="en-US"/>
        </w:rPr>
        <w:t>,</w:t>
      </w:r>
      <w:r w:rsidR="009076BB" w:rsidRPr="000E5487">
        <w:rPr>
          <w:rFonts w:ascii="Times New Roman" w:eastAsia="Calibri" w:hAnsi="Times New Roman"/>
          <w:i/>
          <w:color w:val="000000"/>
          <w:szCs w:val="24"/>
          <w:lang w:eastAsia="en-US"/>
        </w:rPr>
        <w:t xml:space="preserve"> </w:t>
      </w:r>
      <w:r w:rsidR="00A03F48" w:rsidRPr="000E5487">
        <w:rPr>
          <w:rFonts w:ascii="Times New Roman" w:eastAsia="Calibri" w:hAnsi="Times New Roman"/>
          <w:color w:val="000000"/>
          <w:szCs w:val="24"/>
          <w:lang w:eastAsia="en-US"/>
        </w:rPr>
        <w:t>por aproximar o valor de seus ativos a</w:t>
      </w:r>
      <w:r w:rsidR="00EF1BE6" w:rsidRPr="000E5487">
        <w:rPr>
          <w:rFonts w:ascii="Times New Roman" w:eastAsia="Calibri" w:hAnsi="Times New Roman"/>
          <w:color w:val="000000"/>
          <w:szCs w:val="24"/>
          <w:lang w:eastAsia="en-US"/>
        </w:rPr>
        <w:t>o</w:t>
      </w:r>
      <w:r w:rsidR="00A03F48" w:rsidRPr="000E5487">
        <w:rPr>
          <w:rFonts w:ascii="Times New Roman" w:eastAsia="Calibri" w:hAnsi="Times New Roman"/>
          <w:color w:val="000000"/>
          <w:szCs w:val="24"/>
          <w:lang w:eastAsia="en-US"/>
        </w:rPr>
        <w:t xml:space="preserve"> valor de mercado </w:t>
      </w:r>
      <w:r w:rsidR="00A03F48"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{"citationItems":[{"id":"ITEM-1","itemData":{"DOI":"10.1080/02102412.2017.1389549","ISSN":"0210-2412","abstract":"This study develops an empirical analysis of the relevance of accounting information when biological assets are measured at fair value. We use an international sample of firms with biological assets. We find that biological assets influence unpredictability when they are measured at historical cost (HC). In this case, the ability of accounting data to predict future cash flows diminishes as the proportion of biological assets on total assets increases. The valuation at fair value (FV) switches this negative influence of biological assets to a positive one. We find that when they are measured at FV, the prediction accuracy of future cash flows improves as the ratio of biological assets to total assets increases. This evidence is robust to different measures of prediction accuracy, as well as to the improvement of accounting standards, regardless of FV, over time. The evidence is weaker for bearer plants. © 2017 Asociación Española de Contabilidad y Administración de Empresas (AECA)","author":[{"dropping-particle":"","family":"Argilés-Bosch","given":"Josep Maria","non-dropping-particle":"","parse-names":false,"suffix":""},{"dropping-particle":"","family":"Miarons","given":"Meritxell","non-dropping-particle":"","parse-names":false,"suffix":""},{"dropping-particle":"","family":"Garcia-Blandon","given":"Josep","non-dropping-particle":"","parse-names":false,"suffix":""},{"dropping-particle":"","family":"Benavente","given":"Carmen","non-dropping-particle":"","parse-names":false,"suffix":""},{"dropping-particle":"","family":"Ravenda","given":"Diego","non-dropping-particle":"","parse-names":false,"suffix":""}],"container-title":"Spanish Journal of Finance and Accounting","id":"ITEM-1","issued":{"date-parts":[["2017","11","2"]]},"page":"1-24","publisher":"Routledge","title":"Usefulness of fair valuation of biological assets for cash flow prediction","type":"article-journal"},"uris":["http://www.mendeley.com/documents/?uuid=f67ffb28-8d57-44e5-bbc9-ede8c1515ba4"]},{"id":"ITEM-2","itemData":{"DOI":"10.4270/ruc.2013433","ISSN":"18093337","abstract":"Em 2009, o Comitê de Pronunciamentos Contábeis (CPC) aprovou o Pronunciamento Técnico CPC 29 – Ativos Biológicos e Produtos Agrícolas. O CPC 29 expõem o tratamento contábil dos ativos biológicos e produtos agrícolas, trazendo como principal novidade a utilização do fair value na mensuração contábil de tais ativos, em detrimento do custo histórico. Nesse contexto insere-se este artigo, que tem por objetivo avaliar a relevância da adoção do fair value para mensuração dos ativos biológicos, bem como analisar seus reflexos sobre o patrimônio líquido (PL). Para tanto, analisa-se a questão do value relevance dos ativos biológicos mensurados ao custo histórico e ao fair value, bem como o impacto da mudança de base de mensuração sobre o PL, para os exercícios de 2008 e 2009, das empresas listadas na BM&amp;FBovespa, que exploram tais ativos. As evidências empíricas encontradas apontam que a adoção do valor justo causou mudanças significativas no saldo dos ativos biológicos, que por sua vez impactou, significativamente, o PL das companhias. As evidências sugerem ainda que os ativos biológicos, quando avaliados pelo custo histórico, eram apresentados com valores subestimados pela contabilidade. Portanto, a avaliação pelo valor justo foi benéfica, uma vez que se apresentou mais próxima da estimação do mercado. Uma justificativa plausível para esse achado é o fato de que com o passar do tempo, o custo histórico é suscetível de não refletir a capacidade de benefício econômico do bem, uma vez que se limita aos valores de face na data da aquisição ou produção.","author":[{"dropping-particle":"","family":"Silva Filho","given":"Augusto Cezar da Cunha","non-dropping-particle":"","parse-names":false,"suffix":""},{"dropping-particle":"","family":"Martins","given":"Vinícius Gomes","non-dropping-particle":"","parse-names":false,"suffix":""},{"dropping-particle":"","family":"Machado","given":"Márcio André Veras","non-dropping-particle":"","parse-names":false,"suffix":""}],"container-title":"Revista Universo Contábil","id":"ITEM-2","issue":"4","issued":{"date-parts":[["2013","12","30"]]},"page":"110-127","title":"Adoção do valor justo para os ativos biológicos: análise de sua relevância em empresas brasileiras","type":"article-journal","volume":"9"},"uris":["http://www.mendeley.com/documents/?uuid=8e29a6bb-2879-3c12-99c0-304756e6bc46"]},{"id":"ITEM-3","itemData":{"DOI":"10.1016/j.intaccaudtax.2017.10.001","ISSN":"10619518","author":[{"dropping-particle":"","family":"Gonçalves","given":"Rute","non-dropping-particle":"","parse-names":false,"suffix":""},{"dropping-particle":"","family":"Lopes","given":"Patrícia","non-dropping-particle":"","parse-names":false,"suffix":""},{"dropping-particle":"","family":"Craig","given":"Russell","non-dropping-particle":"","parse-names":false,"suffix":""}],"container-title":"Journal of International Accounting, Auditing and Taxation","id":"ITEM-3","issue":"October","issued":{"date-parts":[["2017"]]},"page":"118-126","title":"Value relevance of biological assets under IFRS","type":"article-journal","volume":"29"},"uris":["http://www.mendeley.com/documents/?uuid=98c05584-9f49-42cb-876c-cab38579ca99"]}],"mendeley":{"formattedCitation":"(ARGILÉS-BOSCH et al., 2017; GONÇALVES; LOPES; CRAIG, 2017; SILVA FILHO; MARTINS; MACHADO, 2013)","plainTextFormattedCitation":"(ARGILÉS-BOSCH et al., 2017; GONÇALVES; LOPES; CRAIG, 2017; SILVA FILHO; MARTINS; MACHADO, 2013)","previouslyFormattedCitation":"(ARGILÉS-BOSCH et al., 2017; GONÇALVES; LOPES; CRAIG, 2017; SILVA FILHO; MARTINS; MACHADO, 2013)"},"properties":{"noteIndex":0},"schema":"https://github.com/citation-style-language/schema/raw/master/csl-citation.json"}</w:instrText>
      </w:r>
      <w:r w:rsidR="00A03F48"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(ARGILÉS-BOSCH et al., 2017; GONÇALVES; LOPES; CRAIG, 2017; SILVA FILHO; MARTINS; MACHADO, 2013)</w:t>
      </w:r>
      <w:r w:rsidR="00A03F48" w:rsidRPr="000E5487">
        <w:rPr>
          <w:rFonts w:ascii="Times New Roman" w:eastAsia="Calibri" w:hAnsi="Times New Roman"/>
          <w:color w:val="000000"/>
          <w:szCs w:val="24"/>
          <w:lang w:eastAsia="en-US"/>
        </w:rPr>
        <w:fldChar w:fldCharType="end"/>
      </w:r>
      <w:r w:rsidR="000B2F55"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 xml:space="preserve">Contudo, dada à falta de um mercado ativo que subsidie a utilização de dados observáveis, conforme estabelecido pela hierarquia do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as entidade</w:t>
      </w:r>
      <w:r w:rsidR="009372B6" w:rsidRPr="000E5487">
        <w:rPr>
          <w:rFonts w:ascii="Times New Roman" w:eastAsia="Calibri" w:hAnsi="Times New Roman"/>
          <w:color w:val="000000"/>
          <w:szCs w:val="24"/>
          <w:lang w:eastAsia="en-US"/>
        </w:rPr>
        <w:t>s</w:t>
      </w:r>
      <w:r w:rsidRPr="000E5487">
        <w:rPr>
          <w:rFonts w:ascii="Times New Roman" w:eastAsia="Calibri" w:hAnsi="Times New Roman"/>
          <w:color w:val="000000"/>
          <w:szCs w:val="24"/>
          <w:lang w:eastAsia="en-US"/>
        </w:rPr>
        <w:t xml:space="preserve"> utilizam premissas e informações internas para mensurar seus ativos biológicos.</w:t>
      </w:r>
    </w:p>
    <w:p w:rsidR="002E5400" w:rsidRPr="000E5487" w:rsidRDefault="002E5400"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 utilização de dados não observáveis (nível 3 da hierarquia do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possibilita aos preparadores das demonstrações financeiras fazer escolhas contábeis que permitam </w:t>
      </w:r>
      <w:r w:rsidR="001E2B29" w:rsidRPr="000E5487">
        <w:rPr>
          <w:rFonts w:ascii="Times New Roman" w:eastAsia="Calibri" w:hAnsi="Times New Roman"/>
          <w:color w:val="000000"/>
          <w:szCs w:val="24"/>
          <w:lang w:eastAsia="en-US"/>
        </w:rPr>
        <w:t xml:space="preserve">a </w:t>
      </w:r>
      <w:r w:rsidRPr="000E5487">
        <w:rPr>
          <w:rFonts w:ascii="Times New Roman" w:eastAsia="Calibri" w:hAnsi="Times New Roman"/>
          <w:color w:val="000000"/>
          <w:szCs w:val="24"/>
          <w:lang w:eastAsia="en-US"/>
        </w:rPr>
        <w:t>a</w:t>
      </w:r>
      <w:r w:rsidR="00240833" w:rsidRPr="000E5487">
        <w:rPr>
          <w:rFonts w:ascii="Times New Roman" w:eastAsia="Calibri" w:hAnsi="Times New Roman"/>
          <w:color w:val="000000"/>
          <w:szCs w:val="24"/>
          <w:lang w:eastAsia="en-US"/>
        </w:rPr>
        <w:t>dequada</w:t>
      </w:r>
      <w:r w:rsidRPr="000E5487">
        <w:rPr>
          <w:rFonts w:ascii="Times New Roman" w:eastAsia="Calibri" w:hAnsi="Times New Roman"/>
          <w:color w:val="000000"/>
          <w:szCs w:val="24"/>
          <w:lang w:eastAsia="en-US"/>
        </w:rPr>
        <w:t xml:space="preserve"> evidenciação do valor dos ativos biológicos. Entretanto a norma estabelece que essa discricionariedade </w:t>
      </w:r>
      <w:r w:rsidR="00782CC3" w:rsidRPr="000E5487">
        <w:rPr>
          <w:rFonts w:ascii="Times New Roman" w:eastAsia="Calibri" w:hAnsi="Times New Roman"/>
          <w:color w:val="000000"/>
          <w:szCs w:val="24"/>
          <w:lang w:eastAsia="en-US"/>
        </w:rPr>
        <w:t xml:space="preserve">está </w:t>
      </w:r>
      <w:r w:rsidRPr="000E5487">
        <w:rPr>
          <w:rFonts w:ascii="Times New Roman" w:eastAsia="Calibri" w:hAnsi="Times New Roman"/>
          <w:color w:val="000000"/>
          <w:szCs w:val="24"/>
          <w:lang w:eastAsia="en-US"/>
        </w:rPr>
        <w:t>condicionada a divulgação das premissas e metodologias adotada</w:t>
      </w:r>
      <w:r w:rsidR="000C391D" w:rsidRPr="000E5487">
        <w:rPr>
          <w:rFonts w:ascii="Times New Roman" w:eastAsia="Calibri" w:hAnsi="Times New Roman"/>
          <w:color w:val="000000"/>
          <w:szCs w:val="24"/>
          <w:lang w:eastAsia="en-US"/>
        </w:rPr>
        <w:t>s</w:t>
      </w:r>
      <w:r w:rsidRPr="000E5487">
        <w:rPr>
          <w:rFonts w:ascii="Times New Roman" w:eastAsia="Calibri" w:hAnsi="Times New Roman"/>
          <w:color w:val="000000"/>
          <w:szCs w:val="24"/>
          <w:lang w:eastAsia="en-US"/>
        </w:rPr>
        <w:t xml:space="preserve"> na mensuração.</w:t>
      </w:r>
    </w:p>
    <w:p w:rsidR="0018230C" w:rsidRPr="001154CF" w:rsidRDefault="006C226C"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Com o advento da </w:t>
      </w:r>
      <w:r w:rsidR="00CC69DE" w:rsidRPr="000E5487">
        <w:rPr>
          <w:rFonts w:ascii="Times New Roman" w:eastAsia="Calibri" w:hAnsi="Times New Roman"/>
          <w:color w:val="000000"/>
          <w:szCs w:val="24"/>
          <w:lang w:eastAsia="en-US"/>
        </w:rPr>
        <w:t>c</w:t>
      </w:r>
      <w:r w:rsidRPr="000E5487">
        <w:rPr>
          <w:rFonts w:ascii="Times New Roman" w:eastAsia="Calibri" w:hAnsi="Times New Roman"/>
          <w:color w:val="000000"/>
          <w:szCs w:val="24"/>
          <w:lang w:eastAsia="en-US"/>
        </w:rPr>
        <w:t>ontabilidade baseada em princípios (IFRS)</w:t>
      </w:r>
      <w:r w:rsidR="004F70D6" w:rsidRPr="000E5487">
        <w:rPr>
          <w:rFonts w:ascii="Times New Roman" w:eastAsia="Calibri" w:hAnsi="Times New Roman"/>
          <w:color w:val="000000"/>
          <w:szCs w:val="24"/>
          <w:lang w:eastAsia="en-US"/>
        </w:rPr>
        <w:t>,</w:t>
      </w:r>
      <w:r w:rsidR="00813DF7"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a</w:t>
      </w:r>
      <w:r w:rsidR="00E802E9" w:rsidRPr="000E5487">
        <w:rPr>
          <w:rFonts w:ascii="Times New Roman" w:eastAsia="Calibri" w:hAnsi="Times New Roman"/>
          <w:color w:val="000000"/>
          <w:szCs w:val="24"/>
          <w:lang w:eastAsia="en-US"/>
        </w:rPr>
        <w:t xml:space="preserve"> discricionariedade das escolhas contábeis é colocada para os preparadores das demonstrações </w:t>
      </w:r>
      <w:r w:rsidR="006E3F7D" w:rsidRPr="000E5487">
        <w:rPr>
          <w:rFonts w:ascii="Times New Roman" w:eastAsia="Calibri" w:hAnsi="Times New Roman"/>
          <w:color w:val="000000"/>
          <w:szCs w:val="24"/>
          <w:lang w:eastAsia="en-US"/>
        </w:rPr>
        <w:t>financeiras</w:t>
      </w:r>
      <w:r w:rsidR="00E802E9" w:rsidRPr="000E5487">
        <w:rPr>
          <w:rFonts w:ascii="Times New Roman" w:eastAsia="Calibri" w:hAnsi="Times New Roman"/>
          <w:color w:val="000000"/>
          <w:szCs w:val="24"/>
          <w:lang w:eastAsia="en-US"/>
        </w:rPr>
        <w:t xml:space="preserve"> com </w:t>
      </w:r>
      <w:r w:rsidR="00CC084B" w:rsidRPr="000E5487">
        <w:rPr>
          <w:rFonts w:ascii="Times New Roman" w:eastAsia="Calibri" w:hAnsi="Times New Roman"/>
          <w:color w:val="000000"/>
          <w:szCs w:val="24"/>
          <w:lang w:eastAsia="en-US"/>
        </w:rPr>
        <w:t xml:space="preserve">o intuito </w:t>
      </w:r>
      <w:r w:rsidR="00E802E9" w:rsidRPr="000E5487">
        <w:rPr>
          <w:rFonts w:ascii="Times New Roman" w:eastAsia="Calibri" w:hAnsi="Times New Roman"/>
          <w:color w:val="000000"/>
          <w:szCs w:val="24"/>
          <w:lang w:eastAsia="en-US"/>
        </w:rPr>
        <w:t xml:space="preserve">de </w:t>
      </w:r>
      <w:r w:rsidR="004F70D6" w:rsidRPr="000E5487">
        <w:rPr>
          <w:rFonts w:ascii="Times New Roman" w:eastAsia="Calibri" w:hAnsi="Times New Roman"/>
          <w:color w:val="000000"/>
          <w:szCs w:val="24"/>
          <w:lang w:eastAsia="en-US"/>
        </w:rPr>
        <w:t xml:space="preserve">que </w:t>
      </w:r>
      <w:r w:rsidR="00E802E9" w:rsidRPr="000E5487">
        <w:rPr>
          <w:rFonts w:ascii="Times New Roman" w:eastAsia="Calibri" w:hAnsi="Times New Roman"/>
          <w:color w:val="000000"/>
          <w:szCs w:val="24"/>
          <w:lang w:eastAsia="en-US"/>
        </w:rPr>
        <w:t>a situação econômico-financeira da</w:t>
      </w:r>
      <w:r w:rsidRPr="000E5487">
        <w:rPr>
          <w:rFonts w:ascii="Times New Roman" w:eastAsia="Calibri" w:hAnsi="Times New Roman"/>
          <w:color w:val="000000"/>
          <w:szCs w:val="24"/>
          <w:lang w:eastAsia="en-US"/>
        </w:rPr>
        <w:t>s</w:t>
      </w:r>
      <w:r w:rsidR="00E802E9" w:rsidRPr="000E5487">
        <w:rPr>
          <w:rFonts w:ascii="Times New Roman" w:eastAsia="Calibri" w:hAnsi="Times New Roman"/>
          <w:color w:val="000000"/>
          <w:szCs w:val="24"/>
          <w:lang w:eastAsia="en-US"/>
        </w:rPr>
        <w:t xml:space="preserve"> entidade</w:t>
      </w:r>
      <w:r w:rsidRPr="000E5487">
        <w:rPr>
          <w:rFonts w:ascii="Times New Roman" w:eastAsia="Calibri" w:hAnsi="Times New Roman"/>
          <w:color w:val="000000"/>
          <w:szCs w:val="24"/>
          <w:lang w:eastAsia="en-US"/>
        </w:rPr>
        <w:t>s</w:t>
      </w:r>
      <w:r w:rsidR="004F70D6" w:rsidRPr="000E5487">
        <w:rPr>
          <w:rFonts w:ascii="Times New Roman" w:eastAsia="Calibri" w:hAnsi="Times New Roman"/>
          <w:color w:val="000000"/>
          <w:szCs w:val="24"/>
          <w:lang w:eastAsia="en-US"/>
        </w:rPr>
        <w:t xml:space="preserve"> </w:t>
      </w:r>
      <w:r w:rsidR="002E5400" w:rsidRPr="000E5487">
        <w:rPr>
          <w:rFonts w:ascii="Times New Roman" w:eastAsia="Calibri" w:hAnsi="Times New Roman"/>
          <w:color w:val="000000"/>
          <w:szCs w:val="24"/>
          <w:lang w:eastAsia="en-US"/>
        </w:rPr>
        <w:t xml:space="preserve">seja </w:t>
      </w:r>
      <w:r w:rsidR="004F70D6" w:rsidRPr="000E5487">
        <w:rPr>
          <w:rFonts w:ascii="Times New Roman" w:eastAsia="Calibri" w:hAnsi="Times New Roman"/>
          <w:color w:val="000000"/>
          <w:szCs w:val="24"/>
          <w:lang w:eastAsia="en-US"/>
        </w:rPr>
        <w:t>representada fidedignamente</w:t>
      </w:r>
      <w:r w:rsidR="00E802E9" w:rsidRPr="000E5487">
        <w:rPr>
          <w:rFonts w:ascii="Times New Roman" w:eastAsia="Calibri" w:hAnsi="Times New Roman"/>
          <w:color w:val="000000"/>
          <w:szCs w:val="24"/>
          <w:lang w:eastAsia="en-US"/>
        </w:rPr>
        <w:t xml:space="preserve">. </w:t>
      </w:r>
      <w:r w:rsidR="008F6DE9" w:rsidRPr="001154CF">
        <w:rPr>
          <w:rFonts w:ascii="Times New Roman" w:eastAsia="Calibri" w:hAnsi="Times New Roman"/>
          <w:color w:val="000000"/>
          <w:szCs w:val="24"/>
          <w:lang w:eastAsia="en-US"/>
        </w:rPr>
        <w:t xml:space="preserve">Para </w:t>
      </w:r>
      <w:r w:rsidR="001154CF">
        <w:rPr>
          <w:rFonts w:ascii="Times New Roman" w:eastAsia="Calibri" w:hAnsi="Times New Roman"/>
          <w:color w:val="000000"/>
          <w:szCs w:val="24"/>
          <w:lang w:eastAsia="en-US"/>
        </w:rPr>
        <w:fldChar w:fldCharType="begin" w:fldLock="1"/>
      </w:r>
      <w:r w:rsidR="00BB4E2C">
        <w:rPr>
          <w:rFonts w:ascii="Times New Roman" w:eastAsia="Calibri" w:hAnsi="Times New Roman"/>
          <w:color w:val="000000"/>
          <w:szCs w:val="24"/>
          <w:lang w:eastAsia="en-US"/>
        </w:rPr>
        <w:instrText>ADDIN CSL_CITATION {"citationItems":[{"id":"ITEM-1","itemData":{"DOI":"10.1016/S0890-8389(05)80023-X","ISBN":"08908389","ISSN":"10958347","abstract":"This paper summarizes the theory and evidence on accounting choice for capital markets researchers. It also explains why knowledge of that theory and evidence is important to capital markets researchers. Many capital market studies such as those of the relationship between earnings and rates of return assume that accounting choice does not vary with firm variables such as growth, gearing etc. Theory and evidence indicates such variation exists. Hence, accounting choice theory provides competing hypotheses for observed relationships in the capital markets literature such as the relation between earnings response coefficients and gearing. © 1992 Academic Press Limited.","author":[{"dropping-particle":"","family":"Watts","given":"Ross L","non-dropping-particle":"","parse-names":false,"suffix":""}],"container-title":"The British Accounting Review","id":"ITEM-1","issue":"3","issued":{"date-parts":[["1992"]]},"page":"235-267","title":"Accounting choice theory and market-based research in accounting","type":"article-journal","volume":"24"},"uris":["http://www.mendeley.com/documents/?uuid=564a2212-3f2c-4dd3-b5d0-62d9b40adc0c"]}],"mendeley":{"formattedCitation":"(WATTS, 1992)","manualFormatting":"Watts (1992)","plainTextFormattedCitation":"(WATTS, 1992)","previouslyFormattedCitation":"(WATTS, 1992)"},"properties":{"noteIndex":0},"schema":"https://github.com/citation-style-language/schema/raw/master/csl-citation.json"}</w:instrText>
      </w:r>
      <w:r w:rsidR="001154CF">
        <w:rPr>
          <w:rFonts w:ascii="Times New Roman" w:eastAsia="Calibri" w:hAnsi="Times New Roman"/>
          <w:color w:val="000000"/>
          <w:szCs w:val="24"/>
          <w:lang w:eastAsia="en-US"/>
        </w:rPr>
        <w:fldChar w:fldCharType="separate"/>
      </w:r>
      <w:r w:rsidR="001154CF" w:rsidRPr="001154CF">
        <w:rPr>
          <w:rFonts w:ascii="Times New Roman" w:eastAsia="Calibri" w:hAnsi="Times New Roman"/>
          <w:noProof/>
          <w:color w:val="000000"/>
          <w:szCs w:val="24"/>
          <w:lang w:eastAsia="en-US"/>
        </w:rPr>
        <w:t xml:space="preserve">Watts </w:t>
      </w:r>
      <w:r w:rsidR="001154CF">
        <w:rPr>
          <w:rFonts w:ascii="Times New Roman" w:eastAsia="Calibri" w:hAnsi="Times New Roman"/>
          <w:noProof/>
          <w:color w:val="000000"/>
          <w:szCs w:val="24"/>
          <w:lang w:eastAsia="en-US"/>
        </w:rPr>
        <w:t>(</w:t>
      </w:r>
      <w:r w:rsidR="001154CF" w:rsidRPr="001154CF">
        <w:rPr>
          <w:rFonts w:ascii="Times New Roman" w:eastAsia="Calibri" w:hAnsi="Times New Roman"/>
          <w:noProof/>
          <w:color w:val="000000"/>
          <w:szCs w:val="24"/>
          <w:lang w:eastAsia="en-US"/>
        </w:rPr>
        <w:t>1992)</w:t>
      </w:r>
      <w:r w:rsidR="001154CF">
        <w:rPr>
          <w:rFonts w:ascii="Times New Roman" w:eastAsia="Calibri" w:hAnsi="Times New Roman"/>
          <w:color w:val="000000"/>
          <w:szCs w:val="24"/>
          <w:lang w:eastAsia="en-US"/>
        </w:rPr>
        <w:fldChar w:fldCharType="end"/>
      </w:r>
      <w:r w:rsidR="008F6DE9" w:rsidRPr="001154CF">
        <w:rPr>
          <w:rFonts w:ascii="Times New Roman" w:eastAsia="Calibri" w:hAnsi="Times New Roman"/>
          <w:color w:val="000000"/>
          <w:szCs w:val="24"/>
          <w:lang w:eastAsia="en-US"/>
        </w:rPr>
        <w:t xml:space="preserve">, as escolhas contábeis envolvem as </w:t>
      </w:r>
      <w:r w:rsidR="0025123B" w:rsidRPr="001154CF">
        <w:rPr>
          <w:rFonts w:ascii="Times New Roman" w:eastAsia="Calibri" w:hAnsi="Times New Roman"/>
          <w:color w:val="000000"/>
          <w:szCs w:val="24"/>
          <w:lang w:eastAsia="en-US"/>
        </w:rPr>
        <w:t>opções</w:t>
      </w:r>
      <w:r w:rsidR="008F6DE9" w:rsidRPr="001154CF">
        <w:rPr>
          <w:rFonts w:ascii="Times New Roman" w:eastAsia="Calibri" w:hAnsi="Times New Roman"/>
          <w:color w:val="000000"/>
          <w:szCs w:val="24"/>
          <w:lang w:eastAsia="en-US"/>
        </w:rPr>
        <w:t xml:space="preserve"> dos gestores por determinados m</w:t>
      </w:r>
      <w:r w:rsidR="00A124F1" w:rsidRPr="001154CF">
        <w:rPr>
          <w:rFonts w:ascii="Times New Roman" w:eastAsia="Calibri" w:hAnsi="Times New Roman"/>
          <w:color w:val="000000"/>
          <w:szCs w:val="24"/>
          <w:lang w:eastAsia="en-US"/>
        </w:rPr>
        <w:t>étodos em detrimento de outros.</w:t>
      </w:r>
    </w:p>
    <w:p w:rsidR="0018230C" w:rsidRPr="000E5487" w:rsidRDefault="006C226C"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Diversas IFRS possuem mais de uma alternativa</w:t>
      </w:r>
      <w:r w:rsidR="00782CC3"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igualmente válida para a contabilização de um </w:t>
      </w:r>
      <w:r w:rsidR="001B2021" w:rsidRPr="000E5487">
        <w:rPr>
          <w:rFonts w:ascii="Times New Roman" w:eastAsia="Calibri" w:hAnsi="Times New Roman"/>
          <w:color w:val="000000"/>
          <w:szCs w:val="24"/>
          <w:lang w:eastAsia="en-US"/>
        </w:rPr>
        <w:t xml:space="preserve">fato </w:t>
      </w:r>
      <w:r w:rsidRPr="000E5487">
        <w:rPr>
          <w:rFonts w:ascii="Times New Roman" w:eastAsia="Calibri" w:hAnsi="Times New Roman"/>
          <w:color w:val="000000"/>
          <w:szCs w:val="24"/>
          <w:lang w:eastAsia="en-US"/>
        </w:rPr>
        <w:t>econômico, como é o caso da IAS 41</w:t>
      </w:r>
      <w:r w:rsidR="00613220" w:rsidRPr="000E5487">
        <w:rPr>
          <w:rFonts w:ascii="Times New Roman" w:eastAsia="Calibri" w:hAnsi="Times New Roman"/>
          <w:color w:val="000000"/>
          <w:szCs w:val="24"/>
          <w:lang w:eastAsia="en-US"/>
        </w:rPr>
        <w:t>. Nesse sentido,</w:t>
      </w:r>
      <w:r w:rsidR="0018230C" w:rsidRPr="000E5487">
        <w:rPr>
          <w:rFonts w:ascii="Times New Roman" w:eastAsia="Calibri" w:hAnsi="Times New Roman"/>
          <w:color w:val="000000"/>
          <w:szCs w:val="24"/>
          <w:lang w:eastAsia="en-US"/>
        </w:rPr>
        <w:t xml:space="preserve"> ao possibilitar diferentes tratamentos contábeis a um mesmo fato,</w:t>
      </w:r>
      <w:r w:rsidR="00613220" w:rsidRPr="000E5487">
        <w:rPr>
          <w:rFonts w:ascii="Times New Roman" w:eastAsia="Calibri" w:hAnsi="Times New Roman"/>
          <w:color w:val="000000"/>
          <w:szCs w:val="24"/>
          <w:lang w:eastAsia="en-US"/>
        </w:rPr>
        <w:t xml:space="preserve"> </w:t>
      </w:r>
      <w:r w:rsidR="0018230C" w:rsidRPr="000E5487">
        <w:rPr>
          <w:rFonts w:ascii="Times New Roman" w:eastAsia="Calibri" w:hAnsi="Times New Roman"/>
          <w:color w:val="000000"/>
          <w:szCs w:val="24"/>
          <w:lang w:eastAsia="en-US"/>
        </w:rPr>
        <w:t xml:space="preserve">surgem diferentes formas de mensuração, reconhecimento e divulgação </w:t>
      </w:r>
      <w:r w:rsidR="00613220" w:rsidRPr="000E5487">
        <w:rPr>
          <w:rFonts w:ascii="Times New Roman" w:eastAsia="Calibri" w:hAnsi="Times New Roman"/>
          <w:color w:val="000000"/>
          <w:szCs w:val="24"/>
          <w:lang w:eastAsia="en-US"/>
        </w:rPr>
        <w:t>contábil</w:t>
      </w:r>
      <w:r w:rsidR="0018230C" w:rsidRPr="000E5487">
        <w:rPr>
          <w:rFonts w:ascii="Times New Roman" w:eastAsia="Calibri" w:hAnsi="Times New Roman"/>
          <w:color w:val="000000"/>
          <w:szCs w:val="24"/>
          <w:lang w:eastAsia="en-US"/>
        </w:rPr>
        <w:t xml:space="preserve"> </w:t>
      </w:r>
      <w:r w:rsidR="0018230C"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{"citationItems":[{"id":"ITEM-1","itemData":{"DOI":"10.1108/13217341211242169","ISBN":"13217348","ISSN":"1321-7348","PMID":"1022714815","abstract":"Influence of a mandatory IFRS adoption on accounting practice: Evidence from Australia, Hong Kong and the United Kingdom","author":[{"dropping-particle":"","family":"Bayerlein","given":"Leopold","non-dropping-particle":"","parse-names":false,"suffix":""},{"dropping-particle":"","family":"Farooque","given":"Omar","non-dropping-particle":"Al","parse-names":false,"suffix":""}],"container-title":"Asian Review of Accounting","id":"ITEM-1","issue":"2","issued":{"date-parts":[["2012"]]},"page":"93-118","title":"Influence of a mandatory IFRS adoption on accounting practice","type":"article-journal","volume":"20"},"uris":["http://www.mendeley.com/documents/?uuid=25a5dbc4-9e11-4ccf-9282-02ed72059dd8"]}],"mendeley":{"formattedCitation":"(BAYERLEIN; AL FAROOQUE, 2012)","plainTextFormattedCitation":"(BAYERLEIN; AL FAROOQUE, 2012)","previouslyFormattedCitation":"(BAYERLEIN; AL FAROOQUE, 2012)"},"properties":{"noteIndex":0},"schema":"https://github.com/citation-style-language/schema/raw/master/csl-citation.json"}</w:instrText>
      </w:r>
      <w:r w:rsidR="0018230C"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(BAYERLEIN; AL FAROOQUE, 2012)</w:t>
      </w:r>
      <w:r w:rsidR="0018230C" w:rsidRPr="000E5487">
        <w:rPr>
          <w:rFonts w:ascii="Times New Roman" w:eastAsia="Calibri" w:hAnsi="Times New Roman"/>
          <w:color w:val="000000"/>
          <w:szCs w:val="24"/>
          <w:lang w:eastAsia="en-US"/>
        </w:rPr>
        <w:fldChar w:fldCharType="end"/>
      </w:r>
      <w:r w:rsidR="0018230C" w:rsidRPr="000E5487">
        <w:rPr>
          <w:rFonts w:ascii="Times New Roman" w:eastAsia="Calibri" w:hAnsi="Times New Roman"/>
          <w:color w:val="000000"/>
          <w:szCs w:val="24"/>
          <w:lang w:eastAsia="en-US"/>
        </w:rPr>
        <w:t>.</w:t>
      </w:r>
      <w:r w:rsidR="00A124F1" w:rsidRPr="000E5487">
        <w:rPr>
          <w:rFonts w:ascii="Times New Roman" w:eastAsia="Calibri" w:hAnsi="Times New Roman"/>
          <w:color w:val="000000"/>
          <w:szCs w:val="24"/>
          <w:lang w:eastAsia="en-US"/>
        </w:rPr>
        <w:t xml:space="preserve"> Cabe ressaltar que as escolhas contábeis são amplas e envolvem diversos tomadores de decisão, tais como gestores, auditores, acionistas e órgãos reguladores </w:t>
      </w:r>
      <w:r w:rsidR="001154CF">
        <w:rPr>
          <w:rFonts w:ascii="Times New Roman" w:eastAsia="Calibri" w:hAnsi="Times New Roman"/>
          <w:color w:val="000000"/>
          <w:szCs w:val="24"/>
          <w:lang w:eastAsia="en-US"/>
        </w:rPr>
        <w:fldChar w:fldCharType="begin" w:fldLock="1"/>
      </w:r>
      <w:r w:rsidR="001154CF">
        <w:rPr>
          <w:rFonts w:ascii="Times New Roman" w:eastAsia="Calibri" w:hAnsi="Times New Roman"/>
          <w:color w:val="000000"/>
          <w:szCs w:val="24"/>
          <w:lang w:eastAsia="en-US"/>
        </w:rPr>
        <w:instrText>ADDIN CSL_CITATION {"citationItems":[{"id":"ITEM-1","itemData":{"DOI":"10.1016/S0165-4101(01)00017-9","ISBN":"0165-4101","ISSN":"01654101","PMID":"122","abstract":"This discussion considers four aspects of the survey paper on empirical accounting choice research by Fields, Lys and Vincent: implications of the authors' selection of an expansive definition of accounting choice and their decision to classify this research by managerial motives; implications of the authors' decision to include implementation decisions in their definition of accounting choice; implications of the authors' call for research on the consequences of accounting choice, including the costs of defective accounting choices and the benefits of superior choices; implications of the authors' call for a reconsideration of research designs that explicitly consider groups of accounting choices. ?? 2001 Elsevier Science B.V. All rights reserved.","author":[{"dropping-particle":"","family":"Francis","given":"Jennifer","non-dropping-particle":"","parse-names":false,"suffix":""}],"container-title":"Journal of Accounting and Economics","id":"ITEM-1","issue":"1-3","issued":{"date-parts":[["2001"]]},"page":"309-319","title":"Discussion of empirical research on accounting choice","type":"article-journal","volume":"31"},"uris":["http://www.mendeley.com/documents/?uuid=1ea7e8a3-24c2-448d-8556-fe2f49058d69"]}],"mendeley":{"formattedCitation":"(FRANCIS, 2001)","plainTextFormattedCitation":"(FRANCIS, 2001)","previouslyFormattedCitation":"(FRANCIS, 2001)"},"properties":{"noteIndex":0},"schema":"https://github.com/citation-style-language/schema/raw/master/csl-citation.json"}</w:instrText>
      </w:r>
      <w:r w:rsidR="001154CF">
        <w:rPr>
          <w:rFonts w:ascii="Times New Roman" w:eastAsia="Calibri" w:hAnsi="Times New Roman"/>
          <w:color w:val="000000"/>
          <w:szCs w:val="24"/>
          <w:lang w:eastAsia="en-US"/>
        </w:rPr>
        <w:fldChar w:fldCharType="separate"/>
      </w:r>
      <w:r w:rsidR="001154CF" w:rsidRPr="001154CF">
        <w:rPr>
          <w:rFonts w:ascii="Times New Roman" w:eastAsia="Calibri" w:hAnsi="Times New Roman"/>
          <w:noProof/>
          <w:color w:val="000000"/>
          <w:szCs w:val="24"/>
          <w:lang w:eastAsia="en-US"/>
        </w:rPr>
        <w:t>(FRANCIS, 2001)</w:t>
      </w:r>
      <w:r w:rsidR="001154CF">
        <w:rPr>
          <w:rFonts w:ascii="Times New Roman" w:eastAsia="Calibri" w:hAnsi="Times New Roman"/>
          <w:color w:val="000000"/>
          <w:szCs w:val="24"/>
          <w:lang w:eastAsia="en-US"/>
        </w:rPr>
        <w:fldChar w:fldCharType="end"/>
      </w:r>
      <w:r w:rsidR="00A124F1" w:rsidRPr="000E5487">
        <w:rPr>
          <w:rFonts w:ascii="Times New Roman" w:eastAsia="Calibri" w:hAnsi="Times New Roman"/>
          <w:color w:val="000000"/>
          <w:szCs w:val="24"/>
          <w:lang w:eastAsia="en-US"/>
        </w:rPr>
        <w:t xml:space="preserve"> e representam qualquer decisão que tenha por objetivo influenciar o resultado da contabilidade </w:t>
      </w:r>
      <w:r w:rsidR="001154CF">
        <w:rPr>
          <w:rFonts w:ascii="Times New Roman" w:eastAsia="Calibri" w:hAnsi="Times New Roman"/>
          <w:color w:val="000000"/>
          <w:szCs w:val="24"/>
          <w:lang w:eastAsia="en-US"/>
        </w:rPr>
        <w:fldChar w:fldCharType="begin" w:fldLock="1"/>
      </w:r>
      <w:r w:rsidR="001154CF">
        <w:rPr>
          <w:rFonts w:ascii="Times New Roman" w:eastAsia="Calibri" w:hAnsi="Times New Roman"/>
          <w:color w:val="000000"/>
          <w:szCs w:val="24"/>
          <w:lang w:eastAsia="en-US"/>
        </w:rPr>
        <w:instrText>ADDIN CSL_CITATION {"citationItems":[{"id":"ITEM-1","itemData":{"DOI":"10.1016/S0165-4101(01)00028-3","ISBN":"0165-4101","ISSN":"01654101","abstract":"We review research from the 1990s that examines the determinants and consequences of accounting choice, structuring our analysis around the three types of market imperfections that influence managers' choices: agency costs, information asymmetries, and externalities affecting non-contracting parties. We conclude that research in the 1990s made limited progress in expanding our understanding of accounting choice because of limitations in research design and a focus on replication rather than extension of current knowledge. We discuss opportunities for future research, recommending the exploration of the economic implications of accounting choice by addressing the three different reasons why accounting matters. © 2001 Published by Elsevier Science B.V.","author":[{"dropping-particle":"","family":"Fields","given":"Thomas D.","non-dropping-particle":"","parse-names":false,"suffix":""},{"dropping-particle":"","family":"Lys","given":"Thomas Z.","non-dropping-particle":"","parse-names":false,"suffix":""},{"dropping-particle":"","family":"Vincent","given":"Linda","non-dropping-particle":"","parse-names":false,"suffix":""}],"container-title":"Journal of Accounting and Economics","id":"ITEM-1","issue":"1-3","issued":{"date-parts":[["2001"]]},"page":"255-307","title":"Empirical research on accounting choice","type":"article-journal","volume":"31"},"uris":["http://www.mendeley.com/documents/?uuid=eb8fd4fd-35a5-40b1-ab49-69ffb99fe353"]}],"mendeley":{"formattedCitation":"(FIELDS; LYS; VINCENT, 2001)","plainTextFormattedCitation":"(FIELDS; LYS; VINCENT, 2001)","previouslyFormattedCitation":"(FIELDS; LYS; VINCENT, 2001)"},"properties":{"noteIndex":0},"schema":"https://github.com/citation-style-language/schema/raw/master/csl-citation.json"}</w:instrText>
      </w:r>
      <w:r w:rsidR="001154CF">
        <w:rPr>
          <w:rFonts w:ascii="Times New Roman" w:eastAsia="Calibri" w:hAnsi="Times New Roman"/>
          <w:color w:val="000000"/>
          <w:szCs w:val="24"/>
          <w:lang w:eastAsia="en-US"/>
        </w:rPr>
        <w:fldChar w:fldCharType="separate"/>
      </w:r>
      <w:r w:rsidR="001154CF" w:rsidRPr="001154CF">
        <w:rPr>
          <w:rFonts w:ascii="Times New Roman" w:eastAsia="Calibri" w:hAnsi="Times New Roman"/>
          <w:noProof/>
          <w:color w:val="000000"/>
          <w:szCs w:val="24"/>
          <w:lang w:eastAsia="en-US"/>
        </w:rPr>
        <w:t>(FIELDS; LYS; VINCENT, 2001)</w:t>
      </w:r>
      <w:r w:rsidR="001154CF">
        <w:rPr>
          <w:rFonts w:ascii="Times New Roman" w:eastAsia="Calibri" w:hAnsi="Times New Roman"/>
          <w:color w:val="000000"/>
          <w:szCs w:val="24"/>
          <w:lang w:eastAsia="en-US"/>
        </w:rPr>
        <w:fldChar w:fldCharType="end"/>
      </w:r>
      <w:r w:rsidR="00A124F1" w:rsidRPr="000E5487">
        <w:rPr>
          <w:rFonts w:ascii="Times New Roman" w:eastAsia="Calibri" w:hAnsi="Times New Roman"/>
          <w:color w:val="000000"/>
          <w:szCs w:val="24"/>
          <w:lang w:eastAsia="en-US"/>
        </w:rPr>
        <w:t>.</w:t>
      </w:r>
    </w:p>
    <w:p w:rsidR="00A124F1" w:rsidRPr="000E5487" w:rsidRDefault="00A124F1"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Diante disso, nota-se que pouca importância tem sido dada aos profissionais que aplicam as normas contábeis na prática empresarial. Os estudos geralmente são relacionados ao </w:t>
      </w:r>
      <w:r w:rsidR="00C25D57">
        <w:rPr>
          <w:rFonts w:ascii="Times New Roman" w:eastAsia="Calibri" w:hAnsi="Times New Roman"/>
          <w:color w:val="000000"/>
          <w:szCs w:val="24"/>
          <w:lang w:eastAsia="en-US"/>
        </w:rPr>
        <w:t xml:space="preserve">comportamento oportunista, gerenciamento de resultados e </w:t>
      </w:r>
      <w:r w:rsidRPr="000E5487">
        <w:rPr>
          <w:rFonts w:ascii="Times New Roman" w:eastAsia="Calibri" w:hAnsi="Times New Roman"/>
          <w:color w:val="000000"/>
          <w:szCs w:val="24"/>
          <w:lang w:eastAsia="en-US"/>
        </w:rPr>
        <w:t>conservadorismo, sendo escassos estudos que abordem a influência do perfil desses profissionais nas escolhas contábeis. Essa lacuna é intensificada quando levados em consideração os estudos sobre contabilidade rural e a adoção da IAS 41.</w:t>
      </w:r>
    </w:p>
    <w:p w:rsidR="00A124F1" w:rsidRPr="000E5487" w:rsidRDefault="00A124F1"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Nesse sentido, visando contribuir para o preenchimento dessa lacuna na literatura, esse estudo tem por objetivo identificar as escolhas contábeis no contexto da mensuração de ativos biológicos e verificar se tais escolhas estão associadas ao perfil dos profissionais que os mensuram. Para tanto, foi realizado um levantamento das escolhas contábeis no setor sucroenergético e testada à existência de associação dessas escolhas com as variáveis que caracterizam o perfil destes profissionais, sendo esse um diferencial do presente estudo.</w:t>
      </w:r>
    </w:p>
    <w:p w:rsidR="00A124F1" w:rsidRPr="000E5487" w:rsidRDefault="00C25D57"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Esse estudo justifica-se pela</w:t>
      </w:r>
      <w:r w:rsidR="00A124F1" w:rsidRPr="000E5487">
        <w:rPr>
          <w:rFonts w:ascii="Times New Roman" w:eastAsia="Calibri" w:hAnsi="Times New Roman"/>
          <w:color w:val="000000"/>
          <w:szCs w:val="24"/>
          <w:lang w:eastAsia="en-US"/>
        </w:rPr>
        <w:t xml:space="preserve"> representatividade econômica, ambiental e social do s</w:t>
      </w:r>
      <w:r>
        <w:rPr>
          <w:rFonts w:ascii="Times New Roman" w:eastAsia="Calibri" w:hAnsi="Times New Roman"/>
          <w:color w:val="000000"/>
          <w:szCs w:val="24"/>
          <w:lang w:eastAsia="en-US"/>
        </w:rPr>
        <w:t xml:space="preserve">etor sucroenergético brasileiro </w:t>
      </w:r>
      <w:r w:rsidR="00A124F1" w:rsidRPr="000E5487">
        <w:rPr>
          <w:rFonts w:ascii="Times New Roman" w:eastAsia="Calibri" w:hAnsi="Times New Roman"/>
          <w:color w:val="000000"/>
          <w:szCs w:val="24"/>
          <w:lang w:eastAsia="en-US"/>
        </w:rPr>
        <w:t xml:space="preserve">e pelas implicações da IAS 41 nesse setor. </w:t>
      </w:r>
      <w:r>
        <w:rPr>
          <w:rFonts w:ascii="Times New Roman" w:eastAsia="Calibri" w:hAnsi="Times New Roman"/>
          <w:color w:val="000000"/>
          <w:szCs w:val="24"/>
          <w:lang w:eastAsia="en-US"/>
        </w:rPr>
        <w:t>Dada a</w:t>
      </w:r>
      <w:r w:rsidRPr="00C25D57">
        <w:rPr>
          <w:rFonts w:ascii="Times New Roman" w:eastAsia="Calibri" w:hAnsi="Times New Roman"/>
          <w:color w:val="000000"/>
          <w:szCs w:val="24"/>
          <w:lang w:eastAsia="en-US"/>
        </w:rPr>
        <w:t xml:space="preserve"> escassez de trabalhos dessa natureza, principalmente no campo das escolhas contábeis no Brasil</w:t>
      </w:r>
      <w:r>
        <w:rPr>
          <w:rFonts w:ascii="Times New Roman" w:eastAsia="Calibri" w:hAnsi="Times New Roman"/>
          <w:color w:val="000000"/>
          <w:szCs w:val="24"/>
          <w:lang w:eastAsia="en-US"/>
        </w:rPr>
        <w:t xml:space="preserve">, esse estudo </w:t>
      </w:r>
      <w:r w:rsidR="00A124F1" w:rsidRPr="000E5487">
        <w:rPr>
          <w:rFonts w:ascii="Times New Roman" w:eastAsia="Calibri" w:hAnsi="Times New Roman"/>
          <w:color w:val="000000"/>
          <w:szCs w:val="24"/>
          <w:lang w:eastAsia="en-US"/>
        </w:rPr>
        <w:t>contribui</w:t>
      </w:r>
      <w:r>
        <w:rPr>
          <w:rFonts w:ascii="Times New Roman" w:eastAsia="Calibri" w:hAnsi="Times New Roman"/>
          <w:color w:val="000000"/>
          <w:szCs w:val="24"/>
          <w:lang w:eastAsia="en-US"/>
        </w:rPr>
        <w:t xml:space="preserve"> para a academia ao identificar a associação entre </w:t>
      </w:r>
      <w:r w:rsidR="00A124F1" w:rsidRPr="000E5487">
        <w:rPr>
          <w:rFonts w:ascii="Times New Roman" w:eastAsia="Calibri" w:hAnsi="Times New Roman"/>
          <w:color w:val="000000"/>
          <w:szCs w:val="24"/>
          <w:lang w:eastAsia="en-US"/>
        </w:rPr>
        <w:t xml:space="preserve">as escolhas </w:t>
      </w:r>
      <w:r w:rsidR="006E3F7D" w:rsidRPr="000E5487">
        <w:rPr>
          <w:rFonts w:ascii="Times New Roman" w:eastAsia="Calibri" w:hAnsi="Times New Roman"/>
          <w:color w:val="000000"/>
          <w:szCs w:val="24"/>
          <w:lang w:eastAsia="en-US"/>
        </w:rPr>
        <w:t xml:space="preserve">contábeis </w:t>
      </w:r>
      <w:r w:rsidR="00A124F1" w:rsidRPr="000E5487">
        <w:rPr>
          <w:rFonts w:ascii="Times New Roman" w:eastAsia="Calibri" w:hAnsi="Times New Roman"/>
          <w:color w:val="000000"/>
          <w:szCs w:val="24"/>
          <w:lang w:eastAsia="en-US"/>
        </w:rPr>
        <w:t>no que se refere a mensuração dos ativos biológicos</w:t>
      </w:r>
      <w:r>
        <w:rPr>
          <w:rFonts w:ascii="Times New Roman" w:eastAsia="Calibri" w:hAnsi="Times New Roman"/>
          <w:color w:val="000000"/>
          <w:szCs w:val="24"/>
          <w:lang w:eastAsia="en-US"/>
        </w:rPr>
        <w:t xml:space="preserve"> e o </w:t>
      </w:r>
      <w:r w:rsidRPr="00C25D57">
        <w:rPr>
          <w:rFonts w:ascii="Times New Roman" w:eastAsia="Calibri" w:hAnsi="Times New Roman"/>
          <w:color w:val="000000"/>
          <w:szCs w:val="24"/>
          <w:lang w:eastAsia="en-US"/>
        </w:rPr>
        <w:t xml:space="preserve">o perfil </w:t>
      </w:r>
      <w:r>
        <w:rPr>
          <w:rFonts w:ascii="Times New Roman" w:eastAsia="Calibri" w:hAnsi="Times New Roman"/>
          <w:color w:val="000000"/>
          <w:szCs w:val="24"/>
          <w:lang w:eastAsia="en-US"/>
        </w:rPr>
        <w:t xml:space="preserve">do </w:t>
      </w:r>
      <w:r w:rsidRPr="00C25D57">
        <w:rPr>
          <w:rFonts w:ascii="Times New Roman" w:eastAsia="Calibri" w:hAnsi="Times New Roman"/>
          <w:color w:val="000000"/>
          <w:szCs w:val="24"/>
          <w:lang w:eastAsia="en-US"/>
        </w:rPr>
        <w:t xml:space="preserve">profissional </w:t>
      </w:r>
      <w:r>
        <w:rPr>
          <w:rFonts w:ascii="Times New Roman" w:eastAsia="Calibri" w:hAnsi="Times New Roman"/>
          <w:color w:val="000000"/>
          <w:szCs w:val="24"/>
          <w:lang w:eastAsia="en-US"/>
        </w:rPr>
        <w:t>reponsável pela avaliação do ativo</w:t>
      </w:r>
      <w:r w:rsidR="00A124F1" w:rsidRPr="000E5487">
        <w:rPr>
          <w:rFonts w:ascii="Times New Roman" w:eastAsia="Calibri" w:hAnsi="Times New Roman"/>
          <w:color w:val="000000"/>
          <w:szCs w:val="24"/>
          <w:lang w:eastAsia="en-US"/>
        </w:rPr>
        <w:t>.</w:t>
      </w:r>
    </w:p>
    <w:p w:rsidR="00816F11" w:rsidRDefault="00816F11" w:rsidP="00B747D7">
      <w:pPr>
        <w:spacing w:after="0" w:line="240" w:lineRule="auto"/>
        <w:ind w:firstLine="709"/>
        <w:jc w:val="both"/>
        <w:rPr>
          <w:rFonts w:ascii="Times New Roman" w:eastAsia="Calibri" w:hAnsi="Times New Roman"/>
          <w:b/>
          <w:color w:val="000000"/>
          <w:szCs w:val="24"/>
          <w:lang w:eastAsia="en-US"/>
        </w:rPr>
      </w:pPr>
    </w:p>
    <w:p w:rsidR="001D52C3" w:rsidRPr="000E5487" w:rsidRDefault="00465431" w:rsidP="00816F11">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 xml:space="preserve">2 </w:t>
      </w:r>
      <w:r w:rsidR="00816F11">
        <w:rPr>
          <w:rFonts w:ascii="Times New Roman" w:eastAsia="Calibri" w:hAnsi="Times New Roman"/>
          <w:b/>
          <w:color w:val="000000"/>
          <w:szCs w:val="24"/>
          <w:lang w:eastAsia="en-US"/>
        </w:rPr>
        <w:t>Fundamentação</w:t>
      </w:r>
      <w:r w:rsidR="00816F11" w:rsidRPr="000E5487">
        <w:rPr>
          <w:rFonts w:ascii="Times New Roman" w:eastAsia="Calibri" w:hAnsi="Times New Roman"/>
          <w:b/>
          <w:color w:val="000000"/>
          <w:szCs w:val="24"/>
          <w:lang w:eastAsia="en-US"/>
        </w:rPr>
        <w:t xml:space="preserve"> Teóric</w:t>
      </w:r>
      <w:r w:rsidR="00C25D57">
        <w:rPr>
          <w:rFonts w:ascii="Times New Roman" w:eastAsia="Calibri" w:hAnsi="Times New Roman"/>
          <w:b/>
          <w:color w:val="000000"/>
          <w:szCs w:val="24"/>
          <w:lang w:eastAsia="en-US"/>
        </w:rPr>
        <w:t>a</w:t>
      </w:r>
    </w:p>
    <w:p w:rsidR="001D52C3" w:rsidRPr="000E5487" w:rsidRDefault="001D52C3" w:rsidP="00816F11">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 xml:space="preserve">2.1 </w:t>
      </w:r>
      <w:r w:rsidR="00816F11" w:rsidRPr="000E5487">
        <w:rPr>
          <w:rFonts w:ascii="Times New Roman" w:eastAsia="Calibri" w:hAnsi="Times New Roman"/>
          <w:b/>
          <w:color w:val="000000"/>
          <w:szCs w:val="24"/>
          <w:lang w:eastAsia="en-US"/>
        </w:rPr>
        <w:t>Escolhas Contábeis</w:t>
      </w:r>
    </w:p>
    <w:p w:rsidR="0056595C" w:rsidRPr="000E5487" w:rsidRDefault="00453B62"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A</w:t>
      </w:r>
      <w:r w:rsidR="006E18E1" w:rsidRPr="000E5487">
        <w:rPr>
          <w:rFonts w:ascii="Times New Roman" w:eastAsia="Calibri" w:hAnsi="Times New Roman"/>
          <w:color w:val="000000"/>
          <w:szCs w:val="24"/>
          <w:lang w:eastAsia="en-US"/>
        </w:rPr>
        <w:t>s escolhas contábeis</w:t>
      </w:r>
      <w:r w:rsidR="003317B4" w:rsidRPr="000E5487">
        <w:rPr>
          <w:rFonts w:ascii="Times New Roman" w:eastAsia="Calibri" w:hAnsi="Times New Roman"/>
          <w:color w:val="000000"/>
          <w:szCs w:val="24"/>
          <w:lang w:eastAsia="en-US"/>
        </w:rPr>
        <w:t xml:space="preserve"> geralmente</w:t>
      </w:r>
      <w:r w:rsidR="006E18E1"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são estudadas sobre o prisma da Teoria Positiva da Contabilidade, defendida por</w:t>
      </w:r>
      <w:r w:rsidR="00BB4E2C">
        <w:rPr>
          <w:rFonts w:ascii="Times New Roman" w:eastAsia="Calibri" w:hAnsi="Times New Roman"/>
          <w:color w:val="000000"/>
          <w:szCs w:val="24"/>
          <w:lang w:eastAsia="en-US"/>
        </w:rPr>
        <w:t xml:space="preserve"> </w:t>
      </w:r>
      <w:r w:rsidR="00BB4E2C">
        <w:rPr>
          <w:rFonts w:ascii="Times New Roman" w:eastAsia="Calibri" w:hAnsi="Times New Roman"/>
          <w:color w:val="000000"/>
          <w:szCs w:val="24"/>
          <w:lang w:eastAsia="en-US"/>
        </w:rPr>
        <w:fldChar w:fldCharType="begin" w:fldLock="1"/>
      </w:r>
      <w:r w:rsidR="00BB4E2C">
        <w:rPr>
          <w:rFonts w:ascii="Times New Roman" w:eastAsia="Calibri" w:hAnsi="Times New Roman"/>
          <w:color w:val="000000"/>
          <w:szCs w:val="24"/>
          <w:lang w:eastAsia="en-US"/>
        </w:rPr>
        <w:instrText>ADDIN CSL_CITATION {"citationItems":[{"id":"ITEM-1","itemData":{"ISBN":"00014826","ISSN":"0001-4826","PMID":"4500569","abstract":"JSTOR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ABSTRACT: This article provides the beginnings of a positive theory of accounting by exploring those factors influencing management's attitudes on accounting standards which are likely to affect corporate lobbying on accounting standards. Certain factors are expected to affect a firm's cashflows and in turn are affected by accounting standards. These factors are taxes, regulation, management compensation plans, bookkeeping costs, and political costs, and they are combined into a model which predicts that large firms which experience reduced earnings due to changed accounting standards favor the change. All other firms oppose the change if the additional bookkeeping costs justify the cost of lobbying. This prediction was tested using the corporate submissions to the FASB's Discussion Memorandum on General Price Level Adjustments. The empirical","author":[{"dropping-particle":"","family":"Watts","given":"Ross L","non-dropping-particle":"","parse-names":false,"suffix":""},{"dropping-particle":"","family":"Zimmerman","given":"Jerold L","non-dropping-particle":"","parse-names":false,"suffix":""}],"container-title":"The Accounting Review","id":"ITEM-1","issue":"1","issued":{"date-parts":[["1978"]]},"page":"112-134","title":"Towards a Positive Theory of the Determination of Accounting Standards","type":"article-journal","volume":"53"},"uris":["http://www.mendeley.com/documents/?uuid=ed41c78c-da6d-47d6-9ff6-c76bace4b3e4"]}],"mendeley":{"formattedCitation":"(WATTS; ZIMMERMAN, 1978)","manualFormatting":"Watts e Zimmerman (1978)","plainTextFormattedCitation":"(WATTS; ZIMMERMAN, 1978)","previouslyFormattedCitation":"(WATTS; ZIMMERMAN, 1978)"},"properties":{"noteIndex":0},"schema":"https://github.com/citation-style-language/schema/raw/master/csl-citation.json"}</w:instrText>
      </w:r>
      <w:r w:rsidR="00BB4E2C">
        <w:rPr>
          <w:rFonts w:ascii="Times New Roman" w:eastAsia="Calibri" w:hAnsi="Times New Roman"/>
          <w:color w:val="000000"/>
          <w:szCs w:val="24"/>
          <w:lang w:eastAsia="en-US"/>
        </w:rPr>
        <w:fldChar w:fldCharType="separate"/>
      </w:r>
      <w:r w:rsidR="00BB4E2C" w:rsidRPr="00BB4E2C">
        <w:rPr>
          <w:rFonts w:ascii="Times New Roman" w:eastAsia="Calibri" w:hAnsi="Times New Roman"/>
          <w:noProof/>
          <w:color w:val="000000"/>
          <w:szCs w:val="24"/>
          <w:lang w:eastAsia="en-US"/>
        </w:rPr>
        <w:t>W</w:t>
      </w:r>
      <w:r w:rsidR="00BB4E2C">
        <w:rPr>
          <w:rFonts w:ascii="Times New Roman" w:eastAsia="Calibri" w:hAnsi="Times New Roman"/>
          <w:noProof/>
          <w:color w:val="000000"/>
          <w:szCs w:val="24"/>
          <w:lang w:eastAsia="en-US"/>
        </w:rPr>
        <w:t>atts</w:t>
      </w:r>
      <w:r w:rsidR="00BB4E2C" w:rsidRPr="00BB4E2C">
        <w:rPr>
          <w:rFonts w:ascii="Times New Roman" w:eastAsia="Calibri" w:hAnsi="Times New Roman"/>
          <w:noProof/>
          <w:color w:val="000000"/>
          <w:szCs w:val="24"/>
          <w:lang w:eastAsia="en-US"/>
        </w:rPr>
        <w:t xml:space="preserve"> </w:t>
      </w:r>
      <w:r w:rsidR="00BB4E2C">
        <w:rPr>
          <w:rFonts w:ascii="Times New Roman" w:eastAsia="Calibri" w:hAnsi="Times New Roman"/>
          <w:noProof/>
          <w:color w:val="000000"/>
          <w:szCs w:val="24"/>
          <w:lang w:eastAsia="en-US"/>
        </w:rPr>
        <w:t xml:space="preserve">e </w:t>
      </w:r>
      <w:r w:rsidR="00BB4E2C" w:rsidRPr="00BB4E2C">
        <w:rPr>
          <w:rFonts w:ascii="Times New Roman" w:eastAsia="Calibri" w:hAnsi="Times New Roman"/>
          <w:noProof/>
          <w:color w:val="000000"/>
          <w:szCs w:val="24"/>
          <w:lang w:eastAsia="en-US"/>
        </w:rPr>
        <w:t xml:space="preserve">Zimmerman </w:t>
      </w:r>
      <w:r w:rsidR="00BB4E2C">
        <w:rPr>
          <w:rFonts w:ascii="Times New Roman" w:eastAsia="Calibri" w:hAnsi="Times New Roman"/>
          <w:noProof/>
          <w:color w:val="000000"/>
          <w:szCs w:val="24"/>
          <w:lang w:eastAsia="en-US"/>
        </w:rPr>
        <w:t>(</w:t>
      </w:r>
      <w:r w:rsidR="00BB4E2C" w:rsidRPr="00BB4E2C">
        <w:rPr>
          <w:rFonts w:ascii="Times New Roman" w:eastAsia="Calibri" w:hAnsi="Times New Roman"/>
          <w:noProof/>
          <w:color w:val="000000"/>
          <w:szCs w:val="24"/>
          <w:lang w:eastAsia="en-US"/>
        </w:rPr>
        <w:t>1978)</w:t>
      </w:r>
      <w:r w:rsidR="00BB4E2C">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 xml:space="preserve">, </w:t>
      </w:r>
      <w:r w:rsidR="006E18E1" w:rsidRPr="000E5487">
        <w:rPr>
          <w:rFonts w:ascii="Times New Roman" w:eastAsia="Calibri" w:hAnsi="Times New Roman"/>
          <w:color w:val="000000"/>
          <w:szCs w:val="24"/>
          <w:lang w:eastAsia="en-US"/>
        </w:rPr>
        <w:t>envolve</w:t>
      </w:r>
      <w:r w:rsidRPr="000E5487">
        <w:rPr>
          <w:rFonts w:ascii="Times New Roman" w:eastAsia="Calibri" w:hAnsi="Times New Roman"/>
          <w:color w:val="000000"/>
          <w:szCs w:val="24"/>
          <w:lang w:eastAsia="en-US"/>
        </w:rPr>
        <w:t>ndo</w:t>
      </w:r>
      <w:r w:rsidR="006E18E1" w:rsidRPr="000E5487">
        <w:rPr>
          <w:rFonts w:ascii="Times New Roman" w:eastAsia="Calibri" w:hAnsi="Times New Roman"/>
          <w:color w:val="000000"/>
          <w:szCs w:val="24"/>
          <w:lang w:eastAsia="en-US"/>
        </w:rPr>
        <w:t xml:space="preserve"> </w:t>
      </w:r>
      <w:r w:rsidR="007E359B" w:rsidRPr="000E5487">
        <w:rPr>
          <w:rFonts w:ascii="Times New Roman" w:eastAsia="Calibri" w:hAnsi="Times New Roman"/>
          <w:color w:val="000000"/>
          <w:szCs w:val="24"/>
          <w:lang w:eastAsia="en-US"/>
        </w:rPr>
        <w:t>o comportamento oportunista dos gestores, o gerenciamento de resultados e a assimetria informacional</w:t>
      </w:r>
      <w:r w:rsidR="006E18E1" w:rsidRPr="000E5487">
        <w:rPr>
          <w:rFonts w:ascii="Times New Roman" w:eastAsia="Calibri" w:hAnsi="Times New Roman"/>
          <w:color w:val="000000"/>
          <w:szCs w:val="24"/>
          <w:lang w:eastAsia="en-US"/>
        </w:rPr>
        <w:t>.</w:t>
      </w:r>
      <w:r w:rsidR="003317B4" w:rsidRPr="000E5487">
        <w:rPr>
          <w:rFonts w:ascii="Times New Roman" w:eastAsia="Calibri" w:hAnsi="Times New Roman"/>
          <w:color w:val="000000"/>
          <w:szCs w:val="24"/>
          <w:lang w:eastAsia="en-US"/>
        </w:rPr>
        <w:t xml:space="preserve"> </w:t>
      </w:r>
      <w:r w:rsidR="003669E3" w:rsidRPr="000E5487">
        <w:rPr>
          <w:rFonts w:ascii="Times New Roman" w:eastAsia="Calibri" w:hAnsi="Times New Roman"/>
          <w:color w:val="000000"/>
          <w:szCs w:val="24"/>
          <w:lang w:eastAsia="en-US"/>
        </w:rPr>
        <w:t>E</w:t>
      </w:r>
      <w:r w:rsidRPr="000E5487">
        <w:rPr>
          <w:rFonts w:ascii="Times New Roman" w:eastAsia="Calibri" w:hAnsi="Times New Roman"/>
          <w:color w:val="000000"/>
          <w:szCs w:val="24"/>
          <w:lang w:eastAsia="en-US"/>
        </w:rPr>
        <w:t>studos recentes indicam que</w:t>
      </w:r>
      <w:r w:rsidR="003669E3" w:rsidRPr="000E5487">
        <w:rPr>
          <w:rFonts w:ascii="Times New Roman" w:eastAsia="Calibri" w:hAnsi="Times New Roman"/>
          <w:color w:val="000000"/>
          <w:szCs w:val="24"/>
          <w:lang w:eastAsia="en-US"/>
        </w:rPr>
        <w:t xml:space="preserve"> </w:t>
      </w:r>
      <w:r w:rsidR="006274D5" w:rsidRPr="000E5487">
        <w:rPr>
          <w:rFonts w:ascii="Times New Roman" w:eastAsia="Calibri" w:hAnsi="Times New Roman"/>
          <w:color w:val="000000"/>
          <w:szCs w:val="24"/>
          <w:lang w:eastAsia="en-US"/>
        </w:rPr>
        <w:t xml:space="preserve">o país </w:t>
      </w:r>
      <w:r w:rsidR="006274D5"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10.1111/j.1467-6281.2007.00224.x","ISBN":"0001-3072\\r1467-6281","ISSN":"00013072","abstract":"http://dx.doi.org/10.1111/j.1467-6281.2007.00224.x","author":[{"dropping-particle":"","family":"Jaafar","given":"Aziz","non-dropping-particle":"","parse-names":false,"suffix":""},{"dropping-particle":"","family":"McLeay","given":"Stuart","non-dropping-particle":"","parse-names":false,"suffix":""}],"container-title":"Abacus","id":"ITEM-1","issue":"2","issued":{"date-parts":[["2007"]]},"page":"156-189","title":"Country effects and sector effects on the harmonization of accounting policy choice","type":"article-journal","volume":"43"},"uris":["http://www.mendeley.com/documents/?uuid=45485e87-23bc-4924-8f7a-585691313480"]},{"id":"ITEM-2","itemData":{"DOI":"10.1111/abac.12035","ISSN":"14676281","abstract":"This paper proposes a framework for understanding management's decision-making on observable accounting policy choices. The framework is used to hypothesize how country, industry, and topic factors influence policy choice under International Financial Reporting Standards (IFRS). The hypotheses are tested on the choices made by the largest firms from 10 jurisdictions on a comprehensive set of IFRS policy topics, which are hand-collected from the financial statements. The results are consistent with the framework: country factors are particularly influential when the choice does not affect an important accounting number; and industry and topic factors influence the choice on some topics. Overall, we find that country factors have the greatest influence on IFRS policy choice.","author":[{"dropping-particle":"","family":"Stadler","given":"Christian","non-dropping-particle":"","parse-names":false,"suffix":""},{"dropping-particle":"","family":"Nobes","given":"Christopher W.","non-dropping-particle":"","parse-names":false,"suffix":""}],"container-title":"Abacus","id":"ITEM-2","issue":"4","issued":{"date-parts":[["2014"]]},"page":"386-421","title":"The Influence of Country, Industry, and Topic Factors on IFRS Policy Choice","type":"article-journal","volume":"50"},"uris":["http://www.mendeley.com/documents/?uuid=3b15da2b-e7d0-4280-bea4-c47befad1dc1"]}],"mendeley":{"formattedCitation":"(JAAFAR; MCLEAY, 2007; STADLER; NOBES, 2014)","plainTextFormattedCitation":"(JAAFAR; MCLEAY, 2007; STADLER; NOBES, 2014)","previouslyFormattedCitation":"(JAAFAR; MCLEAY, 2007; STADLER; NOBES, 2014)"},"properties":{"noteIndex":0},"schema":"https://github.com/citation-style-language/schema/raw/master/csl-citation.json"}</w:instrText>
      </w:r>
      <w:r w:rsidR="006274D5"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(JAAFAR; MCLEAY, 2007; STADLER; NOBES, 2014)</w:t>
      </w:r>
      <w:r w:rsidR="006274D5" w:rsidRPr="000E5487">
        <w:rPr>
          <w:rFonts w:ascii="Times New Roman" w:eastAsia="Calibri" w:hAnsi="Times New Roman"/>
          <w:color w:val="000000"/>
          <w:szCs w:val="24"/>
          <w:lang w:eastAsia="en-US"/>
        </w:rPr>
        <w:fldChar w:fldCharType="end"/>
      </w:r>
      <w:r w:rsidR="006274D5" w:rsidRPr="000E5487">
        <w:rPr>
          <w:rFonts w:ascii="Times New Roman" w:eastAsia="Calibri" w:hAnsi="Times New Roman"/>
          <w:color w:val="000000"/>
          <w:szCs w:val="24"/>
          <w:lang w:eastAsia="en-US"/>
        </w:rPr>
        <w:t xml:space="preserve">, </w:t>
      </w:r>
      <w:r w:rsidR="00B71208" w:rsidRPr="000E5487">
        <w:rPr>
          <w:rFonts w:ascii="Times New Roman" w:eastAsia="Calibri" w:hAnsi="Times New Roman"/>
          <w:color w:val="000000"/>
          <w:szCs w:val="24"/>
          <w:lang w:eastAsia="en-US"/>
        </w:rPr>
        <w:t xml:space="preserve">a cultura econômica nacional mediada pelas instituições </w:t>
      </w:r>
      <w:r w:rsidR="00B71208"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{"citationItems":[{"id":"ITEM-1","itemData":{"DOI":"10.1016/j.cpa.2013.03.006","ISBN":"1045-2354","ISSN":"10959955","abstract":"National economic culture has an indirect influence on accounting at the national level through the mediating variable of institutions. The relationships are evaluated using measures of national economic culture from Culture, Leadership, and Organizations: The GLOBE Study of 62 Societies (. House et al., 2004); measures of institutions from the World Bank (. Kaufmann et al., 2007); and measures of national accounting from the Financial Standards Foundation (2008). At the national level, institutions are found to mediate the relationship between economic culture variables and accounting. The empirical findings indicate that accounting in a given nation is linked to the nation's supporting institutions, which institutions in turn are influenced by the national economic culture of those who maintain them. This suggests that altering aspects of accounting within a nation can be expected to entail much more than formal adoption of standards, principles, or innovations. Institutional adjustments must be made and the impact of national economic culture must be understood and appropriately addressed.","author":[{"dropping-particle":"","family":"Cieslewicz","given":"Joshua K.","non-dropping-particle":"","parse-names":false,"suffix":""}],"container-title":"Critical Perspectives on Accounting","id":"ITEM-1","issue":"6","issued":{"date-parts":[["2014"]]},"page":"511-528","publisher":"Elsevier Ltd","title":"Relationships between national economic culture, institutions, and accounting: Implications for IFRS","type":"article-journal","volume":"25"},"uris":["http://www.mendeley.com/documents/?uuid=bd8b2dda-b549-486f-871c-e264b81d97ee"]}],"mendeley":{"formattedCitation":"(CIESLEWICZ, 2014)","plainTextFormattedCitation":"(CIESLEWICZ, 2014)","previouslyFormattedCitation":"(CIESLEWICZ, 2014)"},"properties":{"noteIndex":0},"schema":"https://github.com/citation-style-language/schema/raw/master/csl-citation.json"}</w:instrText>
      </w:r>
      <w:r w:rsidR="00B71208"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(CIESLEWICZ, 2014)</w:t>
      </w:r>
      <w:r w:rsidR="00B71208" w:rsidRPr="000E5487">
        <w:rPr>
          <w:rFonts w:ascii="Times New Roman" w:eastAsia="Calibri" w:hAnsi="Times New Roman"/>
          <w:color w:val="000000"/>
          <w:szCs w:val="24"/>
          <w:lang w:eastAsia="en-US"/>
        </w:rPr>
        <w:fldChar w:fldCharType="end"/>
      </w:r>
      <w:r w:rsidR="00B71208"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as forças de mercado </w:t>
      </w:r>
      <w:r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{"citationItems":[{"id":"ITEM-1","itemData":{"DOI":"10.1007/s11142-013-9232-0","ISBN":"1380-6653","ISSN":"13806653","abstract":"Abstract: We study managers’ revealed preferences for fair value or historical cost accounting for non-financial assets when market forces, rather than regulators, determine the choice. We document that almost all managers pre-commit to historical cost accounting for plant, equipment, and intangible assets, suggesting that fair value for illiquid non-financial assets is associated with net firm-specific costs. However, for the more liquid assets groups, property and investment property, the observed choices suggest that fair value is often associated with net benefits. Indeed, the majority of real estate companies choose fair value over historical cost for investment property. We also find that fair value use is positively associated with reliance on debt financing. However, unlike prior studies, we conclude that this result is likely attributable to lower incremental costs of fair value reporting rather than an attempt to avoid covenant violations. Our findings contribute to the policy debate over fair value accounting for non-financial assets by documenting that the firm-specific cost of establishing reliable fair value estimates represents a barrier for fair value to become the primary valuation method on a voluntary basis.","author":[{"dropping-particle":"","family":"Christensen","given":"Hans B.","non-dropping-particle":"","parse-names":false,"suffix":""},{"dropping-particle":"V.","family":"Nikolaev","given":"Valeri","non-dropping-particle":"","parse-names":false,"suffix":""}],"container-title":"Review of Accounting Studies","id":"ITEM-1","issue":"3","issued":{"date-parts":[["2013"]]},"page":"734-775","title":"Does fair value accounting for non-financial assets pass the market test?","type":"article-journal","volume":"18"},"uris":["http://www.mendeley.com/documents/?uuid=88e7891a-0093-4f54-8058-c938b3f07227"]}],"mendeley":{"formattedCitation":"(CHRISTENSEN; NIKOLAEV, 2013)","plainTextFormattedCitation":"(CHRISTENSEN; NIKOLAEV, 2013)","previouslyFormattedCitation":"(CHRISTENSEN; NIKOLAEV, 2013)"},"properties":{"noteIndex":0},"schema":"https://github.com/citation-style-language/schema/raw/master/csl-citation.json"}</w:instrText>
      </w:r>
      <w:r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(CHRISTENSEN; NIKOLAEV, 2013)</w:t>
      </w:r>
      <w:r w:rsidRPr="000E5487">
        <w:rPr>
          <w:rFonts w:ascii="Times New Roman" w:eastAsia="Calibri" w:hAnsi="Times New Roman"/>
          <w:color w:val="000000"/>
          <w:szCs w:val="24"/>
          <w:lang w:eastAsia="en-US"/>
        </w:rPr>
        <w:fldChar w:fldCharType="end"/>
      </w:r>
      <w:r w:rsidR="004B22E1" w:rsidRPr="000E5487">
        <w:rPr>
          <w:rFonts w:ascii="Times New Roman" w:eastAsia="Calibri" w:hAnsi="Times New Roman"/>
          <w:color w:val="000000"/>
          <w:szCs w:val="24"/>
          <w:lang w:eastAsia="en-US"/>
        </w:rPr>
        <w:t xml:space="preserve">, </w:t>
      </w:r>
      <w:r w:rsidR="006E3F7D" w:rsidRPr="000E5487">
        <w:rPr>
          <w:rFonts w:ascii="Times New Roman" w:eastAsia="Calibri" w:hAnsi="Times New Roman"/>
          <w:color w:val="000000"/>
          <w:szCs w:val="24"/>
          <w:lang w:eastAsia="en-US"/>
        </w:rPr>
        <w:t xml:space="preserve">o tamanho da firma de auditoria </w:t>
      </w:r>
      <w:r w:rsidR="006E3F7D"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{"citationItems":[{"id":"ITEM-1","itemData":{"DOI":"10.1016/S1138-4891(11)70022-X","ISSN":"19884672","abstract":"The adoption of the IFRSs by EU member States in 2005 represents one of the most relevant events that have taken place to achieve the convergence of international accounting standards. In this article, we examine the annual reports of the groups listed on the Spanish Continuous Market that adopted IFRSs in 2005 in order to determine the optional accounting criteria they apply under IFRSs and, secondly, identify corporate characteristics affecting these choices. Because there are important differences across countries as a consequence of different institutional frameworks, the mandatory IFRSs adoption is an opportunity to analyze its economic effects. The main finding of this study is that Spanish groups apply the most conservative criteria to limit the number of changes they introduce related to the previous local GAAP, particularly in regards to presentation and measurement options. Additionally, we find that corporate characteristics such as industry, return on equity, size and type of audit firm (Big Four vs. non-Big Four) influence the choice of accounting methods used to prepare their financial statements. The analysis of these results provides a basis for discussion between responsible international standard setters (such as IASB and FASB) and regulators to work towards the convergence's goals.","author":[{"dropping-particle":"","family":"Martínez","given":"Juana Aledo","non-dropping-particle":"","parse-names":false,"suffix":""},{"dropping-particle":"","family":"Martínez","given":"Fernando García","non-dropping-particle":"","parse-names":false,"suffix":""},{"dropping-particle":"","family":"Diazaraque","given":"Juan Miguel Marín","non-dropping-particle":"","parse-names":false,"suffix":""}],"container-title":"Revista de Contabilidad-Spanish Accounting Review","id":"ITEM-1","issue":"1","issued":{"date-parts":[["2011"]]},"page":"59-85","publisher":"Elsevier","title":"Optional accounting criteria under IFRSs and corporate characteristics: Evidence from Spain","type":"article-journal","volume":"14"},"uris":["http://www.mendeley.com/documents/?uuid=96ec09fe-ce83-46fa-9d2e-79a47adfa30e"]}],"mendeley":{"formattedCitation":"(MARTÍNEZ; MARTÍNEZ; DIAZARAQUE, 2011)","plainTextFormattedCitation":"(MARTÍNEZ; MARTÍNEZ; DIAZARAQUE, 2011)","previouslyFormattedCitation":"(MARTÍNEZ; MARTÍNEZ; DIAZARAQUE, 2011)"},"properties":{"noteIndex":0},"schema":"https://github.com/citation-style-language/schema/raw/master/csl-citation.json"}</w:instrText>
      </w:r>
      <w:r w:rsidR="006E3F7D" w:rsidRPr="000E5487">
        <w:rPr>
          <w:rFonts w:ascii="Times New Roman" w:eastAsia="Calibri" w:hAnsi="Times New Roman"/>
          <w:color w:val="000000"/>
          <w:szCs w:val="24"/>
          <w:lang w:eastAsia="en-US"/>
        </w:rPr>
        <w:fldChar w:fldCharType="separate"/>
      </w:r>
      <w:r w:rsidR="00DE4E1B" w:rsidRPr="00DE4E1B">
        <w:rPr>
          <w:rFonts w:ascii="Times New Roman" w:eastAsia="Calibri" w:hAnsi="Times New Roman"/>
          <w:noProof/>
          <w:color w:val="000000"/>
          <w:szCs w:val="24"/>
          <w:lang w:eastAsia="en-US"/>
        </w:rPr>
        <w:t>(MARTÍNEZ; MARTÍNEZ; DIAZARAQUE, 2011)</w:t>
      </w:r>
      <w:r w:rsidR="006E3F7D" w:rsidRPr="000E5487">
        <w:rPr>
          <w:rFonts w:ascii="Times New Roman" w:eastAsia="Calibri" w:hAnsi="Times New Roman"/>
          <w:color w:val="000000"/>
          <w:szCs w:val="24"/>
          <w:lang w:eastAsia="en-US"/>
        </w:rPr>
        <w:fldChar w:fldCharType="end"/>
      </w:r>
      <w:r w:rsidR="006E3F7D" w:rsidRPr="000E5487">
        <w:rPr>
          <w:rFonts w:ascii="Times New Roman" w:eastAsia="Calibri" w:hAnsi="Times New Roman"/>
          <w:color w:val="000000"/>
          <w:szCs w:val="24"/>
          <w:lang w:eastAsia="en-US"/>
        </w:rPr>
        <w:t xml:space="preserve">, </w:t>
      </w:r>
      <w:r w:rsidR="004B22E1" w:rsidRPr="000E5487">
        <w:rPr>
          <w:rFonts w:ascii="Times New Roman" w:eastAsia="Calibri" w:hAnsi="Times New Roman"/>
          <w:color w:val="000000"/>
          <w:szCs w:val="24"/>
          <w:lang w:eastAsia="en-US"/>
        </w:rPr>
        <w:t xml:space="preserve">o modelo de negócio </w:t>
      </w:r>
      <w:r w:rsidR="00BB4E2C">
        <w:rPr>
          <w:rFonts w:ascii="Times New Roman" w:eastAsia="Calibri" w:hAnsi="Times New Roman"/>
          <w:color w:val="000000"/>
          <w:szCs w:val="24"/>
          <w:lang w:eastAsia="en-US"/>
        </w:rPr>
        <w:fldChar w:fldCharType="begin" w:fldLock="1"/>
      </w:r>
      <w:r w:rsidR="00BB4E2C">
        <w:rPr>
          <w:rFonts w:ascii="Times New Roman" w:eastAsia="Calibri" w:hAnsi="Times New Roman"/>
          <w:color w:val="000000"/>
          <w:szCs w:val="24"/>
          <w:lang w:eastAsia="en-US"/>
        </w:rPr>
        <w:instrText>ADDIN CSL_CITATION {"citationItems":[{"id":"ITEM-1","itemData":{"DOI":"10.1080/09638181003687844","ISSN":"09638180","abstract":"This paper examines whether the type of jointly controlled entity influences the management choice to report interests in this kind of joint venture using the equity method or proportionate consolidation. We address this gap in the accounting choice literature by exploiting the UK setting where, due to the transition to IFRS, firms had to change their reporting method for interests in jointly controlled entities from the gross equity method to a similar approach (equity method) or to proportionate consolidation. We support our analysis on the classification of jointly controlled entities proposed by Hennart (1988). We hypothesize that venturers are more likely to change their reporting method to proportionate consolidation when the majority of their jointly controlled entities are cases of Link instead of Scale cooperation. After controlling for several variables, our results are consistent with the predictions and thus suggest that the type of jointly controlled entity plays an important role in the management decision to report interests in jointly controlled entities using the equity method or proportionate consolidation. However, the results also provide empirical evidence supporting the importance of debt covenant costs and monitoring costs in the choice between alternative reporting methods.","author":[{"dropping-particle":"","family":"Lourenço","given":"Isabel Costa","non-dropping-particle":"","parse-names":false,"suffix":""},{"dropping-particle":"","family":"Curto","given":"José Dias","non-dropping-particle":"","parse-names":false,"suffix":""}],"container-title":"European Accounting Review","id":"ITEM-1","issue":"4","issued":{"date-parts":[["2010"]]},"page":"739-773","title":"Determinants of the accounting choice between alternative reporting methods for interests in jointly controlled entities","type":"article-journal","volume":"19"},"uris":["http://www.mendeley.com/documents/?uuid=ef03ba31-04dd-4073-a33d-0cdd5e62a227"]},{"id":"ITEM-2","itemData":{"DOI":"10.1590/1808-057x201512280","ISSN":"1519-7077","abstract":"&lt;p&gt;RESUMO O objetivo deste estudo é mostrar que o modelo de negócio das empresas de capital aberto do mercado brasileiro, que são gestoras de imóveis, explica suas escolhas contábeis de mensuração das propriedades para investimento. Para tal, foram estudadas as cinco principais empresas brasileiras gestoras de propriedades para investimento com base em metodologia que triangulou pesquisa documental, entrevistas semiestruturadas e análise de consistência. Os resultados da análise dos dados secundários da pesquisa documental das duas maiores empresas brasileiras do setor de exploração de imóveis (uma optante pelo valor justo e uma pelo custo), junto com os resultados das entrevistas com os principais agentes internos e externos das empresas, envolvidos direta ou indiretamente nas escolhas de mensuração de propriedades para investimento, indicaram que o modelo de negócio diferenciado das empresas explica suas distintas escolhas contábeis de mensuração das propriedades para investimento. Para dar consistência a esses achados, foram analisados posteriormente os modelos de negócios das três maiores empresas brasileiras gestoras de propriedades para investimento seguintes (duas optantes pelo valor justo e uma optante pelo custo), confrontando-os com suas escolhas contábeis. Observou-se que há consistência entre os modelos de negócios e as escolhas contábeis, corroborando os resultados anteriores. Embora a generalização dos resultados não seja possível em função da pequena quantidade de empresas estudadas e do setor específico, as evidências indicam que as escolhas contábeis podem ser explicadas por um conjunto integrado de fatores considerados isoladamente na literatura. A existência de vários fatores que interagem entre si e explicam as escolhas contábeis, em detrimento de fatores isolados, pode contribuir para a ampliação do conhecimento nessa temática.&lt;/p&gt;","author":[{"dropping-particle":"","family":"Pinto","given":"Murillo José Torello","non-dropping-particle":"","parse-names":false,"suffix":""},{"dropping-particle":"","family":"Martins","given":"Vinícius Aversari","non-dropping-particle":"","parse-names":false,"suffix":""},{"dropping-particle":"da","family":"Silva","given":"Denise Mendes","non-dropping-particle":"","parse-names":false,"suffix":""}],"container-title":"Revista Contabilidade &amp; Finanças","id":"ITEM-2","issue":"69","issued":{"date-parts":[["2015"]]},"page":"274-289","title":"Escolhas Contábeis: o Caso Brasileiro das Propriedades para Investimento","type":"article-journal","volume":"26"},"uris":["http://www.mendeley.com/documents/?uuid=58eeb6cc-f106-4c00-b28c-1d4a5c114e43"]}],"mendeley":{"formattedCitation":"(LOURENÇO; CURTO, 2010; PINTO; MARTINS; SILVA, 2015)","plainTextFormattedCitation":"(LOURENÇO; CURTO, 2010; PINTO; MARTINS; SILVA, 2015)","previouslyFormattedCitation":"(LOURENÇO; CURTO, 2010; PINTO; MARTINS; SILVA, 2015)"},"properties":{"noteIndex":0},"schema":"https://github.com/citation-style-language/schema/raw/master/csl-citation.json"}</w:instrText>
      </w:r>
      <w:r w:rsidR="00BB4E2C">
        <w:rPr>
          <w:rFonts w:ascii="Times New Roman" w:eastAsia="Calibri" w:hAnsi="Times New Roman"/>
          <w:color w:val="000000"/>
          <w:szCs w:val="24"/>
          <w:lang w:eastAsia="en-US"/>
        </w:rPr>
        <w:fldChar w:fldCharType="separate"/>
      </w:r>
      <w:r w:rsidR="00BB4E2C" w:rsidRPr="00BB4E2C">
        <w:rPr>
          <w:rFonts w:ascii="Times New Roman" w:eastAsia="Calibri" w:hAnsi="Times New Roman"/>
          <w:noProof/>
          <w:color w:val="000000"/>
          <w:szCs w:val="24"/>
          <w:lang w:eastAsia="en-US"/>
        </w:rPr>
        <w:t>(LOURENÇO; CURTO, 2010; PINTO; MARTINS; SILVA, 2015)</w:t>
      </w:r>
      <w:r w:rsidR="00BB4E2C">
        <w:rPr>
          <w:rFonts w:ascii="Times New Roman" w:eastAsia="Calibri" w:hAnsi="Times New Roman"/>
          <w:color w:val="000000"/>
          <w:szCs w:val="24"/>
          <w:lang w:eastAsia="en-US"/>
        </w:rPr>
        <w:fldChar w:fldCharType="end"/>
      </w:r>
      <w:r w:rsidR="006E3F7D" w:rsidRPr="000E5487">
        <w:rPr>
          <w:rFonts w:ascii="Times New Roman" w:eastAsia="Calibri" w:hAnsi="Times New Roman"/>
          <w:color w:val="000000"/>
          <w:szCs w:val="24"/>
          <w:lang w:eastAsia="en-US"/>
        </w:rPr>
        <w:t xml:space="preserve">, o status </w:t>
      </w:r>
      <w:r w:rsidR="006E3F7D" w:rsidRPr="000E5487">
        <w:rPr>
          <w:rFonts w:ascii="Times New Roman" w:eastAsia="Calibri" w:hAnsi="Times New Roman"/>
          <w:i/>
          <w:color w:val="000000"/>
          <w:szCs w:val="24"/>
          <w:lang w:eastAsia="en-US"/>
        </w:rPr>
        <w:t>quo</w:t>
      </w:r>
      <w:r w:rsidR="006E3F7D" w:rsidRPr="000E5487">
        <w:rPr>
          <w:rFonts w:ascii="Times New Roman" w:eastAsia="Calibri" w:hAnsi="Times New Roman"/>
          <w:color w:val="000000"/>
          <w:szCs w:val="24"/>
          <w:lang w:eastAsia="en-US"/>
        </w:rPr>
        <w:t xml:space="preserve"> e o conservadorismo </w:t>
      </w:r>
      <w:r w:rsidR="00BB4E2C">
        <w:rPr>
          <w:rFonts w:ascii="Times New Roman" w:eastAsia="Calibri" w:hAnsi="Times New Roman"/>
          <w:color w:val="000000"/>
          <w:szCs w:val="24"/>
          <w:lang w:eastAsia="en-US"/>
        </w:rPr>
        <w:fldChar w:fldCharType="begin" w:fldLock="1"/>
      </w:r>
      <w:r w:rsidR="00BB4E2C">
        <w:rPr>
          <w:rFonts w:ascii="Times New Roman" w:eastAsia="Calibri" w:hAnsi="Times New Roman"/>
          <w:color w:val="000000"/>
          <w:szCs w:val="24"/>
          <w:lang w:eastAsia="en-US"/>
        </w:rPr>
        <w:instrText>ADDIN CSL_CITATION {"citationItems":[{"id":"ITEM-1","itemData":{"DOI":"10.1016/S1138-4891(11)70022-X","ISSN":"19884672","abstract":"The adoption of the IFRSs by EU member States in 2005 represents one of the most relevant events that have taken place to achieve the convergence of international accounting standards. In this article, we examine the annual reports of the groups listed on the Spanish Continuous Market that adopted IFRSs in 2005 in order to determine the optional accounting criteria they apply under IFRSs and, secondly, identify corporate characteristics affecting these choices. Because there are important differences across countries as a consequence of different institutional frameworks, the mandatory IFRSs adoption is an opportunity to analyze its economic effects. The main finding of this study is that Spanish groups apply the most conservative criteria to limit the number of changes they introduce related to the previous local GAAP, particularly in regards to presentation and measurement options. Additionally, we find that corporate characteristics such as industry, return on equity, size and type of audit firm (Big Four vs. non-Big Four) influence the choice of accounting methods used to prepare their financial statements. The analysis of these results provides a basis for discussion between responsible international standard setters (such as IASB and FASB) and regulators to work towards the convergence's goals.","author":[{"dropping-particle":"","family":"Martínez","given":"Juana Aledo","non-dropping-particle":"","parse-names":false,"suffix":""},{"dropping-particle":"","family":"Martínez","given":"Fernando García","non-dropping-particle":"","parse-names":false,"suffix":""},{"dropping-particle":"","family":"Diazaraque","given":"Juan Miguel Marín","non-dropping-particle":"","parse-names":false,"suffix":""}],"container-title":"Revista de Contabilidad-Spanish Accounting Review","id":"ITEM-1","issue":"1","issued":{"date-parts":[["2011"]]},"page":"59-85","publisher":"Elsevier","title":"Optional accounting criteria under IFRSs and corporate characteristics: Evidence from Spain","type":"article-journal","volume":"14"},"uris":["http://www.mendeley.com/documents/?uuid=96ec09fe-ce83-46fa-9d2e-79a47adfa30e"]}],"mendeley":{"formattedCitation":"(MARTÍNEZ; MARTÍNEZ; DIAZARAQUE, 2011)","plainTextFormattedCitation":"(MARTÍNEZ; MARTÍNEZ; DIAZARAQUE, 2011)","previouslyFormattedCitation":"(MARTÍNEZ; MARTÍNEZ; DIAZARAQUE, 2011)"},"properties":{"noteIndex":0},"schema":"https://github.com/citation-style-language/schema/raw/master/csl-citation.json"}</w:instrText>
      </w:r>
      <w:r w:rsidR="00BB4E2C">
        <w:rPr>
          <w:rFonts w:ascii="Times New Roman" w:eastAsia="Calibri" w:hAnsi="Times New Roman"/>
          <w:color w:val="000000"/>
          <w:szCs w:val="24"/>
          <w:lang w:eastAsia="en-US"/>
        </w:rPr>
        <w:fldChar w:fldCharType="separate"/>
      </w:r>
      <w:r w:rsidR="00BB4E2C" w:rsidRPr="00BB4E2C">
        <w:rPr>
          <w:rFonts w:ascii="Times New Roman" w:eastAsia="Calibri" w:hAnsi="Times New Roman"/>
          <w:noProof/>
          <w:color w:val="000000"/>
          <w:szCs w:val="24"/>
          <w:lang w:eastAsia="en-US"/>
        </w:rPr>
        <w:t>(MARTÍNEZ; MARTÍNEZ; DIAZARAQUE, 2011)</w:t>
      </w:r>
      <w:r w:rsidR="00BB4E2C">
        <w:rPr>
          <w:rFonts w:ascii="Times New Roman" w:eastAsia="Calibri" w:hAnsi="Times New Roman"/>
          <w:color w:val="000000"/>
          <w:szCs w:val="24"/>
          <w:lang w:eastAsia="en-US"/>
        </w:rPr>
        <w:fldChar w:fldCharType="end"/>
      </w:r>
      <w:r w:rsidR="006E3F7D" w:rsidRPr="000E5487">
        <w:rPr>
          <w:rFonts w:ascii="Times New Roman" w:eastAsia="Calibri" w:hAnsi="Times New Roman"/>
          <w:color w:val="000000"/>
          <w:szCs w:val="24"/>
          <w:lang w:eastAsia="en-US"/>
        </w:rPr>
        <w:t xml:space="preserve">, </w:t>
      </w:r>
      <w:r w:rsidR="0056595C" w:rsidRPr="000E5487">
        <w:rPr>
          <w:rFonts w:ascii="Times New Roman" w:eastAsia="Calibri" w:hAnsi="Times New Roman"/>
          <w:color w:val="000000"/>
          <w:szCs w:val="24"/>
          <w:lang w:eastAsia="en-US"/>
        </w:rPr>
        <w:t xml:space="preserve"> podem explicar as escolhas contábeis.</w:t>
      </w:r>
    </w:p>
    <w:p w:rsidR="0056595C" w:rsidRPr="000E5487" w:rsidRDefault="00D313C0"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Seguindo a estrutura teórica derivada da Teoria da Escolha Contábil</w:t>
      </w:r>
      <w:r w:rsidR="00363D13"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onde a assimetria de informação, a eficiência contratual (custos de agência) e </w:t>
      </w:r>
      <w:r w:rsidR="00363D13" w:rsidRPr="000E5487">
        <w:rPr>
          <w:rFonts w:ascii="Times New Roman" w:eastAsia="Calibri" w:hAnsi="Times New Roman"/>
          <w:color w:val="000000"/>
          <w:szCs w:val="24"/>
          <w:lang w:eastAsia="en-US"/>
        </w:rPr>
        <w:t>o</w:t>
      </w:r>
      <w:r w:rsidRPr="000E5487">
        <w:rPr>
          <w:rFonts w:ascii="Times New Roman" w:eastAsia="Calibri" w:hAnsi="Times New Roman"/>
          <w:color w:val="000000"/>
          <w:szCs w:val="24"/>
          <w:lang w:eastAsia="en-US"/>
        </w:rPr>
        <w:t xml:space="preserve"> oportunismo gerencial poderiam conduzir a escolha contábil, </w:t>
      </w:r>
      <w:r w:rsidR="00BB4E2C">
        <w:rPr>
          <w:rFonts w:ascii="Times New Roman" w:eastAsia="Calibri" w:hAnsi="Times New Roman"/>
          <w:color w:val="000000"/>
          <w:szCs w:val="24"/>
          <w:lang w:eastAsia="en-US"/>
        </w:rPr>
        <w:fldChar w:fldCharType="begin" w:fldLock="1"/>
      </w:r>
      <w:r w:rsidR="00BB4E2C">
        <w:rPr>
          <w:rFonts w:ascii="Times New Roman" w:eastAsia="Calibri" w:hAnsi="Times New Roman"/>
          <w:color w:val="000000"/>
          <w:szCs w:val="24"/>
          <w:lang w:eastAsia="en-US"/>
        </w:rPr>
        <w:instrText>ADDIN CSL_CITATION {"citationItems":[{"id":"ITEM-1","itemData":{"DOI":"10.1080/09638180.2010.496547","ISBN":"0963-8180","ISSN":"09638180","abstract":"The IFRS mandatory adoption in European countries is an excellent\\ncontext from which to assess the validity of accounting choice theory,\\nwhich postulates that information asymmetry, contractual efficiency\\n(agency costs) and managerial opportunism reasons could drive the\\nchoice. With this aim, we test the impact of these factors to explain\\nthe adoption of fair value for investment properties (IAS 40) in the\\nreal estate industry, taking into account the `revaluation' option\\noffered by IFRS1 and using historical cost without revaluations as a\\nbaseline category for comparison purposes. We select a sample of\\nEuropean real estate companies from Finland, France, Germany, Greece,\\nItaly, Spain and Sweden, all first-time adopters of the IFRS. Using a\\nmultinomial logistic model, we show that information asymmetry,\\ncontractual efficiency and managerial opportunism could account for the\\nfair value choice. Particularly, the most significant findings are that\\nsize as a proxy of political costs reduces the likelihood of using fair\\nvalue while market-to-book ratio is negatively associated with the fair\\nvalue choice. On the other hand, leverage, another typical proxy of\\ncontracting costs, seems not to influence the choice. This evidence\\nconfirms the current validity of traditional accounting choice theory\\neven if it reveals, in such a context, the irrelevance of the usual\\nrelations between accounting choice and leverage.","author":[{"dropping-particle":"","family":"Quagli","given":"A.","non-dropping-particle":"","parse-names":false,"suffix":""},{"dropping-particle":"","family":"Avallone","given":"F.","non-dropping-particle":"","parse-names":false,"suffix":""}],"container-title":"European Accounting Review","id":"ITEM-1","issue":"3","issued":{"date-parts":[["2010"]]},"page":"461-493","title":"Fair value or cost model? Drivers of choice for IAS 40 in the real estate industry","type":"article-journal","volume":"19"},"uris":["http://www.mendeley.com/documents/?uuid=7c29e25a-5a43-45b6-91c2-d5a79b044963"]}],"mendeley":{"formattedCitation":"(QUAGLI; AVALLONE, 2010)","manualFormatting":"Quagli e Avallone (2010)","plainTextFormattedCitation":"(QUAGLI; AVALLONE, 2010)","previouslyFormattedCitation":"(QUAGLI; AVALLONE, 2010)"},"properties":{"noteIndex":0},"schema":"https://github.com/citation-style-language/schema/raw/master/csl-citation.json"}</w:instrText>
      </w:r>
      <w:r w:rsidR="00BB4E2C">
        <w:rPr>
          <w:rFonts w:ascii="Times New Roman" w:eastAsia="Calibri" w:hAnsi="Times New Roman"/>
          <w:color w:val="000000"/>
          <w:szCs w:val="24"/>
          <w:lang w:eastAsia="en-US"/>
        </w:rPr>
        <w:fldChar w:fldCharType="separate"/>
      </w:r>
      <w:r w:rsidR="00BB4E2C" w:rsidRPr="00BB4E2C">
        <w:rPr>
          <w:rFonts w:ascii="Times New Roman" w:eastAsia="Calibri" w:hAnsi="Times New Roman"/>
          <w:noProof/>
          <w:color w:val="000000"/>
          <w:szCs w:val="24"/>
          <w:lang w:eastAsia="en-US"/>
        </w:rPr>
        <w:t>Q</w:t>
      </w:r>
      <w:r w:rsidR="00BB4E2C">
        <w:rPr>
          <w:rFonts w:ascii="Times New Roman" w:eastAsia="Calibri" w:hAnsi="Times New Roman"/>
          <w:noProof/>
          <w:color w:val="000000"/>
          <w:szCs w:val="24"/>
          <w:lang w:eastAsia="en-US"/>
        </w:rPr>
        <w:t>uagli e</w:t>
      </w:r>
      <w:r w:rsidR="00BB4E2C" w:rsidRPr="00BB4E2C">
        <w:rPr>
          <w:rFonts w:ascii="Times New Roman" w:eastAsia="Calibri" w:hAnsi="Times New Roman"/>
          <w:noProof/>
          <w:color w:val="000000"/>
          <w:szCs w:val="24"/>
          <w:lang w:eastAsia="en-US"/>
        </w:rPr>
        <w:t xml:space="preserve"> Avallone </w:t>
      </w:r>
      <w:r w:rsidR="00BB4E2C">
        <w:rPr>
          <w:rFonts w:ascii="Times New Roman" w:eastAsia="Calibri" w:hAnsi="Times New Roman"/>
          <w:noProof/>
          <w:color w:val="000000"/>
          <w:szCs w:val="24"/>
          <w:lang w:eastAsia="en-US"/>
        </w:rPr>
        <w:t>(</w:t>
      </w:r>
      <w:r w:rsidR="00BB4E2C" w:rsidRPr="00BB4E2C">
        <w:rPr>
          <w:rFonts w:ascii="Times New Roman" w:eastAsia="Calibri" w:hAnsi="Times New Roman"/>
          <w:noProof/>
          <w:color w:val="000000"/>
          <w:szCs w:val="24"/>
          <w:lang w:eastAsia="en-US"/>
        </w:rPr>
        <w:t>2010)</w:t>
      </w:r>
      <w:r w:rsidR="00BB4E2C">
        <w:rPr>
          <w:rFonts w:ascii="Times New Roman" w:eastAsia="Calibri" w:hAnsi="Times New Roman"/>
          <w:color w:val="000000"/>
          <w:szCs w:val="24"/>
          <w:lang w:eastAsia="en-US"/>
        </w:rPr>
        <w:fldChar w:fldCharType="end"/>
      </w:r>
      <w:r w:rsidR="00BB4E2C">
        <w:rPr>
          <w:rFonts w:ascii="Times New Roman" w:eastAsia="Calibri" w:hAnsi="Times New Roman"/>
          <w:color w:val="000000"/>
          <w:szCs w:val="24"/>
          <w:lang w:eastAsia="en-US"/>
        </w:rPr>
        <w:t xml:space="preserve"> </w:t>
      </w:r>
      <w:r w:rsidR="00363D13" w:rsidRPr="000E5487">
        <w:rPr>
          <w:rFonts w:ascii="Times New Roman" w:eastAsia="Calibri" w:hAnsi="Times New Roman"/>
          <w:color w:val="000000"/>
          <w:szCs w:val="24"/>
          <w:lang w:eastAsia="en-US"/>
        </w:rPr>
        <w:t>analisaram</w:t>
      </w:r>
      <w:r w:rsidRPr="000E5487">
        <w:rPr>
          <w:rFonts w:ascii="Times New Roman" w:eastAsia="Calibri" w:hAnsi="Times New Roman"/>
          <w:color w:val="000000"/>
          <w:szCs w:val="24"/>
          <w:lang w:eastAsia="en-US"/>
        </w:rPr>
        <w:t xml:space="preserve"> a escolha pelo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ao custo histórico na avaliação das propriedades de investimento (IAS 40) no setor imobiliário europeu. Os resultados mostram que a assimetria de informação, a eficiência contratual e o oportunismo gerencial explicam a escolha pelo </w:t>
      </w:r>
      <w:r w:rsidRPr="000E5487">
        <w:rPr>
          <w:rFonts w:ascii="Times New Roman" w:eastAsia="Calibri" w:hAnsi="Times New Roman"/>
          <w:i/>
          <w:color w:val="000000"/>
          <w:szCs w:val="24"/>
          <w:lang w:eastAsia="en-US"/>
        </w:rPr>
        <w:t>fair value</w:t>
      </w:r>
      <w:r w:rsidRPr="000E5487">
        <w:rPr>
          <w:rFonts w:ascii="Times New Roman" w:hAnsi="Times New Roman"/>
        </w:rPr>
        <w:t xml:space="preserve"> </w:t>
      </w:r>
      <w:r w:rsidR="00BB4E2C">
        <w:rPr>
          <w:rFonts w:ascii="Times New Roman" w:hAnsi="Times New Roman"/>
        </w:rPr>
        <w:fldChar w:fldCharType="begin" w:fldLock="1"/>
      </w:r>
      <w:r w:rsidR="00BB4E2C">
        <w:rPr>
          <w:rFonts w:ascii="Times New Roman" w:hAnsi="Times New Roman"/>
        </w:rPr>
        <w:instrText>ADDIN CSL_CITATION {"citationItems":[{"id":"ITEM-1","itemData":{"DOI":"10.1080/09638180.2010.496547","ISBN":"0963-8180","ISSN":"09638180","abstract":"The IFRS mandatory adoption in European countries is an excellent\\ncontext from which to assess the validity of accounting choice theory,\\nwhich postulates that information asymmetry, contractual efficiency\\n(agency costs) and managerial opportunism reasons could drive the\\nchoice. With this aim, we test the impact of these factors to explain\\nthe adoption of fair value for investment properties (IAS 40) in the\\nreal estate industry, taking into account the `revaluation' option\\noffered by IFRS1 and using historical cost without revaluations as a\\nbaseline category for comparison purposes. We select a sample of\\nEuropean real estate companies from Finland, France, Germany, Greece,\\nItaly, Spain and Sweden, all first-time adopters of the IFRS. Using a\\nmultinomial logistic model, we show that information asymmetry,\\ncontractual efficiency and managerial opportunism could account for the\\nfair value choice. Particularly, the most significant findings are that\\nsize as a proxy of political costs reduces the likelihood of using fair\\nvalue while market-to-book ratio is negatively associated with the fair\\nvalue choice. On the other hand, leverage, another typical proxy of\\ncontracting costs, seems not to influence the choice. This evidence\\nconfirms the current validity of traditional accounting choice theory\\neven if it reveals, in such a context, the irrelevance of the usual\\nrelations between accounting choice and leverage.","author":[{"dropping-particle":"","family":"Quagli","given":"A.","non-dropping-particle":"","parse-names":false,"suffix":""},{"dropping-particle":"","family":"Avallone","given":"F.","non-dropping-particle":"","parse-names":false,"suffix":""}],"container-title":"European Accounting Review","id":"ITEM-1","issue":"3","issued":{"date-parts":[["2010"]]},"page":"461-493","title":"Fair value or cost model? Drivers of choice for IAS 40 in the real estate industry","type":"article-journal","volume":"19"},"uris":["http://www.mendeley.com/documents/?uuid=7c29e25a-5a43-45b6-91c2-d5a79b044963"]}],"mendeley":{"formattedCitation":"(QUAGLI; AVALLONE, 2010)","plainTextFormattedCitation":"(QUAGLI; AVALLONE, 2010)","previouslyFormattedCitation":"(QUAGLI; AVALLONE, 2010)"},"properties":{"noteIndex":0},"schema":"https://github.com/citation-style-language/schema/raw/master/csl-citation.json"}</w:instrText>
      </w:r>
      <w:r w:rsidR="00BB4E2C">
        <w:rPr>
          <w:rFonts w:ascii="Times New Roman" w:hAnsi="Times New Roman"/>
        </w:rPr>
        <w:fldChar w:fldCharType="separate"/>
      </w:r>
      <w:r w:rsidR="00BB4E2C" w:rsidRPr="00BB4E2C">
        <w:rPr>
          <w:rFonts w:ascii="Times New Roman" w:hAnsi="Times New Roman"/>
          <w:noProof/>
        </w:rPr>
        <w:t>(QUAGLI; AVALLONE, 2010)</w:t>
      </w:r>
      <w:r w:rsidR="00BB4E2C">
        <w:rPr>
          <w:rFonts w:ascii="Times New Roman" w:hAnsi="Times New Roman"/>
        </w:rPr>
        <w:fldChar w:fldCharType="end"/>
      </w:r>
      <w:r w:rsidR="00995018" w:rsidRPr="000E5487">
        <w:rPr>
          <w:rFonts w:ascii="Times New Roman" w:eastAsia="Calibri" w:hAnsi="Times New Roman"/>
          <w:color w:val="000000"/>
          <w:szCs w:val="24"/>
          <w:lang w:eastAsia="en-US"/>
        </w:rPr>
        <w:t>, corroborando com os pressupostos tradicionais da teoria</w:t>
      </w:r>
      <w:r w:rsidRPr="000E5487">
        <w:rPr>
          <w:rFonts w:ascii="Times New Roman" w:eastAsia="Calibri" w:hAnsi="Times New Roman"/>
          <w:color w:val="000000"/>
          <w:szCs w:val="24"/>
          <w:lang w:eastAsia="en-US"/>
        </w:rPr>
        <w:t>.</w:t>
      </w:r>
      <w:r w:rsidR="00A8238A" w:rsidRPr="000E5487">
        <w:rPr>
          <w:rFonts w:ascii="Times New Roman" w:eastAsia="Calibri" w:hAnsi="Times New Roman"/>
          <w:color w:val="000000"/>
          <w:szCs w:val="24"/>
          <w:lang w:eastAsia="en-US"/>
        </w:rPr>
        <w:t xml:space="preserve"> Os autores sugerem </w:t>
      </w:r>
      <w:r w:rsidR="00976144" w:rsidRPr="000E5487">
        <w:rPr>
          <w:rFonts w:ascii="Times New Roman" w:eastAsia="Calibri" w:hAnsi="Times New Roman"/>
          <w:color w:val="000000"/>
          <w:szCs w:val="24"/>
          <w:lang w:eastAsia="en-US"/>
        </w:rPr>
        <w:t xml:space="preserve">ainda, </w:t>
      </w:r>
      <w:r w:rsidR="00A8238A" w:rsidRPr="000E5487">
        <w:rPr>
          <w:rFonts w:ascii="Times New Roman" w:eastAsia="Calibri" w:hAnsi="Times New Roman"/>
          <w:color w:val="000000"/>
          <w:szCs w:val="24"/>
          <w:lang w:eastAsia="en-US"/>
        </w:rPr>
        <w:t xml:space="preserve">que o </w:t>
      </w:r>
      <w:r w:rsidR="00A8238A" w:rsidRPr="000E5487">
        <w:rPr>
          <w:rFonts w:ascii="Times New Roman" w:eastAsia="Calibri" w:hAnsi="Times New Roman"/>
          <w:i/>
          <w:color w:val="000000"/>
          <w:szCs w:val="24"/>
          <w:lang w:eastAsia="en-US"/>
        </w:rPr>
        <w:t>background</w:t>
      </w:r>
      <w:r w:rsidR="00A8238A" w:rsidRPr="000E5487">
        <w:rPr>
          <w:rFonts w:ascii="Times New Roman" w:eastAsia="Calibri" w:hAnsi="Times New Roman"/>
          <w:color w:val="000000"/>
          <w:szCs w:val="24"/>
          <w:lang w:eastAsia="en-US"/>
        </w:rPr>
        <w:t xml:space="preserve"> cultural individual dos gestores, o custo da informação e a governança cor</w:t>
      </w:r>
      <w:r w:rsidR="00CB1F8E">
        <w:rPr>
          <w:rFonts w:ascii="Times New Roman" w:eastAsia="Calibri" w:hAnsi="Times New Roman"/>
          <w:color w:val="000000"/>
          <w:szCs w:val="24"/>
          <w:lang w:eastAsia="en-US"/>
        </w:rPr>
        <w:t>p</w:t>
      </w:r>
      <w:r w:rsidR="00A8238A" w:rsidRPr="000E5487">
        <w:rPr>
          <w:rFonts w:ascii="Times New Roman" w:eastAsia="Calibri" w:hAnsi="Times New Roman"/>
          <w:color w:val="000000"/>
          <w:szCs w:val="24"/>
          <w:lang w:eastAsia="en-US"/>
        </w:rPr>
        <w:t>orativa</w:t>
      </w:r>
      <w:r w:rsidR="00EA5320" w:rsidRPr="000E5487">
        <w:rPr>
          <w:rFonts w:ascii="Times New Roman" w:eastAsia="Calibri" w:hAnsi="Times New Roman"/>
          <w:color w:val="000000"/>
          <w:szCs w:val="24"/>
          <w:lang w:eastAsia="en-US"/>
        </w:rPr>
        <w:t xml:space="preserve"> também</w:t>
      </w:r>
      <w:r w:rsidR="00A8238A" w:rsidRPr="000E5487">
        <w:rPr>
          <w:rFonts w:ascii="Times New Roman" w:eastAsia="Calibri" w:hAnsi="Times New Roman"/>
          <w:color w:val="000000"/>
          <w:szCs w:val="24"/>
          <w:lang w:eastAsia="en-US"/>
        </w:rPr>
        <w:t xml:space="preserve"> podem </w:t>
      </w:r>
      <w:r w:rsidR="00EA5320" w:rsidRPr="000E5487">
        <w:rPr>
          <w:rFonts w:ascii="Times New Roman" w:eastAsia="Calibri" w:hAnsi="Times New Roman"/>
          <w:color w:val="000000"/>
          <w:szCs w:val="24"/>
          <w:lang w:eastAsia="en-US"/>
        </w:rPr>
        <w:t>explicar</w:t>
      </w:r>
      <w:r w:rsidR="00A8238A" w:rsidRPr="000E5487">
        <w:rPr>
          <w:rFonts w:ascii="Times New Roman" w:eastAsia="Calibri" w:hAnsi="Times New Roman"/>
          <w:color w:val="000000"/>
          <w:szCs w:val="24"/>
          <w:lang w:eastAsia="en-US"/>
        </w:rPr>
        <w:t xml:space="preserve"> as escolhas contábeis.</w:t>
      </w:r>
    </w:p>
    <w:p w:rsidR="000D0D25" w:rsidRPr="000E5487" w:rsidRDefault="00BB4E2C"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fldChar w:fldCharType="begin" w:fldLock="1"/>
      </w:r>
      <w:r w:rsidR="00ED5C86">
        <w:rPr>
          <w:rFonts w:ascii="Times New Roman" w:eastAsia="Calibri" w:hAnsi="Times New Roman"/>
          <w:color w:val="000000"/>
          <w:szCs w:val="24"/>
          <w:lang w:eastAsia="en-US"/>
        </w:rPr>
        <w:instrText>ADDIN CSL_CITATION {"citationItems":[{"id":"ITEM-1","itemData":{"DOI":"10.1111/j.1835-2561.2012.00203.x","ISSN":"10356908","abstract":"Previous research on the International Financial Reporting Standards\\n(IFRS) policy choices of large listed companies found a very strong\\nassociation between policy choice and country. Nationally based pre-IFRS\\npractices largely explain IFRS policy choices. Nevertheless, some of the\\npolicy choices appear to be influenced from abroad, perhaps chosen in\\norder to increase comparability. It has been suggested that smaller\\ncompanies might be less influenced from abroad, and therefore might\\ndisplay even clearer national profiles of IFRS practice. This paper\\nexamines the accounting policy choices made within IFRS financial\\nstatements by small listed companies in five major countries. We find\\nhighly significant differences between the policies of small and large\\ncompanies. We also find that small companies make more homogeneous\\nchoices, within a country, than large companies do. As a result, the\\npreviously published national profiles of the IFRS practices of large\\ncompanies are misleading in the context of smaller ones.","author":[{"dropping-particle":"","family":"Nobes","given":"Christopher","non-dropping-particle":"","parse-names":false,"suffix":""},{"dropping-particle":"","family":"Perramon","given":"Jordi","non-dropping-particle":"","parse-names":false,"suffix":""}],"container-title":"Australian Accounting Review","id":"ITEM-1","issue":"3","issued":{"date-parts":[["2013"]]},"page":"208-215","title":"Firm size and national profiles of ifrs policy choice","type":"article-journal","volume":"23"},"uris":["http://www.mendeley.com/documents/?uuid=7d9190c0-5370-47d3-aba4-df69c40997f6"]}],"mendeley":{"formattedCitation":"(NOBES; PERRAMON, 2013)","manualFormatting":"Nobes e Perramon (2013)","plainTextFormattedCitation":"(NOBES; PERRAMON, 2013)","previouslyFormattedCitation":"(NOBES; PERRAMON, 2013)"},"properties":{"noteIndex":0},"schema":"https://github.com/citation-style-language/schema/raw/master/csl-citation.json"}</w:instrText>
      </w:r>
      <w:r>
        <w:rPr>
          <w:rFonts w:ascii="Times New Roman" w:eastAsia="Calibri" w:hAnsi="Times New Roman"/>
          <w:color w:val="000000"/>
          <w:szCs w:val="24"/>
          <w:lang w:eastAsia="en-US"/>
        </w:rPr>
        <w:fldChar w:fldCharType="separate"/>
      </w:r>
      <w:r w:rsidRPr="00BB4E2C">
        <w:rPr>
          <w:rFonts w:ascii="Times New Roman" w:eastAsia="Calibri" w:hAnsi="Times New Roman"/>
          <w:noProof/>
          <w:color w:val="000000"/>
          <w:szCs w:val="24"/>
          <w:lang w:eastAsia="en-US"/>
        </w:rPr>
        <w:t>Nobes</w:t>
      </w:r>
      <w:r>
        <w:rPr>
          <w:rFonts w:ascii="Times New Roman" w:eastAsia="Calibri" w:hAnsi="Times New Roman"/>
          <w:noProof/>
          <w:color w:val="000000"/>
          <w:szCs w:val="24"/>
          <w:lang w:eastAsia="en-US"/>
        </w:rPr>
        <w:t xml:space="preserve"> e</w:t>
      </w:r>
      <w:r w:rsidRPr="00BB4E2C">
        <w:rPr>
          <w:rFonts w:ascii="Times New Roman" w:eastAsia="Calibri" w:hAnsi="Times New Roman"/>
          <w:noProof/>
          <w:color w:val="000000"/>
          <w:szCs w:val="24"/>
          <w:lang w:eastAsia="en-US"/>
        </w:rPr>
        <w:t xml:space="preserve"> Perramon </w:t>
      </w:r>
      <w:r>
        <w:rPr>
          <w:rFonts w:ascii="Times New Roman" w:eastAsia="Calibri" w:hAnsi="Times New Roman"/>
          <w:noProof/>
          <w:color w:val="000000"/>
          <w:szCs w:val="24"/>
          <w:lang w:eastAsia="en-US"/>
        </w:rPr>
        <w:t>(</w:t>
      </w:r>
      <w:r w:rsidRPr="00BB4E2C">
        <w:rPr>
          <w:rFonts w:ascii="Times New Roman" w:eastAsia="Calibri" w:hAnsi="Times New Roman"/>
          <w:noProof/>
          <w:color w:val="000000"/>
          <w:szCs w:val="24"/>
          <w:lang w:eastAsia="en-US"/>
        </w:rPr>
        <w:t>2013)</w:t>
      </w:r>
      <w:r>
        <w:rPr>
          <w:rFonts w:ascii="Times New Roman" w:eastAsia="Calibri" w:hAnsi="Times New Roman"/>
          <w:color w:val="000000"/>
          <w:szCs w:val="24"/>
          <w:lang w:eastAsia="en-US"/>
        </w:rPr>
        <w:fldChar w:fldCharType="end"/>
      </w:r>
      <w:r w:rsidR="000D0D25" w:rsidRPr="000E5487">
        <w:rPr>
          <w:rFonts w:ascii="Times New Roman" w:eastAsia="Calibri" w:hAnsi="Times New Roman"/>
          <w:color w:val="000000"/>
          <w:szCs w:val="24"/>
          <w:lang w:eastAsia="en-US"/>
        </w:rPr>
        <w:t xml:space="preserve"> analisaram as escolhas contábeis feitas no contexto das IFRS por empresas da Alemanha, Austrália, Espanha, França e Reino Unido. Os  autores encontraram diferenças altamente significativas entre as políticas e práticas contábeis de pequenas e grandes empresas. As pequenas empresas fazem escolhas mais homogêneas do que as grande</w:t>
      </w:r>
      <w:r w:rsidR="00C25D57">
        <w:rPr>
          <w:rFonts w:ascii="Times New Roman" w:eastAsia="Calibri" w:hAnsi="Times New Roman"/>
          <w:color w:val="000000"/>
          <w:szCs w:val="24"/>
          <w:lang w:eastAsia="en-US"/>
        </w:rPr>
        <w:t>s</w:t>
      </w:r>
      <w:r w:rsidR="000D0D25" w:rsidRPr="000E5487">
        <w:rPr>
          <w:rFonts w:ascii="Times New Roman" w:eastAsia="Calibri" w:hAnsi="Times New Roman"/>
          <w:color w:val="000000"/>
          <w:szCs w:val="24"/>
          <w:lang w:eastAsia="en-US"/>
        </w:rPr>
        <w:t xml:space="preserve">, demonstrando que o tamanho da empresa influencia as escolhas contábeis </w:t>
      </w:r>
      <w:r w:rsidR="00ED5C86">
        <w:rPr>
          <w:rFonts w:ascii="Times New Roman" w:eastAsia="Calibri" w:hAnsi="Times New Roman"/>
          <w:color w:val="000000"/>
          <w:szCs w:val="24"/>
          <w:lang w:eastAsia="en-US"/>
        </w:rPr>
        <w:fldChar w:fldCharType="begin" w:fldLock="1"/>
      </w:r>
      <w:r w:rsidR="00220D37">
        <w:rPr>
          <w:rFonts w:ascii="Times New Roman" w:eastAsia="Calibri" w:hAnsi="Times New Roman"/>
          <w:color w:val="000000"/>
          <w:szCs w:val="24"/>
          <w:lang w:eastAsia="en-US"/>
        </w:rPr>
        <w:instrText>ADDIN CSL_CITATION {"citationItems":[{"id":"ITEM-1","itemData":{"DOI":"10.1111/j.1835-2561.2012.00203.x","ISSN":"10356908","abstract":"Previous research on the International Financial Reporting Standards\\n(IFRS) policy choices of large listed companies found a very strong\\nassociation between policy choice and country. Nationally based pre-IFRS\\npractices largely explain IFRS policy choices. Nevertheless, some of the\\npolicy choices appear to be influenced from abroad, perhaps chosen in\\norder to increase comparability. It has been suggested that smaller\\ncompanies might be less influenced from abroad, and therefore might\\ndisplay even clearer national profiles of IFRS practice. This paper\\nexamines the accounting policy choices made within IFRS financial\\nstatements by small listed companies in five major countries. We find\\nhighly significant differences between the policies of small and large\\ncompanies. We also find that small companies make more homogeneous\\nchoices, within a country, than large companies do. As a result, the\\npreviously published national profiles of the IFRS practices of large\\ncompanies are misleading in the context of smaller ones.","author":[{"dropping-particle":"","family":"Nobes","given":"Christopher","non-dropping-particle":"","parse-names":false,"suffix":""},{"dropping-particle":"","family":"Perramon","given":"Jordi","non-dropping-particle":"","parse-names":false,"suffix":""}],"container-title":"Australian Accounting Review","id":"ITEM-1","issue":"3","issued":{"date-parts":[["2013"]]},"page":"208-215","title":"Firm size and national profiles of ifrs policy choice","type":"article-journal","volume":"23"},"uris":["http://www.mendeley.com/documents/?uuid=7d9190c0-5370-47d3-aba4-df69c40997f6"]}],"mendeley":{"formattedCitation":"(NOBES; PERRAMON, 2013)","plainTextFormattedCitation":"(NOBES; PERRAMON, 2013)","previouslyFormattedCitation":"(NOBES; PERRAMON, 2013)"},"properties":{"noteIndex":0},"schema":"https://github.com/citation-style-language/schema/raw/master/csl-citation.json"}</w:instrText>
      </w:r>
      <w:r w:rsidR="00ED5C86">
        <w:rPr>
          <w:rFonts w:ascii="Times New Roman" w:eastAsia="Calibri" w:hAnsi="Times New Roman"/>
          <w:color w:val="000000"/>
          <w:szCs w:val="24"/>
          <w:lang w:eastAsia="en-US"/>
        </w:rPr>
        <w:fldChar w:fldCharType="separate"/>
      </w:r>
      <w:r w:rsidR="00ED5C86" w:rsidRPr="00ED5C86">
        <w:rPr>
          <w:rFonts w:ascii="Times New Roman" w:eastAsia="Calibri" w:hAnsi="Times New Roman"/>
          <w:noProof/>
          <w:color w:val="000000"/>
          <w:szCs w:val="24"/>
          <w:lang w:eastAsia="en-US"/>
        </w:rPr>
        <w:t>(NOBES; PERRAMON, 2013)</w:t>
      </w:r>
      <w:r w:rsidR="00ED5C86">
        <w:rPr>
          <w:rFonts w:ascii="Times New Roman" w:eastAsia="Calibri" w:hAnsi="Times New Roman"/>
          <w:color w:val="000000"/>
          <w:szCs w:val="24"/>
          <w:lang w:eastAsia="en-US"/>
        </w:rPr>
        <w:fldChar w:fldCharType="end"/>
      </w:r>
      <w:r w:rsidR="000D0D25" w:rsidRPr="000E5487">
        <w:rPr>
          <w:rFonts w:ascii="Times New Roman" w:eastAsia="Calibri" w:hAnsi="Times New Roman"/>
          <w:color w:val="000000"/>
          <w:szCs w:val="24"/>
          <w:lang w:eastAsia="en-US"/>
        </w:rPr>
        <w:t>.</w:t>
      </w:r>
    </w:p>
    <w:p w:rsidR="004A6C75" w:rsidRPr="000E5487" w:rsidRDefault="00220D37"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fldChar w:fldCharType="begin" w:fldLock="1"/>
      </w:r>
      <w:r w:rsidR="005B61AC">
        <w:rPr>
          <w:rFonts w:ascii="Times New Roman" w:eastAsia="Calibri" w:hAnsi="Times New Roman"/>
          <w:color w:val="000000"/>
          <w:szCs w:val="24"/>
          <w:lang w:eastAsia="en-US"/>
        </w:rPr>
        <w:instrText>ADDIN CSL_CITATION {"citationItems":[{"id":"ITEM-1","itemData":{"DOI":"10.1016/j.cpa.2013.03.005","ISBN":"1045-2354","ISSN":"10959955","abstract":"We investigate the translation and application of global accounting standards in a local context, with Romania as our country case study. Our theoretical framework is derived from institutional theory. We develop this by complementing isomorphism (. DiMaggio and Powell, 1983) with an emphasis on the behavior of actors and with the different strategic responses that organizations enact as a result of the institutional pressures toward conformity, following Oliver (1991). We contend that local actors play a more important role in triggering organizational responses than is implied by Oliver's (1991) framework in the application of International Financial Reporting Standards (IFRS). This is because organizational responses to these global standards are conditioned by the interplay between actors, who are searching for legitimacy and the attainment of their own (mutually conflicting) interests.Contrary to earlier institutional propositions, we find that acquiescence strategies may occur even when there is a great degree of constituent multiplicity, and that avoidance may occur in entities with a smaller degree of multiplicity. We thus argue that countries are not homogeneous in terms of accounting practices. Finally we suggest that intra-organizational interests and actions are important for IFRS implementation, and future research should investigate this in depth.","author":[{"dropping-particle":"","family":"Albu","given":"Cătălin Nicolae","non-dropping-particle":"","parse-names":false,"suffix":""},{"dropping-particle":"","family":"Albu","given":"Nadia","non-dropping-particle":"","parse-names":false,"suffix":""},{"dropping-particle":"","family":"Alexander","given":"David","non-dropping-particle":"","parse-names":false,"suffix":""}],"container-title":"Critical Perspectives on Accounting","id":"ITEM-1","issue":"6","issued":{"date-parts":[["2014"]]},"page":"489-510","title":"When global accounting standards meet the local context-Insights from an emerging economy","type":"article-journal","volume":"25"},"uris":["http://www.mendeley.com/documents/?uuid=18f3c0cf-2c31-4694-bd9e-280d5b75d5a0"]}],"mendeley":{"formattedCitation":"(ALBU; ALBU; ALEXANDER, 2014)","manualFormatting":"Albu, Albu e Alexander (2014)","plainTextFormattedCitation":"(ALBU; ALBU; ALEXANDER, 2014)","previouslyFormattedCitation":"(ALBU; ALBU; ALEXANDER, 2014)"},"properties":{"noteIndex":0},"schema":"https://github.com/citation-style-language/schema/raw/master/csl-citation.json"}</w:instrText>
      </w:r>
      <w:r>
        <w:rPr>
          <w:rFonts w:ascii="Times New Roman" w:eastAsia="Calibri" w:hAnsi="Times New Roman"/>
          <w:color w:val="000000"/>
          <w:szCs w:val="24"/>
          <w:lang w:eastAsia="en-US"/>
        </w:rPr>
        <w:fldChar w:fldCharType="separate"/>
      </w:r>
      <w:r w:rsidRPr="00220D37">
        <w:rPr>
          <w:rFonts w:ascii="Times New Roman" w:eastAsia="Calibri" w:hAnsi="Times New Roman"/>
          <w:noProof/>
          <w:color w:val="000000"/>
          <w:szCs w:val="24"/>
          <w:lang w:eastAsia="en-US"/>
        </w:rPr>
        <w:t>Albu</w:t>
      </w:r>
      <w:r>
        <w:rPr>
          <w:rFonts w:ascii="Times New Roman" w:eastAsia="Calibri" w:hAnsi="Times New Roman"/>
          <w:noProof/>
          <w:color w:val="000000"/>
          <w:szCs w:val="24"/>
          <w:lang w:eastAsia="en-US"/>
        </w:rPr>
        <w:t>,</w:t>
      </w:r>
      <w:r w:rsidRPr="00220D37">
        <w:rPr>
          <w:rFonts w:ascii="Times New Roman" w:eastAsia="Calibri" w:hAnsi="Times New Roman"/>
          <w:noProof/>
          <w:color w:val="000000"/>
          <w:szCs w:val="24"/>
          <w:lang w:eastAsia="en-US"/>
        </w:rPr>
        <w:t xml:space="preserve"> Albu</w:t>
      </w:r>
      <w:r>
        <w:rPr>
          <w:rFonts w:ascii="Times New Roman" w:eastAsia="Calibri" w:hAnsi="Times New Roman"/>
          <w:noProof/>
          <w:color w:val="000000"/>
          <w:szCs w:val="24"/>
          <w:lang w:eastAsia="en-US"/>
        </w:rPr>
        <w:t xml:space="preserve"> e</w:t>
      </w:r>
      <w:r w:rsidRPr="00220D37">
        <w:rPr>
          <w:rFonts w:ascii="Times New Roman" w:eastAsia="Calibri" w:hAnsi="Times New Roman"/>
          <w:noProof/>
          <w:color w:val="000000"/>
          <w:szCs w:val="24"/>
          <w:lang w:eastAsia="en-US"/>
        </w:rPr>
        <w:t xml:space="preserve"> Alexander </w:t>
      </w:r>
      <w:r>
        <w:rPr>
          <w:rFonts w:ascii="Times New Roman" w:eastAsia="Calibri" w:hAnsi="Times New Roman"/>
          <w:noProof/>
          <w:color w:val="000000"/>
          <w:szCs w:val="24"/>
          <w:lang w:eastAsia="en-US"/>
        </w:rPr>
        <w:t>(</w:t>
      </w:r>
      <w:r w:rsidRPr="00220D37">
        <w:rPr>
          <w:rFonts w:ascii="Times New Roman" w:eastAsia="Calibri" w:hAnsi="Times New Roman"/>
          <w:noProof/>
          <w:color w:val="000000"/>
          <w:szCs w:val="24"/>
          <w:lang w:eastAsia="en-US"/>
        </w:rPr>
        <w:t>2014)</w:t>
      </w:r>
      <w:r>
        <w:rPr>
          <w:rFonts w:ascii="Times New Roman" w:eastAsia="Calibri" w:hAnsi="Times New Roman"/>
          <w:color w:val="000000"/>
          <w:szCs w:val="24"/>
          <w:lang w:eastAsia="en-US"/>
        </w:rPr>
        <w:fldChar w:fldCharType="end"/>
      </w:r>
      <w:r w:rsidR="00DC10C8" w:rsidRPr="000E5487">
        <w:rPr>
          <w:rFonts w:ascii="Times New Roman" w:eastAsia="Calibri" w:hAnsi="Times New Roman"/>
          <w:color w:val="000000"/>
          <w:szCs w:val="24"/>
          <w:lang w:eastAsia="en-US"/>
        </w:rPr>
        <w:t xml:space="preserve"> realizaram u</w:t>
      </w:r>
      <w:r w:rsidR="005A79A2" w:rsidRPr="000E5487">
        <w:rPr>
          <w:rFonts w:ascii="Times New Roman" w:eastAsia="Calibri" w:hAnsi="Times New Roman"/>
          <w:color w:val="000000"/>
          <w:szCs w:val="24"/>
          <w:lang w:eastAsia="en-US"/>
        </w:rPr>
        <w:t>ma análise multifacetada da implementação e aplicação das IFRS</w:t>
      </w:r>
      <w:r w:rsidR="00DC10C8" w:rsidRPr="000E5487">
        <w:rPr>
          <w:rFonts w:ascii="Times New Roman" w:eastAsia="Calibri" w:hAnsi="Times New Roman"/>
          <w:color w:val="000000"/>
          <w:szCs w:val="24"/>
          <w:lang w:eastAsia="en-US"/>
        </w:rPr>
        <w:t xml:space="preserve">, considerando que as questões envolvidas </w:t>
      </w:r>
      <w:r w:rsidR="005A79A2" w:rsidRPr="000E5487">
        <w:rPr>
          <w:rFonts w:ascii="Times New Roman" w:eastAsia="Calibri" w:hAnsi="Times New Roman"/>
          <w:color w:val="000000"/>
          <w:szCs w:val="24"/>
          <w:lang w:eastAsia="en-US"/>
        </w:rPr>
        <w:t>são sociais, subjetivas e sobre pessoas</w:t>
      </w:r>
      <w:r w:rsidR="00DC10C8" w:rsidRPr="000E5487">
        <w:rPr>
          <w:rFonts w:ascii="Times New Roman" w:eastAsia="Calibri" w:hAnsi="Times New Roman"/>
          <w:color w:val="000000"/>
          <w:szCs w:val="24"/>
          <w:lang w:eastAsia="en-US"/>
        </w:rPr>
        <w:t>. As respostas estratégicas dos profissionais contábeis às pressões para implementação da IFRS</w:t>
      </w:r>
      <w:r w:rsidR="00C61858" w:rsidRPr="000E5487">
        <w:rPr>
          <w:rFonts w:ascii="Times New Roman" w:eastAsia="Calibri" w:hAnsi="Times New Roman"/>
          <w:color w:val="000000"/>
          <w:szCs w:val="24"/>
          <w:lang w:eastAsia="en-US"/>
        </w:rPr>
        <w:t>,</w:t>
      </w:r>
      <w:r w:rsidR="00DC10C8" w:rsidRPr="000E5487">
        <w:rPr>
          <w:rFonts w:ascii="Times New Roman" w:eastAsia="Calibri" w:hAnsi="Times New Roman"/>
          <w:color w:val="000000"/>
          <w:szCs w:val="24"/>
          <w:lang w:eastAsia="en-US"/>
        </w:rPr>
        <w:t xml:space="preserve"> envolvem casos de aquiescência (resultante da obediência consciente e total apoio ao processo), comprometimento (resultante do equilíbrio e barganha de interesses conflitantes), esquiva (na forma de conformidade aparente, isto é, evitando a exigência regulatória de aplicar as IFRS), e manipulação de resultados e escolhas contábeis</w:t>
      </w:r>
      <w:r w:rsidR="00C61858" w:rsidRPr="000E5487">
        <w:rPr>
          <w:rFonts w:ascii="Times New Roman" w:eastAsia="Calibri" w:hAnsi="Times New Roman"/>
          <w:color w:val="000000"/>
          <w:szCs w:val="24"/>
          <w:lang w:eastAsia="en-US"/>
        </w:rPr>
        <w:t xml:space="preserve"> </w:t>
      </w:r>
      <w:r w:rsidR="00C61858" w:rsidRPr="000E5487">
        <w:rPr>
          <w:rFonts w:ascii="Times New Roman" w:eastAsia="Calibri" w:hAnsi="Times New Roman"/>
          <w:color w:val="000000"/>
          <w:szCs w:val="24"/>
          <w:lang w:eastAsia="en-US"/>
        </w:rPr>
        <w:fldChar w:fldCharType="begin" w:fldLock="1"/>
      </w:r>
      <w:r w:rsidR="005B61AC">
        <w:rPr>
          <w:rFonts w:ascii="Times New Roman" w:eastAsia="Calibri" w:hAnsi="Times New Roman"/>
          <w:color w:val="000000"/>
          <w:szCs w:val="24"/>
          <w:lang w:eastAsia="en-US"/>
        </w:rPr>
        <w:instrText>ADDIN CSL_CITATION {"citationItems":[{"id":"ITEM-1","itemData":{"DOI":"10.1016/j.cpa.2013.03.005","ISBN":"1045-2354","ISSN":"10959955","abstract":"We investigate the translation and application of global accounting standards in a local context, with Romania as our country case study. Our theoretical framework is derived from institutional theory. We develop this by complementing isomorphism (. DiMaggio and Powell, 1983) with an emphasis on the behavior of actors and with the different strategic responses that organizations enact as a result of the institutional pressures toward conformity, following Oliver (1991). We contend that local actors play a more important role in triggering organizational responses than is implied by Oliver's (1991) framework in the application of International Financial Reporting Standards (IFRS). This is because organizational responses to these global standards are conditioned by the interplay between actors, who are searching for legitimacy and the attainment of their own (mutually conflicting) interests.Contrary to earlier institutional propositions, we find that acquiescence strategies may occur even when there is a great degree of constituent multiplicity, and that avoidance may occur in entities with a smaller degree of multiplicity. We thus argue that countries are not homogeneous in terms of accounting practices. Finally we suggest that intra-organizational interests and actions are important for IFRS implementation, and future research should investigate this in depth.","author":[{"dropping-particle":"","family":"Albu","given":"Cătălin Nicolae","non-dropping-particle":"","parse-names":false,"suffix":""},{"dropping-particle":"","family":"Albu","given":"Nadia","non-dropping-particle":"","parse-names":false,"suffix":""},{"dropping-particle":"","family":"Alexander","given":"David","non-dropping-particle":"","parse-names":false,"suffix":""}],"container-title":"Critical Perspectives on Accounting","id":"ITEM-1","issue":"6","issued":{"date-parts":[["2014"]]},"page":"489-510","title":"When global accounting standards meet the local context-Insights from an emerging economy","type":"article-journal","volume":"25"},"uris":["http://www.mendeley.com/documents/?uuid=18f3c0cf-2c31-4694-bd9e-280d5b75d5a0"]}],"mendeley":{"formattedCitation":"(ALBU; ALBU; ALEXANDER, 2014)","plainTextFormattedCitation":"(ALBU; ALBU; ALEXANDER, 2014)","previouslyFormattedCitation":"(ALBU; ALBU; ALEXANDER, 2014)"},"properties":{"noteIndex":0},"schema":"https://github.com/citation-style-language/schema/raw/master/csl-citation.json"}</w:instrText>
      </w:r>
      <w:r w:rsidR="00C61858" w:rsidRPr="000E5487">
        <w:rPr>
          <w:rFonts w:ascii="Times New Roman" w:eastAsia="Calibri" w:hAnsi="Times New Roman"/>
          <w:color w:val="000000"/>
          <w:szCs w:val="24"/>
          <w:lang w:eastAsia="en-US"/>
        </w:rPr>
        <w:fldChar w:fldCharType="separate"/>
      </w:r>
      <w:r w:rsidR="005B61AC" w:rsidRPr="005B61AC">
        <w:rPr>
          <w:rFonts w:ascii="Times New Roman" w:eastAsia="Calibri" w:hAnsi="Times New Roman"/>
          <w:noProof/>
          <w:color w:val="000000"/>
          <w:szCs w:val="24"/>
          <w:lang w:eastAsia="en-US"/>
        </w:rPr>
        <w:t>(ALBU; ALBU; ALEXANDER, 2014)</w:t>
      </w:r>
      <w:r w:rsidR="00C61858" w:rsidRPr="000E5487">
        <w:rPr>
          <w:rFonts w:ascii="Times New Roman" w:eastAsia="Calibri" w:hAnsi="Times New Roman"/>
          <w:color w:val="000000"/>
          <w:szCs w:val="24"/>
          <w:lang w:eastAsia="en-US"/>
        </w:rPr>
        <w:fldChar w:fldCharType="end"/>
      </w:r>
      <w:r w:rsidR="00DC10C8" w:rsidRPr="000E5487">
        <w:rPr>
          <w:rFonts w:ascii="Times New Roman" w:eastAsia="Calibri" w:hAnsi="Times New Roman"/>
          <w:color w:val="000000"/>
          <w:szCs w:val="24"/>
          <w:lang w:eastAsia="en-US"/>
        </w:rPr>
        <w:t xml:space="preserve">. Esse cenário demonstra a importância e o impacto dos atores sociais na implementação de normas e políticas contábeis, </w:t>
      </w:r>
      <w:r w:rsidR="00A2593E" w:rsidRPr="000E5487">
        <w:rPr>
          <w:rFonts w:ascii="Times New Roman" w:eastAsia="Calibri" w:hAnsi="Times New Roman"/>
          <w:color w:val="000000"/>
          <w:szCs w:val="24"/>
          <w:lang w:eastAsia="en-US"/>
        </w:rPr>
        <w:t>sendo a experiência limitada com certos tipos de transações</w:t>
      </w:r>
      <w:r w:rsidR="002445A2" w:rsidRPr="000E5487">
        <w:rPr>
          <w:rFonts w:ascii="Times New Roman" w:eastAsia="Calibri" w:hAnsi="Times New Roman"/>
          <w:color w:val="000000"/>
          <w:szCs w:val="24"/>
          <w:lang w:eastAsia="en-US"/>
        </w:rPr>
        <w:t>,</w:t>
      </w:r>
      <w:r w:rsidR="00A2593E" w:rsidRPr="000E5487">
        <w:rPr>
          <w:rFonts w:ascii="Times New Roman" w:eastAsia="Calibri" w:hAnsi="Times New Roman"/>
          <w:color w:val="000000"/>
          <w:szCs w:val="24"/>
          <w:lang w:eastAsia="en-US"/>
        </w:rPr>
        <w:t xml:space="preserve"> uma barreira para adoção das IFRS</w:t>
      </w:r>
      <w:r w:rsidR="00D16BE4" w:rsidRPr="000E5487">
        <w:rPr>
          <w:rFonts w:ascii="Times New Roman" w:eastAsia="Calibri" w:hAnsi="Times New Roman"/>
          <w:color w:val="000000"/>
          <w:szCs w:val="24"/>
          <w:lang w:eastAsia="en-US"/>
        </w:rPr>
        <w:t>,</w:t>
      </w:r>
      <w:r w:rsidR="00A2593E" w:rsidRPr="000E5487">
        <w:rPr>
          <w:rFonts w:ascii="Times New Roman" w:eastAsia="Calibri" w:hAnsi="Times New Roman"/>
          <w:color w:val="000000"/>
          <w:szCs w:val="24"/>
          <w:lang w:eastAsia="en-US"/>
        </w:rPr>
        <w:t xml:space="preserve"> refletindo nas escolhas contábeis </w:t>
      </w:r>
      <w:r w:rsidR="00A2593E" w:rsidRPr="000E5487">
        <w:rPr>
          <w:rFonts w:ascii="Times New Roman" w:eastAsia="Calibri" w:hAnsi="Times New Roman"/>
          <w:color w:val="000000"/>
          <w:szCs w:val="24"/>
          <w:lang w:eastAsia="en-US"/>
        </w:rPr>
        <w:fldChar w:fldCharType="begin" w:fldLock="1"/>
      </w:r>
      <w:r w:rsidR="00220C3E">
        <w:rPr>
          <w:rFonts w:ascii="Times New Roman" w:eastAsia="Calibri" w:hAnsi="Times New Roman"/>
          <w:color w:val="000000"/>
          <w:szCs w:val="24"/>
          <w:lang w:eastAsia="en-US"/>
        </w:rPr>
        <w:instrText>ADDIN CSL_CITATION {"citationItems":[{"id":"ITEM-1","itemData":{"DOI":"10.1016/j.intaccaudtax.2004.09.002","ISBN":"10619518","ISSN":"10619518","abstract":"The International Accounting Standards Board (IASB) acquired greater legitimacy and stature when the European Union (EU) decided to require all listed companies to prepare consolidated accounts based on International Financial Reporting Standards (IFRS) beginning in 2005. This study examines the progress and perceived impediments to convergence in 17 European countries directly affected by the EU's decision. These include: (1) the 10 new EU member countries, (2) EU candidate countries, (3) European Economic Area (EEA) countries, and (4) Switzerland. We utilize data collected by the six largest international accounting firms during their 2002 convergence survey. Additionally, we analyze subsequent events and studies. While all surveyed countries will either require or effectively allow listed companies to prepare consolidated financial statements in accordance with IFRS by 2005, few are expected to require IFRS for non-listed companies. This suggests the development of a \"two-standard\" system. The two most significant impediments to convergence identified by the survey appear to be the complicated nature of particular IFRS (including financial instruments) and the tax-orientation of many national accounting systems. Other barriers to convergence include underdeveloped national capital markets, insufficient guidance on first-time application of IFRS, and limited experience with certain types of transactions (e.g. pensions). © 2004 Elsevier Inc. All rights reserved.","author":[{"dropping-particle":"","family":"Larson","given":"Robert K.","non-dropping-particle":"","parse-names":false,"suffix":""},{"dropping-particle":"","family":"Street","given":"Donna L.","non-dropping-particle":"","parse-names":false,"suffix":""}],"container-title":"Journal of International Accounting, Auditing and Taxation","id":"ITEM-1","issue":"2","issued":{"date-parts":[["2004"]]},"page":"89-119","title":"Convergence with IFRS in an expanding Europe: Progress and obstacles identified by large accounting firms' survey","type":"article-journal","volume":"13"},"uris":["http://www.mendeley.com/documents/?uuid=dff3d5a5-4723-4db0-ac3a-188a7d63882a"]}],"mendeley":{"formattedCitation":"(LARSON; STREET, 2004)","plainTextFormattedCitation":"(LARSON; STREET, 2004)","previouslyFormattedCitation":"(LARSON; STREET, 2004)"},"properties":{"noteIndex":0},"schema":"https://github.com/citation-style-language/schema/raw/master/csl-citation.json"}</w:instrText>
      </w:r>
      <w:r w:rsidR="00A2593E" w:rsidRPr="000E5487">
        <w:rPr>
          <w:rFonts w:ascii="Times New Roman" w:eastAsia="Calibri" w:hAnsi="Times New Roman"/>
          <w:color w:val="000000"/>
          <w:szCs w:val="24"/>
          <w:lang w:eastAsia="en-US"/>
        </w:rPr>
        <w:fldChar w:fldCharType="separate"/>
      </w:r>
      <w:r w:rsidR="00220C3E" w:rsidRPr="00220C3E">
        <w:rPr>
          <w:rFonts w:ascii="Times New Roman" w:eastAsia="Calibri" w:hAnsi="Times New Roman"/>
          <w:noProof/>
          <w:color w:val="000000"/>
          <w:szCs w:val="24"/>
          <w:lang w:eastAsia="en-US"/>
        </w:rPr>
        <w:t>(LARSON; STREET, 2004)</w:t>
      </w:r>
      <w:r w:rsidR="00A2593E" w:rsidRPr="000E5487">
        <w:rPr>
          <w:rFonts w:ascii="Times New Roman" w:eastAsia="Calibri" w:hAnsi="Times New Roman"/>
          <w:color w:val="000000"/>
          <w:szCs w:val="24"/>
          <w:lang w:eastAsia="en-US"/>
        </w:rPr>
        <w:fldChar w:fldCharType="end"/>
      </w:r>
      <w:r w:rsidR="005A3956" w:rsidRPr="000E5487">
        <w:rPr>
          <w:rFonts w:ascii="Times New Roman" w:eastAsia="Calibri" w:hAnsi="Times New Roman"/>
          <w:color w:val="000000"/>
          <w:szCs w:val="24"/>
          <w:lang w:eastAsia="en-US"/>
        </w:rPr>
        <w:t>.</w:t>
      </w:r>
    </w:p>
    <w:p w:rsidR="00DE4E1B" w:rsidRPr="000E5487" w:rsidRDefault="003C49A8"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 discricionariedade das escolhas contábeis é necessária, pois, numa perspectiva global, o ambiente empresarial possui diferentes características (sociais, econômicas, éticas, morais, entre outras) e diferentes estágios de desenvolvimento de seus sistemas legais, tributários, regulatórios e institucionais </w:t>
      </w:r>
      <w:r w:rsidR="00220C3E">
        <w:rPr>
          <w:rFonts w:ascii="Times New Roman" w:eastAsia="Calibri" w:hAnsi="Times New Roman"/>
          <w:color w:val="000000"/>
          <w:szCs w:val="24"/>
          <w:lang w:eastAsia="en-US"/>
        </w:rPr>
        <w:fldChar w:fldCharType="begin" w:fldLock="1"/>
      </w:r>
      <w:r w:rsidR="00220C3E">
        <w:rPr>
          <w:rFonts w:ascii="Times New Roman" w:eastAsia="Calibri" w:hAnsi="Times New Roman"/>
          <w:color w:val="000000"/>
          <w:szCs w:val="24"/>
          <w:lang w:eastAsia="en-US"/>
        </w:rPr>
        <w:instrText>ADDIN CSL_CITATION {"citationItems":[{"id":"ITEM-1","itemData":{"DOI":"10.1080/00014788.2013.770644","ISBN":"0001-4788\\r2159-4260","ISSN":"00014788","abstract":"The claimed starting point for much recent literature is that International Financial Reporting Standards (IFRS) have been very widely adopted. That is somewhere between an error and a misleading simplification. This paper begins by providing an antidote by analysing the degree to which IFRS have not been adopted in the jurisdictions containing the world's largest 16 stock markets. This might help researchers with their institutional settings. The paper then examines several issues which can lead to international differences in IFRS practice, starting with language and enforcement, but focusing mainly on policy options. Previously published lists of these are up-dated, the extensive recent literature on IFRS policy choice and policy change is synthesised, and new data are provided. Finally, researchers are offered some lessons from the past and some directions for the future.","author":[{"dropping-particle":"","family":"Nobes","given":"Christopher","non-dropping-particle":"","parse-names":false,"suffix":""}],"container-title":"Accounting and Business Research","id":"ITEM-1","issue":"2","issued":{"date-parts":[["2013"]]},"page":"83-111","title":"The continued survival of international differences under IFRS","type":"article-journal","volume":"43"},"uris":["http://www.mendeley.com/documents/?uuid=35764312-ea13-42f4-8dd4-06a96fba6562"]}],"mendeley":{"formattedCitation":"(NOBES, 2013)","plainTextFormattedCitation":"(NOBES, 2013)","previouslyFormattedCitation":"(NOBES, 2013)"},"properties":{"noteIndex":0},"schema":"https://github.com/citation-style-language/schema/raw/master/csl-citation.json"}</w:instrText>
      </w:r>
      <w:r w:rsidR="00220C3E">
        <w:rPr>
          <w:rFonts w:ascii="Times New Roman" w:eastAsia="Calibri" w:hAnsi="Times New Roman"/>
          <w:color w:val="000000"/>
          <w:szCs w:val="24"/>
          <w:lang w:eastAsia="en-US"/>
        </w:rPr>
        <w:fldChar w:fldCharType="separate"/>
      </w:r>
      <w:r w:rsidR="00220C3E" w:rsidRPr="00220C3E">
        <w:rPr>
          <w:rFonts w:ascii="Times New Roman" w:eastAsia="Calibri" w:hAnsi="Times New Roman"/>
          <w:noProof/>
          <w:color w:val="000000"/>
          <w:szCs w:val="24"/>
          <w:lang w:eastAsia="en-US"/>
        </w:rPr>
        <w:t>(NOBES, 2013)</w:t>
      </w:r>
      <w:r w:rsidR="00220C3E">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 xml:space="preserve">, além das circunstâncias de negócio que podem demandar múltiplos tratamentos contábeis </w:t>
      </w:r>
      <w:r w:rsidR="00220C3E">
        <w:rPr>
          <w:rFonts w:ascii="Times New Roman" w:eastAsia="Calibri" w:hAnsi="Times New Roman"/>
          <w:color w:val="000000"/>
          <w:szCs w:val="24"/>
          <w:lang w:eastAsia="en-US"/>
        </w:rPr>
        <w:fldChar w:fldCharType="begin" w:fldLock="1"/>
      </w:r>
      <w:r w:rsidR="00403D15">
        <w:rPr>
          <w:rFonts w:ascii="Times New Roman" w:eastAsia="Calibri" w:hAnsi="Times New Roman"/>
          <w:color w:val="000000"/>
          <w:szCs w:val="24"/>
          <w:lang w:eastAsia="en-US"/>
        </w:rPr>
        <w:instrText>ADDIN CSL_CITATION {"citationItems":[{"id":"ITEM-1","itemData":{"DOI":"10.1111/j.1467-6281.2007.00224.x","ISBN":"0001-3072\\r1467-6281","ISSN":"00013072","abstract":"http://dx.doi.org/10.1111/j.1467-6281.2007.00224.x","author":[{"dropping-particle":"","family":"Jaafar","given":"Aziz","non-dropping-particle":"","parse-names":false,"suffix":""},{"dropping-particle":"","family":"McLeay","given":"Stuart","non-dropping-particle":"","parse-names":false,"suffix":""}],"container-title":"Abacus","id":"ITEM-1","issue":"2","issued":{"date-parts":[["2007"]]},"page":"156-189","title":"Country effects and sector effects on the harmonization of accounting policy choice","type":"article-journal","volume":"43"},"uris":["http://www.mendeley.com/documents/?uuid=45485e87-23bc-4924-8f7a-585691313480"]}],"mendeley":{"formattedCitation":"(JAAFAR; MCLEAY, 2007)","plainTextFormattedCitation":"(JAAFAR; MCLEAY, 2007)","previouslyFormattedCitation":"(JAAFAR; MCLEAY, 2007)"},"properties":{"noteIndex":0},"schema":"https://github.com/citation-style-language/schema/raw/master/csl-citation.json"}</w:instrText>
      </w:r>
      <w:r w:rsidR="00220C3E">
        <w:rPr>
          <w:rFonts w:ascii="Times New Roman" w:eastAsia="Calibri" w:hAnsi="Times New Roman"/>
          <w:color w:val="000000"/>
          <w:szCs w:val="24"/>
          <w:lang w:eastAsia="en-US"/>
        </w:rPr>
        <w:fldChar w:fldCharType="separate"/>
      </w:r>
      <w:r w:rsidR="00220C3E" w:rsidRPr="00220C3E">
        <w:rPr>
          <w:rFonts w:ascii="Times New Roman" w:eastAsia="Calibri" w:hAnsi="Times New Roman"/>
          <w:noProof/>
          <w:color w:val="000000"/>
          <w:szCs w:val="24"/>
          <w:lang w:eastAsia="en-US"/>
        </w:rPr>
        <w:t>(JAAFAR; MCLEAY, 2007)</w:t>
      </w:r>
      <w:r w:rsidR="00220C3E">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 Entretanto, as diferentes escolhas oriundas da discricionariedade podem impactar na comparabilidade das demonstrações contábeis</w:t>
      </w:r>
      <w:r w:rsidR="00CB1F8E">
        <w:rPr>
          <w:rFonts w:ascii="Times New Roman" w:eastAsia="Calibri" w:hAnsi="Times New Roman"/>
          <w:color w:val="000000"/>
          <w:szCs w:val="24"/>
          <w:lang w:eastAsia="en-US"/>
        </w:rPr>
        <w:t xml:space="preserve"> </w:t>
      </w:r>
      <w:r w:rsidR="00CB1F8E">
        <w:rPr>
          <w:rFonts w:ascii="Times New Roman" w:eastAsia="Calibri" w:hAnsi="Times New Roman"/>
          <w:color w:val="000000"/>
          <w:szCs w:val="24"/>
          <w:lang w:eastAsia="en-US"/>
        </w:rPr>
        <w:fldChar w:fldCharType="begin" w:fldLock="1"/>
      </w:r>
      <w:r w:rsidR="00CB1F8E">
        <w:rPr>
          <w:rFonts w:ascii="Times New Roman" w:eastAsia="Calibri" w:hAnsi="Times New Roman"/>
          <w:color w:val="000000"/>
          <w:szCs w:val="24"/>
          <w:lang w:eastAsia="en-US"/>
        </w:rPr>
        <w:instrText>ADDIN CSL_CITATION {"citationItems":[{"id":"ITEM-1","itemData":{"DOI":"10.1016/j.bar.2010.10.003","ISBN":"08908389","ISSN":"08908389","PMID":"857499650","abstract":"This study investigates the use of fair value measurement by 228 listed companies in the UK and Australia around the time of adoption of IFRS from 1 January 2005. We test whether within and between country comparability in policy choices (as measured by T indices) has changed in relation to (a) mandatory and (b) optional use of fair value measurement. Mandatory requirements related to financial instruments (IAS 39) and share-based payments (IFRS 2) have increased comparability, with a weaker effect for biological assets (IAS 41). In relation to the optional use of fair value, comparability increased in relation to property (IAS 16) because some companies discontinued fair value measurement. Under IAS 39, the fair value option for other financial assets and other financial liabilities decreased comparability. Options to use fair value in other areas (intangible assets, plant and equipment and investment properties) are not generally taken up, either for on-going measurement or on IFRS adoption (under the 'deemed cost' option). The results suggest a conservative approach and/or lack of incentives to use fair value measurement for most companies. Exceptions include some banks and insurance companies (for other financial assets and liabilities) and companies holding investment properties. © 2010 Elsevier Ltd.","author":[{"dropping-particle":"","family":"Cairns","given":"David","non-dropping-particle":"","parse-names":false,"suffix":""},{"dropping-particle":"","family":"Massoudi","given":"Dianne","non-dropping-particle":"","parse-names":false,"suffix":""},{"dropping-particle":"","family":"Taplin","given":"Ross","non-dropping-particle":"","parse-names":false,"suffix":""},{"dropping-particle":"","family":"Tarca","given":"Ann","non-dropping-particle":"","parse-names":false,"suffix":""}],"container-title":"British Accounting Review","id":"ITEM-1","issue":"1","issued":{"date-parts":[["2011"]]},"page":"1-21","publisher":"Elsevier Ltd","title":"IFRS fair value measurement and accounting policy choice in the United Kingdom and Australia","type":"article-journal","volume":"43"},"uris":["http://www.mendeley.com/documents/?uuid=cfc06069-32a6-42d7-b827-7a1e610a8719"]},{"id":"ITEM-2","itemData":{"DOI":"10.21714/1984-3925_2017v20n1a7","ISSN":"19843925","author":[{"dropping-particle":"","family":"Botinha","given":"Reiner Alves","non-dropping-particle":"","parse-names":false,"suffix":""},{"dropping-particle":"","family":"Lemes","given":"Sirlei","non-dropping-particle":"","parse-names":false,"suffix":""}],"container-title":"Contabilidade, Gestão e Governança","id":"ITEM-2","issue":"1","issued":{"date-parts":[["2017","4","20"]]},"page":"113-132","title":"Comparabilidade das Escolhas Contábeis em Propriedades para Investimentos de Empresas Listadas na BM&amp;FBOVESPA e NYSE","type":"article-journal","volume":"20"},"uris":["http://www.mendeley.com/documents/?uuid=41e61983-5c3f-4dac-9bf8-a1713fa62057"]}],"mendeley":{"formattedCitation":"(BOTINHA; LEMES, 2017; CAIRNS et al., 2011)","plainTextFormattedCitation":"(BOTINHA; LEMES, 2017; CAIRNS et al., 2011)","previouslyFormattedCitation":"(BOTINHA; LEMES, 2017; CAIRNS et al., 2011)"},"properties":{"noteIndex":0},"schema":"https://github.com/citation-style-language/schema/raw/master/csl-citation.json"}</w:instrText>
      </w:r>
      <w:r w:rsidR="00CB1F8E">
        <w:rPr>
          <w:rFonts w:ascii="Times New Roman" w:eastAsia="Calibri" w:hAnsi="Times New Roman"/>
          <w:color w:val="000000"/>
          <w:szCs w:val="24"/>
          <w:lang w:eastAsia="en-US"/>
        </w:rPr>
        <w:fldChar w:fldCharType="separate"/>
      </w:r>
      <w:r w:rsidR="00CB1F8E" w:rsidRPr="00CB1F8E">
        <w:rPr>
          <w:rFonts w:ascii="Times New Roman" w:eastAsia="Calibri" w:hAnsi="Times New Roman"/>
          <w:noProof/>
          <w:color w:val="000000"/>
          <w:szCs w:val="24"/>
          <w:lang w:eastAsia="en-US"/>
        </w:rPr>
        <w:t>(BOTINHA; LEMES, 2017; CAIRNS et al., 2011)</w:t>
      </w:r>
      <w:r w:rsidR="00CB1F8E">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 xml:space="preserve">, haja vista que diferenças significativas permanecem, mesmo após a adoção das IFRS </w:t>
      </w:r>
      <w:r w:rsidR="00CB1F8E">
        <w:rPr>
          <w:rFonts w:ascii="Times New Roman" w:eastAsia="Calibri" w:hAnsi="Times New Roman"/>
          <w:color w:val="000000"/>
          <w:szCs w:val="24"/>
          <w:lang w:eastAsia="en-US"/>
        </w:rPr>
        <w:fldChar w:fldCharType="begin" w:fldLock="1"/>
      </w:r>
      <w:r w:rsidR="00980BD6">
        <w:rPr>
          <w:rFonts w:ascii="Times New Roman" w:eastAsia="Calibri" w:hAnsi="Times New Roman"/>
          <w:color w:val="000000"/>
          <w:szCs w:val="24"/>
          <w:lang w:eastAsia="en-US"/>
        </w:rPr>
        <w:instrText>ADDIN CSL_CITATION {"citationItems":[{"id":"ITEM-1","itemData":{"DOI":"10.1016/j.jacceco.2012.03.001","ISBN":"0165-4101","ISSN":"01654101","PMID":"1021725752","abstract":"This study examines whether application of IFRS by non-US firms results in accounting amounts comparable to those resulting from application of US GAAP by US firms. IFRS firms have greater accounting system and value relevance comparability with US firms when IFRS firms apply IFRS than when they applied domestic standards. Comparability is greater for firms that adopt IFRS mandatorily, firms in common law and high enforcement countries, and in more recent years. Earnings smoothing, accrual quality, and timeliness are potential sources of the greater comparability. Although application of IFRS has enhanced financial reporting comparability with US firms, significant differences remain.","author":[{"dropping-particle":"","family":"Barth","given":"Mary E.","non-dropping-particle":"","parse-names":false,"suffix":""},{"dropping-particle":"","family":"Landsman","given":"Wayne R.","non-dropping-particle":"","parse-names":false,"suffix":""},{"dropping-particle":"","family":"Lang","given":"Mark","non-dropping-particle":"","parse-names":false,"suffix":""},{"dropping-particle":"","family":"Williams","given":"Christopher","non-dropping-particle":"","parse-names":false,"suffix":""}],"container-title":"Journal of Accounting and Economics","id":"ITEM-1","issue":"1","issued":{"date-parts":[["2012"]]},"page":"68-93","publisher":"Elsevier","title":"Are IFRS-based and US GAAP-based accounting amounts comparable?","type":"article-journal","volume":"54"},"uris":["http://www.mendeley.com/documents/?uuid=249eb6c4-8276-4c5b-a657-0d4b3f2bb0b0"]}],"mendeley":{"formattedCitation":"(BARTH et al., 2012)","plainTextFormattedCitation":"(BARTH et al., 2012)","previouslyFormattedCitation":"(BARTH et al., 2012)"},"properties":{"noteIndex":0},"schema":"https://github.com/citation-style-language/schema/raw/master/csl-citation.json"}</w:instrText>
      </w:r>
      <w:r w:rsidR="00CB1F8E">
        <w:rPr>
          <w:rFonts w:ascii="Times New Roman" w:eastAsia="Calibri" w:hAnsi="Times New Roman"/>
          <w:color w:val="000000"/>
          <w:szCs w:val="24"/>
          <w:lang w:eastAsia="en-US"/>
        </w:rPr>
        <w:fldChar w:fldCharType="separate"/>
      </w:r>
      <w:r w:rsidR="00CB1F8E" w:rsidRPr="00CB1F8E">
        <w:rPr>
          <w:rFonts w:ascii="Times New Roman" w:eastAsia="Calibri" w:hAnsi="Times New Roman"/>
          <w:noProof/>
          <w:color w:val="000000"/>
          <w:szCs w:val="24"/>
          <w:lang w:eastAsia="en-US"/>
        </w:rPr>
        <w:t>(BARTH et al., 2012)</w:t>
      </w:r>
      <w:r w:rsidR="00CB1F8E">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w:t>
      </w:r>
    </w:p>
    <w:p w:rsidR="00220C3E" w:rsidRDefault="00220C3E" w:rsidP="00B747D7">
      <w:pPr>
        <w:spacing w:after="0" w:line="240" w:lineRule="auto"/>
        <w:ind w:firstLine="709"/>
        <w:jc w:val="both"/>
        <w:rPr>
          <w:rFonts w:ascii="Times New Roman" w:eastAsia="Calibri" w:hAnsi="Times New Roman"/>
          <w:b/>
          <w:color w:val="000000"/>
          <w:szCs w:val="24"/>
          <w:lang w:eastAsia="en-US"/>
        </w:rPr>
      </w:pPr>
    </w:p>
    <w:p w:rsidR="001D52C3" w:rsidRPr="000E5487" w:rsidRDefault="001D52C3" w:rsidP="00220C3E">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 xml:space="preserve">2.2 </w:t>
      </w:r>
      <w:r w:rsidR="00220C3E">
        <w:rPr>
          <w:rFonts w:ascii="Times New Roman" w:eastAsia="Calibri" w:hAnsi="Times New Roman"/>
          <w:b/>
          <w:color w:val="000000"/>
          <w:szCs w:val="24"/>
          <w:lang w:eastAsia="en-US"/>
        </w:rPr>
        <w:t>Mensuração</w:t>
      </w:r>
      <w:r w:rsidR="00220C3E" w:rsidRPr="00FD5D4B">
        <w:rPr>
          <w:rFonts w:ascii="Times New Roman" w:eastAsia="Calibri" w:hAnsi="Times New Roman"/>
          <w:b/>
          <w:i/>
          <w:color w:val="000000"/>
          <w:szCs w:val="24"/>
          <w:lang w:eastAsia="en-US"/>
        </w:rPr>
        <w:t xml:space="preserve"> </w:t>
      </w:r>
      <w:r w:rsidR="00220C3E">
        <w:rPr>
          <w:rFonts w:ascii="Times New Roman" w:eastAsia="Calibri" w:hAnsi="Times New Roman"/>
          <w:b/>
          <w:color w:val="000000"/>
          <w:szCs w:val="24"/>
          <w:lang w:eastAsia="en-US"/>
        </w:rPr>
        <w:t>de Ativos Biológicos</w:t>
      </w:r>
    </w:p>
    <w:p w:rsidR="009A6691" w:rsidRPr="000E5487" w:rsidRDefault="00A00C16" w:rsidP="00B747D7">
      <w:pPr>
        <w:spacing w:after="0" w:line="240" w:lineRule="auto"/>
        <w:ind w:firstLine="709"/>
        <w:jc w:val="both"/>
        <w:rPr>
          <w:rFonts w:ascii="Times New Roman" w:eastAsia="SimSun" w:hAnsi="Times New Roman"/>
        </w:rPr>
      </w:pPr>
      <w:r w:rsidRPr="000E5487">
        <w:rPr>
          <w:rFonts w:ascii="Times New Roman" w:eastAsia="Calibri" w:hAnsi="Times New Roman"/>
          <w:color w:val="000000"/>
          <w:szCs w:val="24"/>
          <w:lang w:eastAsia="en-US"/>
        </w:rPr>
        <w:t>São considerados ativos biológicos</w:t>
      </w:r>
      <w:r w:rsidR="00FD5D4B">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os animais e plantas </w:t>
      </w:r>
      <w:r w:rsidR="005446D3" w:rsidRPr="000E5487">
        <w:rPr>
          <w:rFonts w:ascii="Times New Roman" w:eastAsia="Calibri" w:hAnsi="Times New Roman"/>
          <w:color w:val="000000"/>
          <w:szCs w:val="24"/>
          <w:lang w:eastAsia="en-US"/>
        </w:rPr>
        <w:t>vivos</w:t>
      </w:r>
      <w:r w:rsidRPr="000E5487">
        <w:rPr>
          <w:rFonts w:ascii="Times New Roman" w:eastAsia="Calibri" w:hAnsi="Times New Roman"/>
          <w:color w:val="000000"/>
          <w:szCs w:val="24"/>
          <w:lang w:eastAsia="en-US"/>
        </w:rPr>
        <w:t xml:space="preserve"> sujeitos ao processo de transformação biológica, devendo estes,</w:t>
      </w:r>
      <w:r w:rsidR="009A6691" w:rsidRPr="000E5487">
        <w:rPr>
          <w:rFonts w:ascii="Times New Roman" w:eastAsia="Calibri" w:hAnsi="Times New Roman"/>
          <w:color w:val="000000"/>
          <w:szCs w:val="24"/>
          <w:lang w:eastAsia="en-US"/>
        </w:rPr>
        <w:t xml:space="preserve"> </w:t>
      </w:r>
      <w:r w:rsidR="005446D3" w:rsidRPr="000E5487">
        <w:rPr>
          <w:rFonts w:ascii="Times New Roman" w:eastAsia="Calibri" w:hAnsi="Times New Roman"/>
          <w:color w:val="000000"/>
          <w:szCs w:val="24"/>
          <w:lang w:eastAsia="en-US"/>
        </w:rPr>
        <w:t>conforme estabelecido pela IAS 41,</w:t>
      </w:r>
      <w:r w:rsidRPr="000E5487">
        <w:rPr>
          <w:rFonts w:ascii="Times New Roman" w:eastAsia="Calibri" w:hAnsi="Times New Roman"/>
          <w:color w:val="000000"/>
          <w:szCs w:val="24"/>
          <w:lang w:eastAsia="en-US"/>
        </w:rPr>
        <w:t xml:space="preserve"> serem</w:t>
      </w:r>
      <w:r w:rsidRPr="000E5487">
        <w:rPr>
          <w:rFonts w:ascii="Times New Roman" w:eastAsia="SimSun" w:hAnsi="Times New Roman"/>
        </w:rPr>
        <w:t xml:space="preserve"> mensurados a </w:t>
      </w:r>
      <w:r w:rsidRPr="000E5487">
        <w:rPr>
          <w:rFonts w:ascii="Times New Roman" w:eastAsia="SimSun" w:hAnsi="Times New Roman"/>
          <w:i/>
        </w:rPr>
        <w:t>fair value</w:t>
      </w:r>
      <w:r w:rsidRPr="000E5487">
        <w:rPr>
          <w:rFonts w:ascii="Times New Roman" w:eastAsia="SimSun" w:hAnsi="Times New Roman"/>
        </w:rPr>
        <w:t>, na maioria dos casos</w:t>
      </w:r>
      <w:r w:rsidR="00980BD6">
        <w:rPr>
          <w:rFonts w:ascii="Times New Roman" w:eastAsia="SimSun" w:hAnsi="Times New Roman"/>
        </w:rPr>
        <w:t xml:space="preserve"> </w:t>
      </w:r>
      <w:r w:rsidR="00980BD6">
        <w:rPr>
          <w:rFonts w:ascii="Times New Roman" w:eastAsia="SimSun" w:hAnsi="Times New Roman"/>
        </w:rPr>
        <w:fldChar w:fldCharType="begin" w:fldLock="1"/>
      </w:r>
      <w:r w:rsidR="00980BD6">
        <w:rPr>
          <w:rFonts w:ascii="Times New Roman" w:eastAsia="SimSun" w:hAnsi="Times New Roman"/>
        </w:rPr>
        <w:instrText>ADDIN CSL_CITATION {"citationItems":[{"id":"ITEM-1","itemData":{"author":[{"dropping-particle":"","family":"Marion","given":"José Carlos","non-dropping-particle":"","parse-names":false,"suffix":""}],"edition":"12","id":"ITEM-1","issued":{"date-parts":[["2010"]]},"number-of-pages":"280","publisher":"Atlas","publisher-place":"São Paulo","title":"Contabilidade rural, contabilidade agrícola, contabilidade pecuária, imposto de renda pessoa jurídica","type":"book"},"uris":["http://www.mendeley.com/documents/?uuid=82b6ee4f-5b80-4d5d-b47a-8f76628b07d7"]}],"mendeley":{"formattedCitation":"(MARION, 2010)","plainTextFormattedCitation":"(MARION, 2010)","previouslyFormattedCitation":"(MARION, 2010)"},"properties":{"noteIndex":0},"schema":"https://github.com/citation-style-language/schema/raw/master/csl-citation.json"}</w:instrText>
      </w:r>
      <w:r w:rsidR="00980BD6">
        <w:rPr>
          <w:rFonts w:ascii="Times New Roman" w:eastAsia="SimSun" w:hAnsi="Times New Roman"/>
        </w:rPr>
        <w:fldChar w:fldCharType="separate"/>
      </w:r>
      <w:r w:rsidR="00980BD6" w:rsidRPr="00980BD6">
        <w:rPr>
          <w:rFonts w:ascii="Times New Roman" w:eastAsia="SimSun" w:hAnsi="Times New Roman"/>
          <w:noProof/>
        </w:rPr>
        <w:t>(MARION, 2010)</w:t>
      </w:r>
      <w:r w:rsidR="00980BD6">
        <w:rPr>
          <w:rFonts w:ascii="Times New Roman" w:eastAsia="SimSun" w:hAnsi="Times New Roman"/>
        </w:rPr>
        <w:fldChar w:fldCharType="end"/>
      </w:r>
      <w:r w:rsidRPr="000E5487">
        <w:rPr>
          <w:rFonts w:ascii="Times New Roman" w:eastAsia="SimSun" w:hAnsi="Times New Roman"/>
          <w:i/>
        </w:rPr>
        <w:t xml:space="preserve">. </w:t>
      </w:r>
      <w:r w:rsidRPr="000E5487">
        <w:rPr>
          <w:rFonts w:ascii="Times New Roman" w:eastAsia="SimSun" w:hAnsi="Times New Roman"/>
        </w:rPr>
        <w:t xml:space="preserve">A IFRS nº 13 </w:t>
      </w:r>
      <w:r w:rsidR="009A6691" w:rsidRPr="000E5487">
        <w:rPr>
          <w:rFonts w:ascii="Times New Roman" w:eastAsia="SimSun" w:hAnsi="Times New Roman"/>
        </w:rPr>
        <w:t>conceitua</w:t>
      </w:r>
      <w:r w:rsidRPr="000E5487">
        <w:rPr>
          <w:rFonts w:ascii="Times New Roman" w:eastAsia="SimSun" w:hAnsi="Times New Roman"/>
        </w:rPr>
        <w:t xml:space="preserve"> o </w:t>
      </w:r>
      <w:r w:rsidRPr="000E5487">
        <w:rPr>
          <w:rFonts w:ascii="Times New Roman" w:eastAsia="SimSun" w:hAnsi="Times New Roman"/>
          <w:i/>
        </w:rPr>
        <w:t>fair value</w:t>
      </w:r>
      <w:r w:rsidRPr="000E5487">
        <w:rPr>
          <w:rFonts w:ascii="Times New Roman" w:eastAsia="SimSun" w:hAnsi="Times New Roman"/>
        </w:rPr>
        <w:t xml:space="preserve"> como o preço que seria recebido pela venda de um ativo ou pago pela transferência de um passivo em uma transação não forçada entre participantes do mercado na data da avaliação. </w:t>
      </w:r>
    </w:p>
    <w:p w:rsidR="009A6691" w:rsidRDefault="00A00C16"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SimSun" w:hAnsi="Times New Roman"/>
        </w:rPr>
        <w:t xml:space="preserve">Em sua última alteração, a IAS nº 41 determinou que, a partir do exercício de 2016, as </w:t>
      </w:r>
      <w:r w:rsidRPr="000E5487">
        <w:rPr>
          <w:rFonts w:ascii="Times New Roman" w:eastAsia="SimSun" w:hAnsi="Times New Roman"/>
          <w:i/>
        </w:rPr>
        <w:t xml:space="preserve">bearer plants </w:t>
      </w:r>
      <w:r w:rsidRPr="000E5487">
        <w:rPr>
          <w:rFonts w:ascii="Times New Roman" w:eastAsia="SimSun" w:hAnsi="Times New Roman"/>
        </w:rPr>
        <w:t xml:space="preserve">devem ser mensuradas a custo histórico ao invés do </w:t>
      </w:r>
      <w:r w:rsidRPr="000E5487">
        <w:rPr>
          <w:rFonts w:ascii="Times New Roman" w:eastAsia="SimSun" w:hAnsi="Times New Roman"/>
          <w:i/>
        </w:rPr>
        <w:t>fair value</w:t>
      </w:r>
      <w:r w:rsidRPr="000E5487">
        <w:rPr>
          <w:rFonts w:ascii="Times New Roman" w:eastAsia="SimSun" w:hAnsi="Times New Roman"/>
        </w:rPr>
        <w:t>, equiparando o tratamento contábil desses ativos aos ativos imobilizados.</w:t>
      </w:r>
      <w:r w:rsidRPr="00A00C16">
        <w:rPr>
          <w:rFonts w:ascii="Times New Roman" w:eastAsia="Calibri" w:hAnsi="Times New Roman"/>
          <w:color w:val="000000"/>
          <w:szCs w:val="24"/>
          <w:lang w:eastAsia="en-US"/>
        </w:rPr>
        <w:tab/>
        <w:t>Diante das novas exigências trazidas pelas IFRS para as entidades agrícolas, é necessário avaliar os efeitos da IAS nº 41 para a realidade d</w:t>
      </w:r>
      <w:r w:rsidR="000E5487">
        <w:rPr>
          <w:rFonts w:ascii="Times New Roman" w:eastAsia="Calibri" w:hAnsi="Times New Roman"/>
          <w:color w:val="000000"/>
          <w:szCs w:val="24"/>
          <w:lang w:eastAsia="en-US"/>
        </w:rPr>
        <w:t>a contabilidade do agronegócio.</w:t>
      </w:r>
    </w:p>
    <w:p w:rsidR="000E5487" w:rsidRDefault="000E5487"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A</w:t>
      </w:r>
      <w:r w:rsidRPr="000E5487">
        <w:rPr>
          <w:rFonts w:ascii="Times New Roman" w:eastAsia="Calibri" w:hAnsi="Times New Roman"/>
          <w:color w:val="000000"/>
          <w:szCs w:val="24"/>
          <w:lang w:eastAsia="en-US"/>
        </w:rPr>
        <w:t xml:space="preserve"> contabilidade a </w:t>
      </w:r>
      <w:r w:rsidRPr="000E5487">
        <w:rPr>
          <w:rFonts w:ascii="Times New Roman" w:eastAsia="Calibri" w:hAnsi="Times New Roman"/>
          <w:i/>
          <w:color w:val="000000"/>
          <w:szCs w:val="24"/>
          <w:lang w:eastAsia="en-US"/>
        </w:rPr>
        <w:t xml:space="preserve">fair value </w:t>
      </w:r>
      <w:r w:rsidRPr="00A60AED">
        <w:rPr>
          <w:rFonts w:ascii="Times New Roman" w:eastAsia="Calibri" w:hAnsi="Times New Roman"/>
          <w:color w:val="000000"/>
          <w:szCs w:val="24"/>
          <w:lang w:eastAsia="en-US"/>
        </w:rPr>
        <w:t>“</w:t>
      </w:r>
      <w:r w:rsidR="00A60AED" w:rsidRPr="00A60AED">
        <w:rPr>
          <w:rFonts w:ascii="Times New Roman" w:eastAsia="Calibri" w:hAnsi="Times New Roman"/>
          <w:color w:val="000000"/>
          <w:szCs w:val="24"/>
          <w:lang w:eastAsia="en-US"/>
        </w:rPr>
        <w:t>j</w:t>
      </w:r>
      <w:r w:rsidR="00A60AED">
        <w:rPr>
          <w:rFonts w:ascii="Times New Roman" w:eastAsia="Calibri" w:hAnsi="Times New Roman"/>
          <w:color w:val="000000"/>
          <w:szCs w:val="24"/>
          <w:lang w:eastAsia="en-US"/>
        </w:rPr>
        <w:t>á</w:t>
      </w:r>
      <w:r w:rsidR="00A60AED" w:rsidRPr="00A60AED">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 xml:space="preserve">é </w:t>
      </w:r>
      <w:r>
        <w:rPr>
          <w:rFonts w:ascii="Times New Roman" w:eastAsia="Calibri" w:hAnsi="Times New Roman"/>
          <w:color w:val="000000"/>
          <w:szCs w:val="24"/>
          <w:lang w:eastAsia="en-US"/>
        </w:rPr>
        <w:t>uma prática aceita mundialmente</w:t>
      </w:r>
      <w:r w:rsidRPr="000E5487">
        <w:rPr>
          <w:rFonts w:ascii="Times New Roman" w:eastAsia="Calibri" w:hAnsi="Times New Roman"/>
          <w:color w:val="000000"/>
          <w:szCs w:val="24"/>
          <w:lang w:eastAsia="en-US"/>
        </w:rPr>
        <w:t>, dependendo apenas do consenso dos métodos, em quais elementos, e, em que momento deve ser aplicado</w:t>
      </w:r>
      <w:r w:rsidR="00A60AED" w:rsidRPr="00403D15">
        <w:rPr>
          <w:rFonts w:ascii="Times New Roman" w:eastAsia="Calibri" w:hAnsi="Times New Roman"/>
          <w:color w:val="000000"/>
          <w:szCs w:val="24"/>
          <w:lang w:eastAsia="en-US"/>
        </w:rPr>
        <w:t>”</w:t>
      </w:r>
      <w:r w:rsidR="00A60AED" w:rsidRPr="00403D15">
        <w:rPr>
          <w:rFonts w:ascii="Times New Roman" w:hAnsi="Times New Roman"/>
        </w:rPr>
        <w:t xml:space="preserve"> </w:t>
      </w:r>
      <w:r w:rsidR="00403D15" w:rsidRPr="00403D15">
        <w:rPr>
          <w:rFonts w:ascii="Times New Roman" w:hAnsi="Times New Roman"/>
        </w:rPr>
        <w:fldChar w:fldCharType="begin" w:fldLock="1"/>
      </w:r>
      <w:r w:rsidR="00573AA2">
        <w:rPr>
          <w:rFonts w:ascii="Times New Roman" w:hAnsi="Times New Roman"/>
        </w:rPr>
        <w:instrText>ADDIN CSL_CITATION {"citationItems":[{"id":"ITEM-1","itemData":{"ISSN":"1808-2882","abstract":"Resumo A IAS 41 inseriu no cenário internacional da contabilidade as condições mínimas para contabilização e apresentação dos ativos biológicos nas demonstrações financeiras. O mesmo aconteceu no Brasil com a CPC 29 que estabelece que os ativos biológicos devem ser mensurados a valor justo sempre que esse possa ser mensurado confiavelmente. Desta forma, este artigo tem como objetivo analisar os métodos de mensuração dos ativos biológicos de natureza fixa. A pesquisa é de natureza exploratória, à partir da aplicação de dados hipotéticos à um pomar de laranjas, que apresenta as características gerais da maioria das árvores frutíferas, servindo de referência para os demais ativos biológicos de mesma natureza. O artigo faz uma análise da aplicação das técnicas de mensuração a valor justo determinadas pela IAS 41 e pela IFRS 13, com a apresentação de três métodos para mensurar os ativos biológicos de natureza fixa. Como resultado da pesquisa, destaca-se que o critério de mensuração a valor justo é aplicável ao setor do ponto de vista teórico. Porém, para a mensuração destes ativos depende-se de estimativas de preços e de produção, que em muitos casos envolve previsões com estatísticas e dados subjetivos, o que justifica a dificuldade encontrada no setor para a mensuração dos ativos biológicos. Palavras-chave: Valor justo. Ativos biológicos. Métodos de mensuração.","author":[{"dropping-particle":"","family":"Rech","given":"Ilirio Jose","non-dropping-particle":"","parse-names":false,"suffix":""},{"dropping-particle":"","family":"Pereira","given":"Ivone Vieira","non-dropping-particle":"","parse-names":false,"suffix":""}],"container-title":"Custos e @gronegócio on line","id":"ITEM-1","issue":"2","issued":{"date-parts":[["2012"]]},"page":"131-157","title":"Valor justo : análise dos métodos de mensuração aplicáveis aos ativos biológicos de natureza fixa","type":"article-journal","volume":"8"},"uris":["http://www.mendeley.com/documents/?uuid=71117ee0-a9fb-3d3b-829d-dc0f8e8cbf74"]}],"mendeley":{"formattedCitation":"(RECH; PEREIRA, 2012)","manualFormatting":"(RECH; PEREIRA, 2012, p. 137)","plainTextFormattedCitation":"(RECH; PEREIRA, 2012)","previouslyFormattedCitation":"(RECH; PEREIRA, 2012)"},"properties":{"noteIndex":0},"schema":"https://github.com/citation-style-language/schema/raw/master/csl-citation.json"}</w:instrText>
      </w:r>
      <w:r w:rsidR="00403D15" w:rsidRPr="00403D15">
        <w:rPr>
          <w:rFonts w:ascii="Times New Roman" w:hAnsi="Times New Roman"/>
        </w:rPr>
        <w:fldChar w:fldCharType="separate"/>
      </w:r>
      <w:r w:rsidR="00403D15" w:rsidRPr="00403D15">
        <w:rPr>
          <w:rFonts w:ascii="Times New Roman" w:hAnsi="Times New Roman"/>
          <w:noProof/>
        </w:rPr>
        <w:t>(RECH; PEREIRA, 2012</w:t>
      </w:r>
      <w:r w:rsidR="00403D15">
        <w:rPr>
          <w:rFonts w:ascii="Times New Roman" w:hAnsi="Times New Roman"/>
          <w:noProof/>
        </w:rPr>
        <w:t>, p. 137</w:t>
      </w:r>
      <w:r w:rsidR="00403D15" w:rsidRPr="00403D15">
        <w:rPr>
          <w:rFonts w:ascii="Times New Roman" w:hAnsi="Times New Roman"/>
          <w:noProof/>
        </w:rPr>
        <w:t>)</w:t>
      </w:r>
      <w:r w:rsidR="00403D15" w:rsidRPr="00403D15">
        <w:rPr>
          <w:rFonts w:ascii="Times New Roman" w:hAnsi="Times New Roman"/>
        </w:rPr>
        <w:fldChar w:fldCharType="end"/>
      </w:r>
      <w:r w:rsidR="00A60AED" w:rsidRPr="00403D15">
        <w:rPr>
          <w:rFonts w:ascii="Times New Roman" w:eastAsia="Calibri" w:hAnsi="Times New Roman"/>
          <w:color w:val="000000"/>
          <w:szCs w:val="24"/>
          <w:lang w:eastAsia="en-US"/>
        </w:rPr>
        <w:t>. Para ativos que não possuem mercad</w:t>
      </w:r>
      <w:r w:rsidR="00A60AED">
        <w:rPr>
          <w:rFonts w:ascii="Times New Roman" w:eastAsia="Calibri" w:hAnsi="Times New Roman"/>
          <w:color w:val="000000"/>
          <w:szCs w:val="24"/>
          <w:lang w:eastAsia="en-US"/>
        </w:rPr>
        <w:t>o</w:t>
      </w:r>
      <w:r w:rsidR="00A60AED" w:rsidRPr="00A60AED">
        <w:rPr>
          <w:rFonts w:ascii="Times New Roman" w:eastAsia="Calibri" w:hAnsi="Times New Roman"/>
          <w:color w:val="000000"/>
          <w:szCs w:val="24"/>
          <w:lang w:eastAsia="en-US"/>
        </w:rPr>
        <w:t xml:space="preserve"> </w:t>
      </w:r>
      <w:r w:rsidR="00A60AED">
        <w:rPr>
          <w:rFonts w:ascii="Times New Roman" w:eastAsia="Calibri" w:hAnsi="Times New Roman"/>
          <w:color w:val="000000"/>
          <w:szCs w:val="24"/>
          <w:lang w:eastAsia="en-US"/>
        </w:rPr>
        <w:t>ativo,</w:t>
      </w:r>
      <w:r w:rsidR="00A60AED" w:rsidRPr="00A60AED">
        <w:rPr>
          <w:rFonts w:ascii="Times New Roman" w:eastAsia="Calibri" w:hAnsi="Times New Roman"/>
          <w:color w:val="000000"/>
          <w:szCs w:val="24"/>
          <w:lang w:eastAsia="en-US"/>
        </w:rPr>
        <w:t xml:space="preserve"> </w:t>
      </w:r>
      <w:r w:rsidR="00A60AED">
        <w:rPr>
          <w:rFonts w:ascii="Times New Roman" w:eastAsia="Calibri" w:hAnsi="Times New Roman"/>
          <w:color w:val="000000"/>
          <w:szCs w:val="24"/>
          <w:lang w:eastAsia="en-US"/>
        </w:rPr>
        <w:t>os</w:t>
      </w:r>
      <w:r w:rsidR="00A60AED" w:rsidRPr="00A60AED">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 xml:space="preserve">profissionais contábeis dependem de estimativas de preços e de produção, normalmente encontradas por meio de estatísticas e dados subjetivos, o que dificulta a aplicação do </w:t>
      </w:r>
      <w:r w:rsidRPr="00A60AED">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no contexto dos ativos biológicos</w:t>
      </w:r>
      <w:r w:rsidR="00A60AED" w:rsidRPr="00A60AED">
        <w:rPr>
          <w:rFonts w:ascii="Times New Roman" w:eastAsia="Calibri" w:hAnsi="Times New Roman"/>
          <w:color w:val="000000"/>
          <w:szCs w:val="24"/>
          <w:lang w:eastAsia="en-US"/>
        </w:rPr>
        <w:t xml:space="preserve"> </w:t>
      </w:r>
      <w:r w:rsidR="00573AA2">
        <w:rPr>
          <w:rFonts w:ascii="Times New Roman" w:eastAsia="Calibri" w:hAnsi="Times New Roman"/>
          <w:color w:val="000000"/>
          <w:szCs w:val="24"/>
          <w:lang w:eastAsia="en-US"/>
        </w:rPr>
        <w:fldChar w:fldCharType="begin" w:fldLock="1"/>
      </w:r>
      <w:r w:rsidR="00514231">
        <w:rPr>
          <w:rFonts w:ascii="Times New Roman" w:eastAsia="Calibri" w:hAnsi="Times New Roman"/>
          <w:color w:val="000000"/>
          <w:szCs w:val="24"/>
          <w:lang w:eastAsia="en-US"/>
        </w:rPr>
        <w:instrText>ADDIN CSL_CITATION {"citationItems":[{"id":"ITEM-1","itemData":{"ISSN":"1808-2882","abstract":"Resumo A IAS 41 inseriu no cenário internacional da contabilidade as condições mínimas para contabilização e apresentação dos ativos biológicos nas demonstrações financeiras. O mesmo aconteceu no Brasil com a CPC 29 que estabelece que os ativos biológicos devem ser mensurados a valor justo sempre que esse possa ser mensurado confiavelmente. Desta forma, este artigo tem como objetivo analisar os métodos de mensuração dos ativos biológicos de natureza fixa. A pesquisa é de natureza exploratória, à partir da aplicação de dados hipotéticos à um pomar de laranjas, que apresenta as características gerais da maioria das árvores frutíferas, servindo de referência para os demais ativos biológicos de mesma natureza. O artigo faz uma análise da aplicação das técnicas de mensuração a valor justo determinadas pela IAS 41 e pela IFRS 13, com a apresentação de três métodos para mensurar os ativos biológicos de natureza fixa. Como resultado da pesquisa, destaca-se que o critério de mensuração a valor justo é aplicável ao setor do ponto de vista teórico. Porém, para a mensuração destes ativos depende-se de estimativas de preços e de produção, que em muitos casos envolve previsões com estatísticas e dados subjetivos, o que justifica a dificuldade encontrada no setor para a mensuração dos ativos biológicos. Palavras-chave: Valor justo. Ativos biológicos. Métodos de mensuração.","author":[{"dropping-particle":"","family":"Rech","given":"Ilirio Jose","non-dropping-particle":"","parse-names":false,"suffix":""},{"dropping-particle":"","family":"Pereira","given":"Ivone Vieira","non-dropping-particle":"","parse-names":false,"suffix":""}],"container-title":"Custos e @gronegócio on line","id":"ITEM-1","issue":"2","issued":{"date-parts":[["2012"]]},"page":"131-157","title":"Valor justo : análise dos métodos de mensuração aplicáveis aos ativos biológicos de natureza fixa","type":"article-journal","volume":"8"},"uris":["http://www.mendeley.com/documents/?uuid=71117ee0-a9fb-3d3b-829d-dc0f8e8cbf74"]}],"mendeley":{"formattedCitation":"(RECH; PEREIRA, 2012)","plainTextFormattedCitation":"(RECH; PEREIRA, 2012)","previouslyFormattedCitation":"(RECH; PEREIRA, 2012)"},"properties":{"noteIndex":0},"schema":"https://github.com/citation-style-language/schema/raw/master/csl-citation.json"}</w:instrText>
      </w:r>
      <w:r w:rsidR="00573AA2">
        <w:rPr>
          <w:rFonts w:ascii="Times New Roman" w:eastAsia="Calibri" w:hAnsi="Times New Roman"/>
          <w:color w:val="000000"/>
          <w:szCs w:val="24"/>
          <w:lang w:eastAsia="en-US"/>
        </w:rPr>
        <w:fldChar w:fldCharType="separate"/>
      </w:r>
      <w:r w:rsidR="00573AA2" w:rsidRPr="00573AA2">
        <w:rPr>
          <w:rFonts w:ascii="Times New Roman" w:eastAsia="Calibri" w:hAnsi="Times New Roman"/>
          <w:noProof/>
          <w:color w:val="000000"/>
          <w:szCs w:val="24"/>
          <w:lang w:eastAsia="en-US"/>
        </w:rPr>
        <w:t>(RECH; PEREIRA, 2012)</w:t>
      </w:r>
      <w:r w:rsidR="00573AA2">
        <w:rPr>
          <w:rFonts w:ascii="Times New Roman" w:eastAsia="Calibri" w:hAnsi="Times New Roman"/>
          <w:color w:val="000000"/>
          <w:szCs w:val="24"/>
          <w:lang w:eastAsia="en-US"/>
        </w:rPr>
        <w:fldChar w:fldCharType="end"/>
      </w:r>
      <w:r w:rsidR="00A60AED">
        <w:rPr>
          <w:rFonts w:ascii="Times New Roman" w:eastAsia="Calibri" w:hAnsi="Times New Roman"/>
          <w:color w:val="000000"/>
          <w:szCs w:val="24"/>
          <w:lang w:eastAsia="en-US"/>
        </w:rPr>
        <w:t>.</w:t>
      </w:r>
    </w:p>
    <w:p w:rsidR="00E20CD0" w:rsidRDefault="00A60AED" w:rsidP="00B747D7">
      <w:pPr>
        <w:spacing w:after="0" w:line="240" w:lineRule="auto"/>
        <w:ind w:firstLine="709"/>
        <w:jc w:val="both"/>
        <w:rPr>
          <w:rFonts w:ascii="Times New Roman" w:eastAsia="Calibri" w:hAnsi="Times New Roman"/>
          <w:color w:val="000000"/>
          <w:szCs w:val="24"/>
          <w:lang w:eastAsia="en-US"/>
        </w:rPr>
      </w:pPr>
      <w:r w:rsidRPr="00A60AED">
        <w:rPr>
          <w:rFonts w:ascii="Times New Roman" w:eastAsia="Calibri" w:hAnsi="Times New Roman"/>
          <w:color w:val="000000"/>
          <w:szCs w:val="24"/>
          <w:lang w:eastAsia="en-US"/>
        </w:rPr>
        <w:t xml:space="preserve">A IFRS 13 destaca que </w:t>
      </w:r>
      <w:r>
        <w:rPr>
          <w:rFonts w:ascii="Times New Roman" w:eastAsia="Calibri" w:hAnsi="Times New Roman"/>
          <w:color w:val="000000"/>
          <w:szCs w:val="24"/>
          <w:lang w:eastAsia="en-US"/>
        </w:rPr>
        <w:t>os</w:t>
      </w:r>
      <w:r w:rsidRPr="00A60AED">
        <w:rPr>
          <w:rFonts w:ascii="Times New Roman" w:eastAsia="Calibri" w:hAnsi="Times New Roman"/>
          <w:color w:val="000000"/>
          <w:szCs w:val="24"/>
          <w:lang w:eastAsia="en-US"/>
        </w:rPr>
        <w:t xml:space="preserve"> </w:t>
      </w:r>
      <w:r w:rsidRPr="00A60AED">
        <w:rPr>
          <w:rFonts w:ascii="Times New Roman" w:eastAsia="Calibri" w:hAnsi="Times New Roman"/>
          <w:i/>
          <w:color w:val="000000"/>
          <w:szCs w:val="24"/>
          <w:lang w:eastAsia="en-US"/>
        </w:rPr>
        <w:t>inputs</w:t>
      </w:r>
      <w:r w:rsidRPr="00A60AED">
        <w:rPr>
          <w:rFonts w:ascii="Times New Roman" w:eastAsia="Calibri" w:hAnsi="Times New Roman"/>
          <w:color w:val="000000"/>
          <w:szCs w:val="24"/>
          <w:lang w:eastAsia="en-US"/>
        </w:rPr>
        <w:t xml:space="preserve"> para aplicação das técnicas de mensuração</w:t>
      </w:r>
      <w:r>
        <w:rPr>
          <w:rFonts w:ascii="Times New Roman" w:eastAsia="Calibri" w:hAnsi="Times New Roman"/>
          <w:color w:val="000000"/>
          <w:szCs w:val="24"/>
          <w:lang w:eastAsia="en-US"/>
        </w:rPr>
        <w:t xml:space="preserve"> devem refletir</w:t>
      </w:r>
      <w:r w:rsidRPr="00A60AED">
        <w:rPr>
          <w:rFonts w:ascii="Times New Roman" w:eastAsia="Calibri" w:hAnsi="Times New Roman"/>
          <w:color w:val="000000"/>
          <w:szCs w:val="24"/>
          <w:lang w:eastAsia="en-US"/>
        </w:rPr>
        <w:t xml:space="preserve"> os pressupostos que os participantes do mercado usariam na </w:t>
      </w:r>
      <w:r>
        <w:rPr>
          <w:rFonts w:ascii="Times New Roman" w:eastAsia="Calibri" w:hAnsi="Times New Roman"/>
          <w:color w:val="000000"/>
          <w:szCs w:val="24"/>
          <w:lang w:eastAsia="en-US"/>
        </w:rPr>
        <w:t xml:space="preserve">avaliação de um ativo ou </w:t>
      </w:r>
      <w:r w:rsidRPr="00A60AED">
        <w:rPr>
          <w:rFonts w:ascii="Times New Roman" w:eastAsia="Calibri" w:hAnsi="Times New Roman"/>
          <w:color w:val="000000"/>
          <w:szCs w:val="24"/>
          <w:lang w:eastAsia="en-US"/>
        </w:rPr>
        <w:t xml:space="preserve"> passivo.</w:t>
      </w:r>
      <w:r w:rsidR="00E20CD0" w:rsidRPr="00E20CD0">
        <w:rPr>
          <w:rFonts w:ascii="Times New Roman" w:eastAsia="Calibri" w:hAnsi="Times New Roman"/>
          <w:color w:val="000000"/>
          <w:szCs w:val="24"/>
          <w:lang w:eastAsia="en-US"/>
        </w:rPr>
        <w:t xml:space="preserve"> </w:t>
      </w:r>
      <w:r w:rsidR="00A424EF">
        <w:rPr>
          <w:rFonts w:ascii="Times New Roman" w:eastAsia="Calibri" w:hAnsi="Times New Roman"/>
          <w:color w:val="000000"/>
          <w:szCs w:val="24"/>
          <w:lang w:eastAsia="en-US"/>
        </w:rPr>
        <w:t>De</w:t>
      </w:r>
      <w:r w:rsidR="00A424EF" w:rsidRPr="00A424EF">
        <w:rPr>
          <w:rFonts w:ascii="Times New Roman" w:eastAsia="Calibri" w:hAnsi="Times New Roman"/>
          <w:color w:val="000000"/>
          <w:szCs w:val="24"/>
          <w:lang w:eastAsia="en-US"/>
        </w:rPr>
        <w:t xml:space="preserve"> </w:t>
      </w:r>
      <w:r w:rsidR="00A424EF">
        <w:rPr>
          <w:rFonts w:ascii="Times New Roman" w:eastAsia="Calibri" w:hAnsi="Times New Roman"/>
          <w:color w:val="000000"/>
          <w:szCs w:val="24"/>
          <w:lang w:eastAsia="en-US"/>
        </w:rPr>
        <w:t>acordo</w:t>
      </w:r>
      <w:r w:rsidR="00A424EF" w:rsidRPr="00A424EF">
        <w:rPr>
          <w:rFonts w:ascii="Times New Roman" w:eastAsia="Calibri" w:hAnsi="Times New Roman"/>
          <w:color w:val="000000"/>
          <w:szCs w:val="24"/>
          <w:lang w:eastAsia="en-US"/>
        </w:rPr>
        <w:t xml:space="preserve"> </w:t>
      </w:r>
      <w:r w:rsidR="00A424EF">
        <w:rPr>
          <w:rFonts w:ascii="Times New Roman" w:eastAsia="Calibri" w:hAnsi="Times New Roman"/>
          <w:color w:val="000000"/>
          <w:szCs w:val="24"/>
          <w:lang w:eastAsia="en-US"/>
        </w:rPr>
        <w:t>com</w:t>
      </w:r>
      <w:r w:rsidR="00A424EF" w:rsidRPr="00A424EF">
        <w:rPr>
          <w:rFonts w:ascii="Times New Roman" w:eastAsia="Calibri" w:hAnsi="Times New Roman"/>
          <w:color w:val="000000"/>
          <w:szCs w:val="24"/>
          <w:lang w:eastAsia="en-US"/>
        </w:rPr>
        <w:t xml:space="preserve"> </w:t>
      </w:r>
      <w:r w:rsidR="00514231">
        <w:rPr>
          <w:rFonts w:ascii="Times New Roman" w:eastAsia="Calibri" w:hAnsi="Times New Roman"/>
          <w:color w:val="000000"/>
          <w:szCs w:val="24"/>
          <w:lang w:eastAsia="en-US"/>
        </w:rPr>
        <w:fldChar w:fldCharType="begin" w:fldLock="1"/>
      </w:r>
      <w:r w:rsidR="00514231">
        <w:rPr>
          <w:rFonts w:ascii="Times New Roman" w:eastAsia="Calibri" w:hAnsi="Times New Roman"/>
          <w:color w:val="000000"/>
          <w:szCs w:val="24"/>
          <w:lang w:eastAsia="en-US"/>
        </w:rPr>
        <w:instrText>ADDIN CSL_CITATION {"citationItems":[{"id":"ITEM-1","itemData":{"ISBN":"7623015400","ISSN":"2175-8069","abstract":"O objetivo desta pesquisa foi analisar se as informações contábeis, referentes a ativos biológicos mensurados a valor justo, possuem value relevance e apresentam evidências de representação fidedigna. Avaliou-se tais atributos dos ativos biológicos de curto e longo prazo por meio do modelo de Feltham e Ohlson (1995). As evidências sustentam que ambos os ativos biológicos mensurados a valor justo, apresentaram-se como valores relevantes para o mercado. No que se referem à representação fidedigna desses ativos, as evidências indicaram que os mesmos são vistos pelo mercado como informação conservadora, porém, o grau de conservadorismo percebido não interfere na confiabilidade da informação.","author":[{"dropping-particle":"","family":"Martins","given":"Vinícius Gomes","non-dropping-particle":"","parse-names":false,"suffix":""},{"dropping-particle":"","family":"Machado","given":"Marcio André Veras","non-dropping-particle":"","parse-names":false,"suffix":""},{"dropping-particle":"","family":"Callado","given":"Aldo Leonardo Cunha","non-dropping-particle":"","parse-names":false,"suffix":""}],"container-title":"Revista Contemporânea de Contabilidade","id":"ITEM-1","issue":"22","issued":{"date-parts":[["2014"]]},"page":"163-188","title":"Relevância e representação fidedigna na mensuração de ativos biológicos a valor justo por empresas listadas na BM &amp; FBovespa","type":"article-journal","volume":"11"},"uris":["http://www.mendeley.com/documents/?uuid=cfea0dbe-c1b2-473b-9539-11fc67f78322"]}],"mendeley":{"formattedCitation":"(MARTINS; MACHADO; CALLADO, 2014)","manualFormatting":"Martins, Machado e Callado (2014)","plainTextFormattedCitation":"(MARTINS; MACHADO; CALLADO, 2014)","previouslyFormattedCitation":"(MARTINS; MACHADO; CALLADO, 2014)"},"properties":{"noteIndex":0},"schema":"https://github.com/citation-style-language/schema/raw/master/csl-citation.json"}</w:instrText>
      </w:r>
      <w:r w:rsidR="00514231">
        <w:rPr>
          <w:rFonts w:ascii="Times New Roman" w:eastAsia="Calibri" w:hAnsi="Times New Roman"/>
          <w:color w:val="000000"/>
          <w:szCs w:val="24"/>
          <w:lang w:eastAsia="en-US"/>
        </w:rPr>
        <w:fldChar w:fldCharType="separate"/>
      </w:r>
      <w:r w:rsidR="00514231" w:rsidRPr="00514231">
        <w:rPr>
          <w:rFonts w:ascii="Times New Roman" w:eastAsia="Calibri" w:hAnsi="Times New Roman"/>
          <w:noProof/>
          <w:color w:val="000000"/>
          <w:szCs w:val="24"/>
          <w:lang w:eastAsia="en-US"/>
        </w:rPr>
        <w:t>Martins</w:t>
      </w:r>
      <w:r w:rsidR="00514231">
        <w:rPr>
          <w:rFonts w:ascii="Times New Roman" w:eastAsia="Calibri" w:hAnsi="Times New Roman"/>
          <w:noProof/>
          <w:color w:val="000000"/>
          <w:szCs w:val="24"/>
          <w:lang w:eastAsia="en-US"/>
        </w:rPr>
        <w:t>, Machado e</w:t>
      </w:r>
      <w:r w:rsidR="00514231" w:rsidRPr="00514231">
        <w:rPr>
          <w:rFonts w:ascii="Times New Roman" w:eastAsia="Calibri" w:hAnsi="Times New Roman"/>
          <w:noProof/>
          <w:color w:val="000000"/>
          <w:szCs w:val="24"/>
          <w:lang w:eastAsia="en-US"/>
        </w:rPr>
        <w:t xml:space="preserve"> Callado </w:t>
      </w:r>
      <w:r w:rsidR="00514231">
        <w:rPr>
          <w:rFonts w:ascii="Times New Roman" w:eastAsia="Calibri" w:hAnsi="Times New Roman"/>
          <w:noProof/>
          <w:color w:val="000000"/>
          <w:szCs w:val="24"/>
          <w:lang w:eastAsia="en-US"/>
        </w:rPr>
        <w:t>(</w:t>
      </w:r>
      <w:r w:rsidR="00514231" w:rsidRPr="00514231">
        <w:rPr>
          <w:rFonts w:ascii="Times New Roman" w:eastAsia="Calibri" w:hAnsi="Times New Roman"/>
          <w:noProof/>
          <w:color w:val="000000"/>
          <w:szCs w:val="24"/>
          <w:lang w:eastAsia="en-US"/>
        </w:rPr>
        <w:t>2014)</w:t>
      </w:r>
      <w:r w:rsidR="00514231">
        <w:rPr>
          <w:rFonts w:ascii="Times New Roman" w:eastAsia="Calibri" w:hAnsi="Times New Roman"/>
          <w:color w:val="000000"/>
          <w:szCs w:val="24"/>
          <w:lang w:eastAsia="en-US"/>
        </w:rPr>
        <w:fldChar w:fldCharType="end"/>
      </w:r>
      <w:r w:rsidR="00A424EF">
        <w:rPr>
          <w:rFonts w:ascii="Times New Roman" w:eastAsia="Calibri" w:hAnsi="Times New Roman"/>
          <w:color w:val="000000"/>
          <w:szCs w:val="24"/>
          <w:lang w:eastAsia="en-US"/>
        </w:rPr>
        <w:t>,</w:t>
      </w:r>
      <w:r w:rsidR="00A424EF" w:rsidRPr="00A424EF">
        <w:rPr>
          <w:rFonts w:ascii="Times New Roman" w:eastAsia="Calibri" w:hAnsi="Times New Roman"/>
          <w:color w:val="000000"/>
          <w:szCs w:val="24"/>
          <w:lang w:eastAsia="en-US"/>
        </w:rPr>
        <w:t xml:space="preserve">  </w:t>
      </w:r>
      <w:r w:rsidR="00A424EF">
        <w:rPr>
          <w:rFonts w:ascii="Times New Roman" w:eastAsia="Calibri" w:hAnsi="Times New Roman"/>
          <w:color w:val="000000"/>
          <w:szCs w:val="24"/>
          <w:lang w:eastAsia="en-US"/>
        </w:rPr>
        <w:t>n</w:t>
      </w:r>
      <w:r w:rsidR="00A424EF" w:rsidRPr="00A00C16">
        <w:rPr>
          <w:rFonts w:ascii="Times New Roman" w:eastAsia="Calibri" w:hAnsi="Times New Roman"/>
          <w:color w:val="000000"/>
          <w:szCs w:val="24"/>
          <w:lang w:eastAsia="en-US"/>
        </w:rPr>
        <w:t xml:space="preserve">a perspectiva do mercado, as informações da </w:t>
      </w:r>
      <w:r w:rsidR="00A424EF">
        <w:rPr>
          <w:rFonts w:ascii="Times New Roman" w:eastAsia="Calibri" w:hAnsi="Times New Roman"/>
          <w:color w:val="000000"/>
          <w:szCs w:val="24"/>
          <w:lang w:eastAsia="en-US"/>
        </w:rPr>
        <w:t>avalia</w:t>
      </w:r>
      <w:r w:rsidR="00A424EF" w:rsidRPr="00A00C16">
        <w:rPr>
          <w:rFonts w:ascii="Times New Roman" w:eastAsia="Calibri" w:hAnsi="Times New Roman"/>
          <w:color w:val="000000"/>
          <w:szCs w:val="24"/>
          <w:lang w:eastAsia="en-US"/>
        </w:rPr>
        <w:t xml:space="preserve">ção de ativos biológicos são relevantes e a mensuração do </w:t>
      </w:r>
      <w:r w:rsidR="00A424EF" w:rsidRPr="00A00C16">
        <w:rPr>
          <w:rFonts w:ascii="Times New Roman" w:eastAsia="Calibri" w:hAnsi="Times New Roman"/>
          <w:i/>
          <w:color w:val="000000"/>
          <w:szCs w:val="24"/>
          <w:lang w:eastAsia="en-US"/>
        </w:rPr>
        <w:t>fair value</w:t>
      </w:r>
      <w:r w:rsidR="00A424EF" w:rsidRPr="00A00C16">
        <w:rPr>
          <w:rFonts w:ascii="Times New Roman" w:eastAsia="Calibri" w:hAnsi="Times New Roman"/>
          <w:color w:val="000000"/>
          <w:szCs w:val="24"/>
          <w:lang w:eastAsia="en-US"/>
        </w:rPr>
        <w:t xml:space="preserve"> é confiável. Tais informações são relevantes, principalmente para empresas com maiores níveis de evidenciação e divulgação </w:t>
      </w:r>
      <w:r w:rsidR="00A424EF" w:rsidRPr="00A00C16">
        <w:rPr>
          <w:rFonts w:ascii="Times New Roman" w:eastAsia="Calibri" w:hAnsi="Times New Roman"/>
          <w:color w:val="000000"/>
          <w:szCs w:val="24"/>
          <w:lang w:eastAsia="en-US"/>
        </w:rPr>
        <w:fldChar w:fldCharType="begin" w:fldLock="1"/>
      </w:r>
      <w:r w:rsidR="00514231">
        <w:rPr>
          <w:rFonts w:ascii="Times New Roman" w:eastAsia="Calibri" w:hAnsi="Times New Roman"/>
          <w:color w:val="000000"/>
          <w:szCs w:val="24"/>
          <w:lang w:eastAsia="en-US"/>
        </w:rPr>
        <w:instrText>ADDIN CSL_CITATION {"citationItems":[{"id":"ITEM-1","itemData":{"ISSN":"0870-8541","abstract":"This paper analyzes accounting in agriculture under the International Accounting Standard (IAS) 41 – Agriculture of 270 listed firms worldwide that have adopted International Financial Reporting Standards (IFRS) until 2010. Previous empirical evidence on the implementation of this standard is still very scarce. In general it shows that the disclosure level is low and that comparability is missing. In order to extend previous research on disclosure practices under the IAS 41, an index of the disclosure of biological assets is constructed and calculated based in the 2011 annual report. This paper tests several hypotheses relating the index and firm-level determinants -biological assets intensity, ownership concentration, firm size, auditor type, internationalization level, listing status, profitability and sector – and country-level determinant -legal status. This variable is measured using two different proxies, following institutional country classification, namely the dichotomy common law versus code law countries and cluster classification (Leuz, 2010). It was found that the mandatory and voluntary disclosure of biological assets is influenced by biological assets intensity, ownership concentration, firm size, sector and legal status. This paper seeks to help standard setters to better understand disclosure practices and their determinants concerning biological assets, and to develop future projects on this issue.","author":[{"dropping-particle":"","family":"Gonçalves","given":"Rute","non-dropping-particle":"","parse-names":false,"suffix":""},{"dropping-particle":"","family":"Lopes","given":"Patricia","non-dropping-particle":"","parse-names":false,"suffix":""}],"container-title":"FEP Working Papers","id":"ITEM-1","issue":"530","issued":{"date-parts":[["2015"]]},"page":"1-34","title":"Accounting in Agriculture: Disclosure practices of listed firms","type":"article-journal"},"uris":["http://www.mendeley.com/documents/?uuid=8a985cab-1479-4c31-a299-98801eba6cee"]}],"mendeley":{"formattedCitation":"(GONÇALVES; LOPES, 2015)","plainTextFormattedCitation":"(GONÇALVES; LOPES, 2015)","previouslyFormattedCitation":"(GONÇALVES; LOPES, 2015)"},"properties":{"noteIndex":0},"schema":"https://github.com/citation-style-language/schema/raw/master/csl-citation.json"}</w:instrText>
      </w:r>
      <w:r w:rsidR="00A424EF" w:rsidRPr="00A00C16">
        <w:rPr>
          <w:rFonts w:ascii="Times New Roman" w:eastAsia="Calibri" w:hAnsi="Times New Roman"/>
          <w:color w:val="000000"/>
          <w:szCs w:val="24"/>
          <w:lang w:eastAsia="en-US"/>
        </w:rPr>
        <w:fldChar w:fldCharType="separate"/>
      </w:r>
      <w:r w:rsidR="00514231" w:rsidRPr="00514231">
        <w:rPr>
          <w:rFonts w:ascii="Times New Roman" w:eastAsia="Calibri" w:hAnsi="Times New Roman"/>
          <w:noProof/>
          <w:color w:val="000000"/>
          <w:szCs w:val="24"/>
          <w:lang w:eastAsia="en-US"/>
        </w:rPr>
        <w:t>(GONÇALVES; LOPES, 2015)</w:t>
      </w:r>
      <w:r w:rsidR="00A424EF" w:rsidRPr="00A00C16">
        <w:rPr>
          <w:rFonts w:ascii="Times New Roman" w:eastAsia="Calibri" w:hAnsi="Times New Roman"/>
          <w:color w:val="000000"/>
          <w:szCs w:val="24"/>
          <w:lang w:eastAsia="en-US"/>
        </w:rPr>
        <w:fldChar w:fldCharType="end"/>
      </w:r>
      <w:r w:rsidR="00A424EF">
        <w:rPr>
          <w:rFonts w:ascii="Times New Roman" w:eastAsia="Calibri" w:hAnsi="Times New Roman"/>
          <w:color w:val="000000"/>
          <w:szCs w:val="24"/>
          <w:lang w:eastAsia="en-US"/>
        </w:rPr>
        <w:t>,</w:t>
      </w:r>
      <w:r w:rsidR="00A424EF" w:rsidRPr="00A424EF">
        <w:rPr>
          <w:rFonts w:ascii="Times New Roman" w:eastAsia="Calibri" w:hAnsi="Times New Roman"/>
          <w:color w:val="000000"/>
          <w:szCs w:val="24"/>
          <w:lang w:eastAsia="en-US"/>
        </w:rPr>
        <w:t xml:space="preserve"> </w:t>
      </w:r>
      <w:r w:rsidR="00A424EF">
        <w:rPr>
          <w:rFonts w:ascii="Times New Roman" w:eastAsia="Calibri" w:hAnsi="Times New Roman"/>
          <w:color w:val="000000"/>
          <w:szCs w:val="24"/>
          <w:lang w:eastAsia="en-US"/>
        </w:rPr>
        <w:t>e</w:t>
      </w:r>
      <w:r w:rsidR="00A424EF" w:rsidRPr="00A424EF">
        <w:rPr>
          <w:rFonts w:ascii="Times New Roman" w:eastAsia="Calibri" w:hAnsi="Times New Roman"/>
          <w:color w:val="000000"/>
          <w:szCs w:val="24"/>
          <w:lang w:eastAsia="en-US"/>
        </w:rPr>
        <w:t xml:space="preserve"> são mais úteis para a tomada de decisão do que as de custo histórico </w:t>
      </w:r>
      <w:r w:rsidR="00514231">
        <w:rPr>
          <w:rFonts w:ascii="Times New Roman" w:eastAsia="Calibri" w:hAnsi="Times New Roman"/>
          <w:color w:val="000000"/>
          <w:szCs w:val="24"/>
          <w:lang w:eastAsia="en-US"/>
        </w:rPr>
        <w:fldChar w:fldCharType="begin" w:fldLock="1"/>
      </w:r>
      <w:r w:rsidR="00A75A08">
        <w:rPr>
          <w:rFonts w:ascii="Times New Roman" w:eastAsia="Calibri" w:hAnsi="Times New Roman"/>
          <w:color w:val="000000"/>
          <w:szCs w:val="24"/>
          <w:lang w:eastAsia="en-US"/>
        </w:rPr>
        <w:instrText>ADDIN CSL_CITATION {"citationItems":[{"id":"ITEM-1","itemData":{"URL":"http://dx.doi.org/10.2139/ssrn.2529974","accessed":{"date-parts":[["2017","2","20"]]},"author":[{"dropping-particle":"","family":"Huffman","given":"Adrienna A.","non-dropping-particle":"","parse-names":false,"suffix":""}],"container-title":"Social Science Research Network - SSRN","id":"ITEM-1","issue":"1","issued":{"date-parts":[["2016"]]},"page":"1-45","title":"Asset use and the decision-usefulness of fair value measurement : Evidence from IAS 41","type":"webpage","volume":"1"},"uris":["http://www.mendeley.com/documents/?uuid=f8a19a38-04eb-47dc-950f-81c5792f4e40"]}],"mendeley":{"formattedCitation":"(HUFFMAN, 2016)","plainTextFormattedCitation":"(HUFFMAN, 2016)","previouslyFormattedCitation":"(HUFFMAN, 2016)"},"properties":{"noteIndex":0},"schema":"https://github.com/citation-style-language/schema/raw/master/csl-citation.json"}</w:instrText>
      </w:r>
      <w:r w:rsidR="00514231">
        <w:rPr>
          <w:rFonts w:ascii="Times New Roman" w:eastAsia="Calibri" w:hAnsi="Times New Roman"/>
          <w:color w:val="000000"/>
          <w:szCs w:val="24"/>
          <w:lang w:eastAsia="en-US"/>
        </w:rPr>
        <w:fldChar w:fldCharType="separate"/>
      </w:r>
      <w:r w:rsidR="00514231" w:rsidRPr="00514231">
        <w:rPr>
          <w:rFonts w:ascii="Times New Roman" w:eastAsia="Calibri" w:hAnsi="Times New Roman"/>
          <w:noProof/>
          <w:color w:val="000000"/>
          <w:szCs w:val="24"/>
          <w:lang w:eastAsia="en-US"/>
        </w:rPr>
        <w:t>(HUFFMAN, 2016)</w:t>
      </w:r>
      <w:r w:rsidR="00514231">
        <w:rPr>
          <w:rFonts w:ascii="Times New Roman" w:eastAsia="Calibri" w:hAnsi="Times New Roman"/>
          <w:color w:val="000000"/>
          <w:szCs w:val="24"/>
          <w:lang w:eastAsia="en-US"/>
        </w:rPr>
        <w:fldChar w:fldCharType="end"/>
      </w:r>
      <w:r w:rsidR="00A424EF" w:rsidRPr="00A424EF">
        <w:rPr>
          <w:rFonts w:ascii="Times New Roman" w:eastAsia="Calibri" w:hAnsi="Times New Roman"/>
          <w:color w:val="000000"/>
          <w:szCs w:val="24"/>
          <w:lang w:eastAsia="en-US"/>
        </w:rPr>
        <w:t>.</w:t>
      </w:r>
    </w:p>
    <w:p w:rsidR="005F5719" w:rsidRDefault="00FD5D4B"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A</w:t>
      </w:r>
      <w:r w:rsidR="005F5719">
        <w:rPr>
          <w:rFonts w:ascii="Times New Roman" w:eastAsia="Calibri" w:hAnsi="Times New Roman"/>
          <w:color w:val="000000"/>
          <w:szCs w:val="24"/>
          <w:lang w:eastAsia="en-US"/>
        </w:rPr>
        <w:t>o</w:t>
      </w:r>
      <w:r w:rsidR="005F5719" w:rsidRPr="005F5719">
        <w:rPr>
          <w:rFonts w:ascii="Times New Roman" w:eastAsia="Calibri" w:hAnsi="Times New Roman"/>
          <w:color w:val="000000"/>
          <w:szCs w:val="24"/>
          <w:lang w:eastAsia="en-US"/>
        </w:rPr>
        <w:t xml:space="preserve"> analisar as dificuldades </w:t>
      </w:r>
      <w:r>
        <w:rPr>
          <w:rFonts w:ascii="Times New Roman" w:eastAsia="Calibri" w:hAnsi="Times New Roman"/>
          <w:color w:val="000000"/>
          <w:szCs w:val="24"/>
          <w:lang w:eastAsia="en-US"/>
        </w:rPr>
        <w:t>n</w:t>
      </w:r>
      <w:r w:rsidR="005F5719" w:rsidRPr="005F5719">
        <w:rPr>
          <w:rFonts w:ascii="Times New Roman" w:eastAsia="Calibri" w:hAnsi="Times New Roman"/>
          <w:color w:val="000000"/>
          <w:szCs w:val="24"/>
          <w:lang w:eastAsia="en-US"/>
        </w:rPr>
        <w:t xml:space="preserve">a aplicação da norma na Espanha, </w:t>
      </w:r>
      <w:r w:rsidR="00A75A08">
        <w:rPr>
          <w:rFonts w:ascii="Times New Roman" w:eastAsia="Calibri" w:hAnsi="Times New Roman"/>
          <w:color w:val="000000"/>
          <w:szCs w:val="24"/>
          <w:lang w:eastAsia="en-US"/>
        </w:rPr>
        <w:fldChar w:fldCharType="begin" w:fldLock="1"/>
      </w:r>
      <w:r w:rsidR="00A75A08">
        <w:rPr>
          <w:rFonts w:ascii="Times New Roman" w:eastAsia="Calibri" w:hAnsi="Times New Roman"/>
          <w:color w:val="000000"/>
          <w:szCs w:val="24"/>
          <w:lang w:eastAsia="en-US"/>
        </w:rPr>
        <w:instrText>ADDIN CSL_CITATION {"citationItems":[{"id":"ITEM-1","itemData":{"ISBN":"11384891","ISSN":"19884672","PMID":"1030094650","abstract":"This paper presents empirical research comparing the accounting difficulties that arise from the use of two valuation methods for biological assets, fair value (FV) and historical cost (HC) accounting, in the agricultural sector. It also compares how reliable each valuation method is in the decision-making process of agents within the sector. By conducting an experiment with students, farmers, and accountants operating in the agricultural sector, we find that they have more difficulties, make larger miscalculations and make poorer judgements with HC accounting than with FV accounting. In-depth interviews uncover flawed accounting practices in the agricultural sector in Spain in order to meet HC accounting requirements. Given the complexities of cost calculation for biological assets and the predominance of small family business units in advanced Western countries, the study concludes that accounting can be more easily applied in the agricultural sector under FV than HC accounting, and that HC conveys a less accurate grasp of the real situation of a farm.","author":[{"dropping-particle":"","family":"Argilés Bosch","given":"Josep Maria","non-dropping-particle":"","parse-names":false,"suffix":""},{"dropping-particle":"","family":"Aliberch","given":"Anna Sabata","non-dropping-particle":"","parse-names":false,"suffix":""},{"dropping-particle":"","family":"Blandón","given":"Josep García","non-dropping-particle":"","parse-names":false,"suffix":""}],"container-title":"Revista de Contabilidad - Spanish Accounting Review","id":"ITEM-1","issue":"1","issued":{"date-parts":[["2012"]]},"page":"109-142","title":"A comparative study of difficulties in accounting preparation and judgement in agriculture using fair value and historical cost for biological assets valuation","type":"article-journal","volume":"15"},"uris":["http://www.mendeley.com/documents/?uuid=d08238ce-61a4-4d60-8c13-adcd67015475"]}],"mendeley":{"formattedCitation":"(ARGILÉS BOSCH; ALIBERCH; BLANDÓN, 2012)","manualFormatting":"Argilés Bosch, Aliberch e Blandón (2012)","plainTextFormattedCitation":"(ARGILÉS BOSCH; ALIBERCH; BLANDÓN, 2012)","previouslyFormattedCitation":"(ARGILÉS BOSCH; ALIBERCH; BLANDÓN, 2012)"},"properties":{"noteIndex":0},"schema":"https://github.com/citation-style-language/schema/raw/master/csl-citation.json"}</w:instrText>
      </w:r>
      <w:r w:rsidR="00A75A08">
        <w:rPr>
          <w:rFonts w:ascii="Times New Roman" w:eastAsia="Calibri" w:hAnsi="Times New Roman"/>
          <w:color w:val="000000"/>
          <w:szCs w:val="24"/>
          <w:lang w:eastAsia="en-US"/>
        </w:rPr>
        <w:fldChar w:fldCharType="separate"/>
      </w:r>
      <w:r w:rsidR="00A75A08" w:rsidRPr="00A75A08">
        <w:rPr>
          <w:rFonts w:ascii="Times New Roman" w:eastAsia="Calibri" w:hAnsi="Times New Roman"/>
          <w:noProof/>
          <w:color w:val="000000"/>
          <w:szCs w:val="24"/>
          <w:lang w:eastAsia="en-US"/>
        </w:rPr>
        <w:t>Argilés Bosch</w:t>
      </w:r>
      <w:r w:rsidR="00A75A08">
        <w:rPr>
          <w:rFonts w:ascii="Times New Roman" w:eastAsia="Calibri" w:hAnsi="Times New Roman"/>
          <w:noProof/>
          <w:color w:val="000000"/>
          <w:szCs w:val="24"/>
          <w:lang w:eastAsia="en-US"/>
        </w:rPr>
        <w:t>,</w:t>
      </w:r>
      <w:r w:rsidR="00A75A08" w:rsidRPr="00A75A08">
        <w:rPr>
          <w:rFonts w:ascii="Times New Roman" w:eastAsia="Calibri" w:hAnsi="Times New Roman"/>
          <w:noProof/>
          <w:color w:val="000000"/>
          <w:szCs w:val="24"/>
          <w:lang w:eastAsia="en-US"/>
        </w:rPr>
        <w:t xml:space="preserve"> Aliberch</w:t>
      </w:r>
      <w:r w:rsidR="00A75A08">
        <w:rPr>
          <w:rFonts w:ascii="Times New Roman" w:eastAsia="Calibri" w:hAnsi="Times New Roman"/>
          <w:noProof/>
          <w:color w:val="000000"/>
          <w:szCs w:val="24"/>
          <w:lang w:eastAsia="en-US"/>
        </w:rPr>
        <w:t xml:space="preserve"> e</w:t>
      </w:r>
      <w:r w:rsidR="00A75A08" w:rsidRPr="00A75A08">
        <w:rPr>
          <w:rFonts w:ascii="Times New Roman" w:eastAsia="Calibri" w:hAnsi="Times New Roman"/>
          <w:noProof/>
          <w:color w:val="000000"/>
          <w:szCs w:val="24"/>
          <w:lang w:eastAsia="en-US"/>
        </w:rPr>
        <w:t xml:space="preserve"> Blandón </w:t>
      </w:r>
      <w:r w:rsidR="00A75A08">
        <w:rPr>
          <w:rFonts w:ascii="Times New Roman" w:eastAsia="Calibri" w:hAnsi="Times New Roman"/>
          <w:noProof/>
          <w:color w:val="000000"/>
          <w:szCs w:val="24"/>
          <w:lang w:eastAsia="en-US"/>
        </w:rPr>
        <w:t>(</w:t>
      </w:r>
      <w:r w:rsidR="00A75A08" w:rsidRPr="00A75A08">
        <w:rPr>
          <w:rFonts w:ascii="Times New Roman" w:eastAsia="Calibri" w:hAnsi="Times New Roman"/>
          <w:noProof/>
          <w:color w:val="000000"/>
          <w:szCs w:val="24"/>
          <w:lang w:eastAsia="en-US"/>
        </w:rPr>
        <w:t>2012)</w:t>
      </w:r>
      <w:r w:rsidR="00A75A08">
        <w:rPr>
          <w:rFonts w:ascii="Times New Roman" w:eastAsia="Calibri" w:hAnsi="Times New Roman"/>
          <w:color w:val="000000"/>
          <w:szCs w:val="24"/>
          <w:lang w:eastAsia="en-US"/>
        </w:rPr>
        <w:fldChar w:fldCharType="end"/>
      </w:r>
      <w:r w:rsidRPr="00FD5D4B">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verificaram</w:t>
      </w:r>
      <w:r w:rsidR="005F5719" w:rsidRPr="005F5719">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que</w:t>
      </w:r>
      <w:r w:rsidRPr="00FD5D4B">
        <w:rPr>
          <w:rFonts w:ascii="Times New Roman" w:eastAsia="Calibri" w:hAnsi="Times New Roman"/>
          <w:color w:val="000000"/>
          <w:szCs w:val="24"/>
          <w:lang w:eastAsia="en-US"/>
        </w:rPr>
        <w:t xml:space="preserve"> </w:t>
      </w:r>
      <w:r w:rsidR="005F5719" w:rsidRPr="005F5719">
        <w:rPr>
          <w:rFonts w:ascii="Times New Roman" w:eastAsia="Calibri" w:hAnsi="Times New Roman"/>
          <w:color w:val="000000"/>
          <w:szCs w:val="24"/>
          <w:lang w:eastAsia="en-US"/>
        </w:rPr>
        <w:t xml:space="preserve">o </w:t>
      </w:r>
      <w:r w:rsidRPr="00FD5D4B">
        <w:rPr>
          <w:rFonts w:ascii="Times New Roman" w:eastAsia="Calibri" w:hAnsi="Times New Roman"/>
          <w:i/>
          <w:color w:val="000000"/>
          <w:szCs w:val="24"/>
          <w:lang w:eastAsia="en-US"/>
        </w:rPr>
        <w:t>fair value</w:t>
      </w:r>
      <w:r w:rsidR="005F5719" w:rsidRPr="005F5719">
        <w:rPr>
          <w:rFonts w:ascii="Times New Roman" w:eastAsia="Calibri" w:hAnsi="Times New Roman"/>
          <w:color w:val="000000"/>
          <w:szCs w:val="24"/>
          <w:lang w:eastAsia="en-US"/>
        </w:rPr>
        <w:t xml:space="preserve"> pode ser mais facilmente aplicado no setor agrícola do que </w:t>
      </w:r>
      <w:r>
        <w:rPr>
          <w:rFonts w:ascii="Times New Roman" w:eastAsia="Calibri" w:hAnsi="Times New Roman"/>
          <w:color w:val="000000"/>
          <w:szCs w:val="24"/>
          <w:lang w:eastAsia="en-US"/>
        </w:rPr>
        <w:t>o</w:t>
      </w:r>
      <w:r w:rsidR="005F5719" w:rsidRPr="005F5719">
        <w:rPr>
          <w:rFonts w:ascii="Times New Roman" w:eastAsia="Calibri" w:hAnsi="Times New Roman"/>
          <w:color w:val="000000"/>
          <w:szCs w:val="24"/>
          <w:lang w:eastAsia="en-US"/>
        </w:rPr>
        <w:t xml:space="preserve"> custo histórico. </w:t>
      </w:r>
      <w:r>
        <w:rPr>
          <w:rFonts w:ascii="Times New Roman" w:eastAsia="Calibri" w:hAnsi="Times New Roman"/>
          <w:color w:val="000000"/>
          <w:szCs w:val="24"/>
          <w:lang w:eastAsia="en-US"/>
        </w:rPr>
        <w:t>No</w:t>
      </w:r>
      <w:r w:rsidRPr="00FD5D4B">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mesmo</w:t>
      </w:r>
      <w:r w:rsidRPr="00FD5D4B">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sentido,</w:t>
      </w:r>
      <w:r w:rsidRPr="00FD5D4B">
        <w:rPr>
          <w:rFonts w:ascii="Times New Roman" w:eastAsia="Calibri" w:hAnsi="Times New Roman"/>
          <w:color w:val="000000"/>
          <w:szCs w:val="24"/>
          <w:lang w:eastAsia="en-US"/>
        </w:rPr>
        <w:t xml:space="preserve">  </w:t>
      </w:r>
      <w:r w:rsidR="00A75A08">
        <w:rPr>
          <w:rFonts w:ascii="Times New Roman" w:eastAsia="Calibri" w:hAnsi="Times New Roman"/>
          <w:color w:val="000000"/>
          <w:szCs w:val="24"/>
          <w:lang w:eastAsia="en-US"/>
        </w:rPr>
        <w:fldChar w:fldCharType="begin" w:fldLock="1"/>
      </w:r>
      <w:r w:rsidR="009745A1">
        <w:rPr>
          <w:rFonts w:ascii="Times New Roman" w:eastAsia="Calibri" w:hAnsi="Times New Roman"/>
          <w:color w:val="000000"/>
          <w:szCs w:val="24"/>
          <w:lang w:eastAsia="en-US"/>
        </w:rPr>
        <w:instrText>ADDIN CSL_CITATION {"citationItems":[{"id":"ITEM-1","itemData":{"ISSN":"18770428","abstract":"The paper focuses on the possible ways of biological assets measurement in financial reporting of SMEs. The entity uses the fair value model for those biological assets for which fair value is readily determinable, and cost model is employed for all other biological assets. The substance of all kinds of biological assets differs significantly, especially bearer plants and living animals. The authors evaluated application over mentioned methods for representatives of both kinds of biological assets (apple orchard and dairy cows). According to the study, historical cost is suitable for bearer plants, the fair value measurement is suitable for living animals.","author":[{"dropping-particle":"","family":"Bohušová","given":"Hana","non-dropping-particle":"","parse-names":false,"suffix":""},{"dropping-particle":"","family":"Svoboda","given":"Patrik","non-dropping-particle":"","parse-names":false,"suffix":""}],"container-title":"Procedia - Social and Behavioral Sciences","id":"ITEM-1","issued":{"date-parts":[["2016"]]},"page":"62-69","title":"Biological Assets: In What Way should be Measured by SMEs?","type":"article-journal","volume":"220"},"uris":["http://www.mendeley.com/documents/?uuid=b6e4d87b-71f8-313e-958d-77eba2c13843"]}],"mendeley":{"formattedCitation":"(BOHUŠOVÁ; SVOBODA, 2016)","manualFormatting":"Bohušová e Svoboda (2016)","plainTextFormattedCitation":"(BOHUŠOVÁ; SVOBODA, 2016)","previouslyFormattedCitation":"(BOHUŠOVÁ; SVOBODA, 2016)"},"properties":{"noteIndex":0},"schema":"https://github.com/citation-style-language/schema/raw/master/csl-citation.json"}</w:instrText>
      </w:r>
      <w:r w:rsidR="00A75A08">
        <w:rPr>
          <w:rFonts w:ascii="Times New Roman" w:eastAsia="Calibri" w:hAnsi="Times New Roman"/>
          <w:color w:val="000000"/>
          <w:szCs w:val="24"/>
          <w:lang w:eastAsia="en-US"/>
        </w:rPr>
        <w:fldChar w:fldCharType="separate"/>
      </w:r>
      <w:r w:rsidR="00A75A08" w:rsidRPr="00A75A08">
        <w:rPr>
          <w:rFonts w:ascii="Times New Roman" w:eastAsia="Calibri" w:hAnsi="Times New Roman"/>
          <w:noProof/>
          <w:color w:val="000000"/>
          <w:szCs w:val="24"/>
          <w:lang w:eastAsia="en-US"/>
        </w:rPr>
        <w:t>B</w:t>
      </w:r>
      <w:r w:rsidR="00A75A08">
        <w:rPr>
          <w:rFonts w:ascii="Times New Roman" w:eastAsia="Calibri" w:hAnsi="Times New Roman"/>
          <w:noProof/>
          <w:color w:val="000000"/>
          <w:szCs w:val="24"/>
          <w:lang w:eastAsia="en-US"/>
        </w:rPr>
        <w:t>ohušová e</w:t>
      </w:r>
      <w:r w:rsidR="00A75A08" w:rsidRPr="00A75A08">
        <w:rPr>
          <w:rFonts w:ascii="Times New Roman" w:eastAsia="Calibri" w:hAnsi="Times New Roman"/>
          <w:noProof/>
          <w:color w:val="000000"/>
          <w:szCs w:val="24"/>
          <w:lang w:eastAsia="en-US"/>
        </w:rPr>
        <w:t xml:space="preserve"> Svoboda </w:t>
      </w:r>
      <w:r w:rsidR="00A75A08">
        <w:rPr>
          <w:rFonts w:ascii="Times New Roman" w:eastAsia="Calibri" w:hAnsi="Times New Roman"/>
          <w:noProof/>
          <w:color w:val="000000"/>
          <w:szCs w:val="24"/>
          <w:lang w:eastAsia="en-US"/>
        </w:rPr>
        <w:t>(</w:t>
      </w:r>
      <w:r w:rsidR="00A75A08" w:rsidRPr="00A75A08">
        <w:rPr>
          <w:rFonts w:ascii="Times New Roman" w:eastAsia="Calibri" w:hAnsi="Times New Roman"/>
          <w:noProof/>
          <w:color w:val="000000"/>
          <w:szCs w:val="24"/>
          <w:lang w:eastAsia="en-US"/>
        </w:rPr>
        <w:t>2016)</w:t>
      </w:r>
      <w:r w:rsidR="00A75A08">
        <w:rPr>
          <w:rFonts w:ascii="Times New Roman" w:eastAsia="Calibri" w:hAnsi="Times New Roman"/>
          <w:color w:val="000000"/>
          <w:szCs w:val="24"/>
          <w:lang w:eastAsia="en-US"/>
        </w:rPr>
        <w:fldChar w:fldCharType="end"/>
      </w:r>
      <w:r w:rsidR="00A75A08">
        <w:rPr>
          <w:rFonts w:ascii="Times New Roman" w:eastAsia="Calibri" w:hAnsi="Times New Roman"/>
          <w:color w:val="000000"/>
          <w:szCs w:val="24"/>
          <w:lang w:eastAsia="en-US"/>
        </w:rPr>
        <w:t xml:space="preserve"> </w:t>
      </w:r>
      <w:r w:rsidR="005F5719" w:rsidRPr="005F5719">
        <w:rPr>
          <w:rFonts w:ascii="Times New Roman" w:eastAsia="Calibri" w:hAnsi="Times New Roman"/>
          <w:color w:val="000000"/>
          <w:szCs w:val="24"/>
          <w:lang w:eastAsia="en-US"/>
        </w:rPr>
        <w:t>ao analisar os métodos de mensuração para pomares de maçã e vaca leiteira</w:t>
      </w:r>
      <w:r>
        <w:rPr>
          <w:rFonts w:ascii="Times New Roman" w:eastAsia="Calibri" w:hAnsi="Times New Roman"/>
          <w:color w:val="000000"/>
          <w:szCs w:val="24"/>
          <w:lang w:eastAsia="en-US"/>
        </w:rPr>
        <w:t>,</w:t>
      </w:r>
      <w:r w:rsidR="005F5719" w:rsidRPr="005F5719">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concluiram</w:t>
      </w:r>
      <w:r w:rsidR="005F5719" w:rsidRPr="005F5719">
        <w:rPr>
          <w:rFonts w:ascii="Times New Roman" w:eastAsia="Calibri" w:hAnsi="Times New Roman"/>
          <w:color w:val="000000"/>
          <w:szCs w:val="24"/>
          <w:lang w:eastAsia="en-US"/>
        </w:rPr>
        <w:t xml:space="preserve"> que o custo histórico é adequado para a mensuração das </w:t>
      </w:r>
      <w:r w:rsidR="005F5719" w:rsidRPr="00FD5D4B">
        <w:rPr>
          <w:rFonts w:ascii="Times New Roman" w:eastAsia="Calibri" w:hAnsi="Times New Roman"/>
          <w:i/>
          <w:color w:val="000000"/>
          <w:szCs w:val="24"/>
          <w:lang w:eastAsia="en-US"/>
        </w:rPr>
        <w:t>bearer plants</w:t>
      </w:r>
      <w:r w:rsidR="005F5719" w:rsidRPr="005F5719">
        <w:rPr>
          <w:rFonts w:ascii="Times New Roman" w:eastAsia="Calibri" w:hAnsi="Times New Roman"/>
          <w:color w:val="000000"/>
          <w:szCs w:val="24"/>
          <w:lang w:eastAsia="en-US"/>
        </w:rPr>
        <w:t xml:space="preserve"> e a medição do </w:t>
      </w:r>
      <w:r w:rsidR="005F5719" w:rsidRPr="00FD5D4B">
        <w:rPr>
          <w:rFonts w:ascii="Times New Roman" w:eastAsia="Calibri" w:hAnsi="Times New Roman"/>
          <w:i/>
          <w:color w:val="000000"/>
          <w:szCs w:val="24"/>
          <w:lang w:eastAsia="en-US"/>
        </w:rPr>
        <w:t>fair value</w:t>
      </w:r>
      <w:r w:rsidR="005F5719" w:rsidRPr="005F5719">
        <w:rPr>
          <w:rFonts w:ascii="Times New Roman" w:eastAsia="Calibri" w:hAnsi="Times New Roman"/>
          <w:color w:val="000000"/>
          <w:szCs w:val="24"/>
          <w:lang w:eastAsia="en-US"/>
        </w:rPr>
        <w:t xml:space="preserve"> é adequada para animais vivos.</w:t>
      </w:r>
    </w:p>
    <w:p w:rsidR="005F5719" w:rsidRDefault="009745A1"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fldChar w:fldCharType="begin" w:fldLock="1"/>
      </w:r>
      <w:r w:rsidR="00997B5F">
        <w:rPr>
          <w:rFonts w:ascii="Times New Roman" w:eastAsia="Calibri" w:hAnsi="Times New Roman"/>
          <w:color w:val="000000"/>
          <w:szCs w:val="24"/>
          <w:lang w:eastAsia="en-US"/>
        </w:rPr>
        <w:instrText>ADDIN CSL_CITATION {"citationItems":[{"id":"ITEM-1","itemData":{"ISSN":"0303-1853","abstract":"ABSTRACT Biological assets should be valued at fair value less point of sale costs only if an active market exists. The quoted price in an active market is the appropriate basis for determining the fair value of the asset. The objective of this research was to identify the challenges in respect of fair value reporting on the part of small- and medium-sized entities that publish general purpose financial statements, but that do not have public accountability in implementing the requirements of the International Financial Reporting Standard for Small and Medium-sized Entities. Through the research it was established that in Kenya the commodity markets operate in a simplified auction system with no clear price discovery mechanism. The lack of an active and transparent market is a serious challenge in terms of the application of fair value to biological assets. Consequently most of the farmers prefer to model the market information available. In the light of the diverse nature of agricultural produce, this article recommends virtual trading and development of commodity futures in order to reduce the market access cost, to improve accessibility to market information and to transform the role of middle traders to that of market linkages.\\nABSTRACT Biological assets should be valued at fair value less point of sale costs only if an active market exists. The quoted price in an active market is the appropriate basis for determining the fair value of the asset. The objective of this research was to identify the challenges in respect of fair value reporting on the part of small- and medium-sized entities that publish general purpose financial statements, but that do not have public accountability in implementing the requirements of the International Financial Reporting Standard for Small and Medium-sized Entities. Through the research it was established that in Kenya the commodity markets operate in a simplified auction system with no clear price discovery mechanism. The lack of an active and transparent market is a serious challenge in terms of the application of fair value to biological assets. Consequently most of the farmers prefer to model the market information available. In the light of the diverse nature of agricultural produce, this article recommends virtual trading and development of commodity futures in order to reduce the market access cost, to improve accessibility to market information and to transform the role of middle traders to that of market li…","author":[{"dropping-particle":"","family":"Maina","given":"P.N.","non-dropping-particle":"","parse-names":false,"suffix":""},{"dropping-particle":"","family":"Wingard","given":"H.C.","non-dropping-particle":"","parse-names":false,"suffix":""}],"container-title":"Agrekon","id":"ITEM-1","issue":"2","issued":{"date-parts":[["2013"]]},"page":"52-74","title":"Small and medium-sized entities in the agricultural sector: Fair value reporting challenges","type":"article-journal","volume":"52"},"uris":["http://www.mendeley.com/documents/?uuid=b4f79110-5ef7-4f54-9fbe-2f073bb7e318"]}],"mendeley":{"formattedCitation":"(MAINA; WINGARD, 2013)","manualFormatting":"Maina e Wingard (2013)","plainTextFormattedCitation":"(MAINA; WINGARD, 2013)","previouslyFormattedCitation":"(MAINA; WINGARD, 2013)"},"properties":{"noteIndex":0},"schema":"https://github.com/citation-style-language/schema/raw/master/csl-citation.json"}</w:instrText>
      </w:r>
      <w:r>
        <w:rPr>
          <w:rFonts w:ascii="Times New Roman" w:eastAsia="Calibri" w:hAnsi="Times New Roman"/>
          <w:color w:val="000000"/>
          <w:szCs w:val="24"/>
          <w:lang w:eastAsia="en-US"/>
        </w:rPr>
        <w:fldChar w:fldCharType="separate"/>
      </w:r>
      <w:r w:rsidRPr="009745A1">
        <w:rPr>
          <w:rFonts w:ascii="Times New Roman" w:eastAsia="Calibri" w:hAnsi="Times New Roman"/>
          <w:noProof/>
          <w:color w:val="000000"/>
          <w:szCs w:val="24"/>
          <w:lang w:eastAsia="en-US"/>
        </w:rPr>
        <w:t>Maina</w:t>
      </w:r>
      <w:r>
        <w:rPr>
          <w:rFonts w:ascii="Times New Roman" w:eastAsia="Calibri" w:hAnsi="Times New Roman"/>
          <w:noProof/>
          <w:color w:val="000000"/>
          <w:szCs w:val="24"/>
          <w:lang w:eastAsia="en-US"/>
        </w:rPr>
        <w:t xml:space="preserve"> e</w:t>
      </w:r>
      <w:r w:rsidRPr="009745A1">
        <w:rPr>
          <w:rFonts w:ascii="Times New Roman" w:eastAsia="Calibri" w:hAnsi="Times New Roman"/>
          <w:noProof/>
          <w:color w:val="000000"/>
          <w:szCs w:val="24"/>
          <w:lang w:eastAsia="en-US"/>
        </w:rPr>
        <w:t xml:space="preserve"> Wingard </w:t>
      </w:r>
      <w:r>
        <w:rPr>
          <w:rFonts w:ascii="Times New Roman" w:eastAsia="Calibri" w:hAnsi="Times New Roman"/>
          <w:noProof/>
          <w:color w:val="000000"/>
          <w:szCs w:val="24"/>
          <w:lang w:eastAsia="en-US"/>
        </w:rPr>
        <w:t>(</w:t>
      </w:r>
      <w:r w:rsidRPr="009745A1">
        <w:rPr>
          <w:rFonts w:ascii="Times New Roman" w:eastAsia="Calibri" w:hAnsi="Times New Roman"/>
          <w:noProof/>
          <w:color w:val="000000"/>
          <w:szCs w:val="24"/>
          <w:lang w:eastAsia="en-US"/>
        </w:rPr>
        <w:t>2013)</w:t>
      </w:r>
      <w:r>
        <w:rPr>
          <w:rFonts w:ascii="Times New Roman" w:eastAsia="Calibri" w:hAnsi="Times New Roman"/>
          <w:color w:val="000000"/>
          <w:szCs w:val="24"/>
          <w:lang w:eastAsia="en-US"/>
        </w:rPr>
        <w:fldChar w:fldCharType="end"/>
      </w:r>
      <w:r w:rsidR="005F5719" w:rsidRPr="005F5719">
        <w:rPr>
          <w:rFonts w:ascii="Times New Roman" w:eastAsia="Calibri" w:hAnsi="Times New Roman"/>
          <w:color w:val="000000"/>
          <w:szCs w:val="24"/>
          <w:lang w:eastAsia="en-US"/>
        </w:rPr>
        <w:t xml:space="preserve"> afirmam que a falta de um mercado ativo e transparente  no Quênia, representa um grande desafio para a aplicação do </w:t>
      </w:r>
      <w:r w:rsidR="005F5719" w:rsidRPr="00FD5D4B">
        <w:rPr>
          <w:rFonts w:ascii="Times New Roman" w:eastAsia="Calibri" w:hAnsi="Times New Roman"/>
          <w:i/>
          <w:color w:val="000000"/>
          <w:szCs w:val="24"/>
          <w:lang w:eastAsia="en-US"/>
        </w:rPr>
        <w:t>fair value</w:t>
      </w:r>
      <w:r w:rsidR="005F5719" w:rsidRPr="005F5719">
        <w:rPr>
          <w:rFonts w:ascii="Times New Roman" w:eastAsia="Calibri" w:hAnsi="Times New Roman"/>
          <w:color w:val="000000"/>
          <w:szCs w:val="24"/>
          <w:lang w:eastAsia="en-US"/>
        </w:rPr>
        <w:t xml:space="preserve"> na mensuração dos ativos biológicos. Além disso,  a IAS 41 apresenta critérios de avaliação e mensuração controversos, o que dificulta a implementação desta norma no agronegócio da Romênia </w:t>
      </w:r>
      <w:r w:rsidR="00997B5F">
        <w:rPr>
          <w:rFonts w:ascii="Times New Roman" w:eastAsia="Calibri" w:hAnsi="Times New Roman"/>
          <w:color w:val="000000"/>
          <w:szCs w:val="24"/>
          <w:lang w:eastAsia="en-US"/>
        </w:rPr>
        <w:fldChar w:fldCharType="begin" w:fldLock="1"/>
      </w:r>
      <w:r w:rsidR="00BA58D4">
        <w:rPr>
          <w:rFonts w:ascii="Times New Roman" w:eastAsia="Calibri" w:hAnsi="Times New Roman"/>
          <w:color w:val="000000"/>
          <w:szCs w:val="24"/>
          <w:lang w:eastAsia="en-US"/>
        </w:rPr>
        <w:instrText>ADDIN CSL_CITATION {"citationItems":[{"id":"ITEM-1","itemData":{"ISSN":"0354-4664","author":[{"dropping-particle":"","family":"Mates","given":"Dorel","non-dropping-particle":"","parse-names":false,"suffix":""},{"dropping-particle":"","family":"Grosu","given":"Veronica","non-dropping-particle":"","parse-names":false,"suffix":""},{"dropping-particle":"","family":"Hlaciuc","given":"Elena","non-dropping-particle":"","parse-names":false,"suffix":""},{"dropping-particle":"","family":"Bostan","given":"Ionel","non-dropping-particle":"","parse-names":false,"suffix":""},{"dropping-particle":"","family":"Bunget","given":"Ovidiu","non-dropping-particle":"","parse-names":false,"suffix":""},{"dropping-particle":"","family":"Domil","given":"Aura","non-dropping-particle":"","parse-names":false,"suffix":""},{"dropping-particle":"","family":"Moraru","given":"Maria","non-dropping-particle":"","parse-names":false,"suffix":""},{"dropping-particle":"","family":"Artene","given":"Alin","non-dropping-particle":"","parse-names":false,"suffix":""}],"container-title":"Archives of Biological Sciences","id":"ITEM-1","issue":"2","issued":{"date-parts":[["2015"]]},"page":"705-714","title":"Biological assets and the agricultural products in the context of the implementation of the IAS 41: A case study of the Romanian agro-food system","type":"article-journal","volume":"67"},"uris":["http://www.mendeley.com/documents/?uuid=8a5f944a-a82e-4721-bfc7-660cbc0e93e9"]}],"mendeley":{"formattedCitation":"(MATES et al., 2015)","plainTextFormattedCitation":"(MATES et al., 2015)","previouslyFormattedCitation":"(MATES et al., 2015)"},"properties":{"noteIndex":0},"schema":"https://github.com/citation-style-language/schema/raw/master/csl-citation.json"}</w:instrText>
      </w:r>
      <w:r w:rsidR="00997B5F">
        <w:rPr>
          <w:rFonts w:ascii="Times New Roman" w:eastAsia="Calibri" w:hAnsi="Times New Roman"/>
          <w:color w:val="000000"/>
          <w:szCs w:val="24"/>
          <w:lang w:eastAsia="en-US"/>
        </w:rPr>
        <w:fldChar w:fldCharType="separate"/>
      </w:r>
      <w:r w:rsidR="00997B5F" w:rsidRPr="00997B5F">
        <w:rPr>
          <w:rFonts w:ascii="Times New Roman" w:eastAsia="Calibri" w:hAnsi="Times New Roman"/>
          <w:noProof/>
          <w:color w:val="000000"/>
          <w:szCs w:val="24"/>
          <w:lang w:eastAsia="en-US"/>
        </w:rPr>
        <w:t>(MATES et al., 2015)</w:t>
      </w:r>
      <w:r w:rsidR="00997B5F">
        <w:rPr>
          <w:rFonts w:ascii="Times New Roman" w:eastAsia="Calibri" w:hAnsi="Times New Roman"/>
          <w:color w:val="000000"/>
          <w:szCs w:val="24"/>
          <w:lang w:eastAsia="en-US"/>
        </w:rPr>
        <w:fldChar w:fldCharType="end"/>
      </w:r>
      <w:r w:rsidR="005F5719" w:rsidRPr="005F5719">
        <w:rPr>
          <w:rFonts w:ascii="Times New Roman" w:eastAsia="Calibri" w:hAnsi="Times New Roman"/>
          <w:color w:val="000000"/>
          <w:szCs w:val="24"/>
          <w:lang w:eastAsia="en-US"/>
        </w:rPr>
        <w:t xml:space="preserve">. </w:t>
      </w:r>
      <w:r w:rsidR="00BA58D4">
        <w:rPr>
          <w:rFonts w:ascii="Times New Roman" w:eastAsia="Calibri" w:hAnsi="Times New Roman"/>
          <w:color w:val="000000"/>
          <w:szCs w:val="24"/>
          <w:lang w:eastAsia="en-US"/>
        </w:rPr>
        <w:fldChar w:fldCharType="begin" w:fldLock="1"/>
      </w:r>
      <w:r w:rsidR="008211CB">
        <w:rPr>
          <w:rFonts w:ascii="Times New Roman" w:eastAsia="Calibri" w:hAnsi="Times New Roman"/>
          <w:color w:val="000000"/>
          <w:szCs w:val="24"/>
          <w:lang w:eastAsia="en-US"/>
        </w:rPr>
        <w:instrText>ADDIN CSL_CITATION {"citationItems":[{"id":"ITEM-1","itemData":{"DOI":"10.1016/j.sbspro.2014.11.052","ISBN":"1877-0428","ISSN":"18770428","abstract":"This paper is an in-depth review of IAS 41 from two dimensions, technical-theoretical dimension and meaning dimension simultaneously. The study aimed to anticipate the hazardous potentialities in valuation caused by monetary logo-centrism in accounting. The concepts offered are based on the condition of the existing culture in Indonesian society that was abstracted through ethnomethodology. These concepts represent Indonesian farmers’ viewpoints and ways of life in that are also closely related with agriculture utilities cycle. This paper suggests that agriculture accounting can be carried out even if it does not use monetary unit as its valuation approach.","author":[{"dropping-particle":"","family":"Kurniawan","given":"Rendra","non-dropping-particle":"","parse-names":false,"suffix":""},{"dropping-particle":"","family":"Mulawarman","given":"Aji Dedi","non-dropping-particle":"","parse-names":false,"suffix":""},{"dropping-particle":"","family":"Kamayanti","given":"Ari","non-dropping-particle":"","parse-names":false,"suffix":""}],"container-title":"Procedia - Social and Behavioral Sciences","id":"ITEM-1","issue":"August","issued":{"date-parts":[["2014"]]},"page":"68-75","publisher":"Elsevier B.V.","title":"Biological Assets Valuation Reconstruction: A Critical Study of IAS 41 on Agricultural Accounting in Indonesian Farmers","type":"article-journal","volume":"164"},"uris":["http://www.mendeley.com/documents/?uuid=3f947eb0-d448-4e95-af6d-cfa90c1d2469"]}],"mendeley":{"formattedCitation":"(KURNIAWAN; MULAWARMAN; KAMAYANTI, 2014)","manualFormatting":"Kurniawan, Mulawarman e Kamayanti (2014)","plainTextFormattedCitation":"(KURNIAWAN; MULAWARMAN; KAMAYANTI, 2014)","previouslyFormattedCitation":"(KURNIAWAN; MULAWARMAN; KAMAYANTI, 2014)"},"properties":{"noteIndex":0},"schema":"https://github.com/citation-style-language/schema/raw/master/csl-citation.json"}</w:instrText>
      </w:r>
      <w:r w:rsidR="00BA58D4">
        <w:rPr>
          <w:rFonts w:ascii="Times New Roman" w:eastAsia="Calibri" w:hAnsi="Times New Roman"/>
          <w:color w:val="000000"/>
          <w:szCs w:val="24"/>
          <w:lang w:eastAsia="en-US"/>
        </w:rPr>
        <w:fldChar w:fldCharType="separate"/>
      </w:r>
      <w:r w:rsidR="00BA58D4" w:rsidRPr="00BA58D4">
        <w:rPr>
          <w:rFonts w:ascii="Times New Roman" w:eastAsia="Calibri" w:hAnsi="Times New Roman"/>
          <w:noProof/>
          <w:color w:val="000000"/>
          <w:szCs w:val="24"/>
          <w:lang w:eastAsia="en-US"/>
        </w:rPr>
        <w:t>K</w:t>
      </w:r>
      <w:r w:rsidR="00BA58D4">
        <w:rPr>
          <w:rFonts w:ascii="Times New Roman" w:eastAsia="Calibri" w:hAnsi="Times New Roman"/>
          <w:noProof/>
          <w:color w:val="000000"/>
          <w:szCs w:val="24"/>
          <w:lang w:eastAsia="en-US"/>
        </w:rPr>
        <w:t>urniawan,</w:t>
      </w:r>
      <w:r w:rsidR="00BA58D4" w:rsidRPr="00BA58D4">
        <w:rPr>
          <w:rFonts w:ascii="Times New Roman" w:eastAsia="Calibri" w:hAnsi="Times New Roman"/>
          <w:noProof/>
          <w:color w:val="000000"/>
          <w:szCs w:val="24"/>
          <w:lang w:eastAsia="en-US"/>
        </w:rPr>
        <w:t xml:space="preserve"> Mulawarman</w:t>
      </w:r>
      <w:r w:rsidR="00BA58D4">
        <w:rPr>
          <w:rFonts w:ascii="Times New Roman" w:eastAsia="Calibri" w:hAnsi="Times New Roman"/>
          <w:noProof/>
          <w:color w:val="000000"/>
          <w:szCs w:val="24"/>
          <w:lang w:eastAsia="en-US"/>
        </w:rPr>
        <w:t xml:space="preserve"> e</w:t>
      </w:r>
      <w:r w:rsidR="00BA58D4" w:rsidRPr="00BA58D4">
        <w:rPr>
          <w:rFonts w:ascii="Times New Roman" w:eastAsia="Calibri" w:hAnsi="Times New Roman"/>
          <w:noProof/>
          <w:color w:val="000000"/>
          <w:szCs w:val="24"/>
          <w:lang w:eastAsia="en-US"/>
        </w:rPr>
        <w:t xml:space="preserve"> Kamayanti </w:t>
      </w:r>
      <w:r w:rsidR="00BA58D4">
        <w:rPr>
          <w:rFonts w:ascii="Times New Roman" w:eastAsia="Calibri" w:hAnsi="Times New Roman"/>
          <w:noProof/>
          <w:color w:val="000000"/>
          <w:szCs w:val="24"/>
          <w:lang w:eastAsia="en-US"/>
        </w:rPr>
        <w:t>(</w:t>
      </w:r>
      <w:r w:rsidR="00BA58D4" w:rsidRPr="00BA58D4">
        <w:rPr>
          <w:rFonts w:ascii="Times New Roman" w:eastAsia="Calibri" w:hAnsi="Times New Roman"/>
          <w:noProof/>
          <w:color w:val="000000"/>
          <w:szCs w:val="24"/>
          <w:lang w:eastAsia="en-US"/>
        </w:rPr>
        <w:t>2014)</w:t>
      </w:r>
      <w:r w:rsidR="00BA58D4">
        <w:rPr>
          <w:rFonts w:ascii="Times New Roman" w:eastAsia="Calibri" w:hAnsi="Times New Roman"/>
          <w:color w:val="000000"/>
          <w:szCs w:val="24"/>
          <w:lang w:eastAsia="en-US"/>
        </w:rPr>
        <w:fldChar w:fldCharType="end"/>
      </w:r>
      <w:r w:rsidR="005F5719" w:rsidRPr="005F5719">
        <w:rPr>
          <w:rFonts w:ascii="Times New Roman" w:eastAsia="Calibri" w:hAnsi="Times New Roman"/>
          <w:color w:val="000000"/>
          <w:szCs w:val="24"/>
          <w:lang w:eastAsia="en-US"/>
        </w:rPr>
        <w:t xml:space="preserve"> também criticam a IAS nº 41, pois a avaliação do </w:t>
      </w:r>
      <w:r w:rsidR="005F5719" w:rsidRPr="00FD5D4B">
        <w:rPr>
          <w:rFonts w:ascii="Times New Roman" w:eastAsia="Calibri" w:hAnsi="Times New Roman"/>
          <w:i/>
          <w:color w:val="000000"/>
          <w:szCs w:val="24"/>
          <w:lang w:eastAsia="en-US"/>
        </w:rPr>
        <w:t>fair value</w:t>
      </w:r>
      <w:r w:rsidR="005F5719" w:rsidRPr="005F5719">
        <w:rPr>
          <w:rFonts w:ascii="Times New Roman" w:eastAsia="Calibri" w:hAnsi="Times New Roman"/>
          <w:color w:val="000000"/>
          <w:szCs w:val="24"/>
          <w:lang w:eastAsia="en-US"/>
        </w:rPr>
        <w:t xml:space="preserve"> nesses termos, não é considerada confiável por ser</w:t>
      </w:r>
      <w:r w:rsidR="00FD5D4B">
        <w:rPr>
          <w:rFonts w:ascii="Times New Roman" w:eastAsia="Calibri" w:hAnsi="Times New Roman"/>
          <w:color w:val="000000"/>
          <w:szCs w:val="24"/>
          <w:lang w:eastAsia="en-US"/>
        </w:rPr>
        <w:t xml:space="preserve"> demasiadamente subjetiva</w:t>
      </w:r>
      <w:r w:rsidR="005F5719" w:rsidRPr="005F5719">
        <w:rPr>
          <w:rFonts w:ascii="Times New Roman" w:eastAsia="Calibri" w:hAnsi="Times New Roman"/>
          <w:color w:val="000000"/>
          <w:szCs w:val="24"/>
          <w:lang w:eastAsia="en-US"/>
        </w:rPr>
        <w:t>.</w:t>
      </w:r>
    </w:p>
    <w:p w:rsidR="00A00C16" w:rsidRDefault="009A6691"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 relevância e qualidade informacional do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dos ativos biológicos está atrelada a informatividade e transpa</w:t>
      </w:r>
      <w:r w:rsidR="007562CC" w:rsidRPr="000E5487">
        <w:rPr>
          <w:rFonts w:ascii="Times New Roman" w:eastAsia="Calibri" w:hAnsi="Times New Roman"/>
          <w:color w:val="000000"/>
          <w:szCs w:val="24"/>
          <w:lang w:eastAsia="en-US"/>
        </w:rPr>
        <w:t>r</w:t>
      </w:r>
      <w:r w:rsidRPr="000E5487">
        <w:rPr>
          <w:rFonts w:ascii="Times New Roman" w:eastAsia="Calibri" w:hAnsi="Times New Roman"/>
          <w:color w:val="000000"/>
          <w:szCs w:val="24"/>
          <w:lang w:eastAsia="en-US"/>
        </w:rPr>
        <w:t>ência das</w:t>
      </w:r>
      <w:r w:rsidR="007562CC" w:rsidRPr="000E5487">
        <w:rPr>
          <w:rFonts w:ascii="Times New Roman" w:eastAsia="Calibri" w:hAnsi="Times New Roman"/>
          <w:color w:val="000000"/>
          <w:szCs w:val="24"/>
          <w:lang w:eastAsia="en-US"/>
        </w:rPr>
        <w:t xml:space="preserve"> </w:t>
      </w:r>
      <w:r w:rsidR="008E7660">
        <w:rPr>
          <w:rFonts w:ascii="Times New Roman" w:eastAsia="Calibri" w:hAnsi="Times New Roman"/>
          <w:color w:val="000000"/>
          <w:szCs w:val="24"/>
          <w:lang w:eastAsia="en-US"/>
        </w:rPr>
        <w:t>notas explic</w:t>
      </w:r>
      <w:r w:rsidR="005F5719" w:rsidRPr="000E5487">
        <w:rPr>
          <w:rFonts w:ascii="Times New Roman" w:eastAsia="Calibri" w:hAnsi="Times New Roman"/>
          <w:color w:val="000000"/>
          <w:szCs w:val="24"/>
          <w:lang w:eastAsia="en-US"/>
        </w:rPr>
        <w:t>ativas</w:t>
      </w:r>
      <w:r w:rsidR="007562CC" w:rsidRPr="000E5487">
        <w:rPr>
          <w:rFonts w:ascii="Times New Roman" w:eastAsia="Calibri" w:hAnsi="Times New Roman"/>
          <w:color w:val="000000"/>
          <w:szCs w:val="24"/>
          <w:lang w:eastAsia="en-US"/>
        </w:rPr>
        <w:t xml:space="preserve">. </w:t>
      </w:r>
      <w:r w:rsidR="008211CB">
        <w:rPr>
          <w:rFonts w:ascii="Times New Roman" w:eastAsia="Calibri" w:hAnsi="Times New Roman"/>
          <w:color w:val="000000"/>
          <w:szCs w:val="24"/>
          <w:lang w:eastAsia="en-US"/>
        </w:rPr>
        <w:fldChar w:fldCharType="begin" w:fldLock="1"/>
      </w:r>
      <w:r w:rsidR="00F23FE5">
        <w:rPr>
          <w:rFonts w:ascii="Times New Roman" w:eastAsia="Calibri" w:hAnsi="Times New Roman"/>
          <w:color w:val="000000"/>
          <w:szCs w:val="24"/>
          <w:lang w:eastAsia="en-US"/>
        </w:rPr>
        <w:instrText>ADDIN CSL_CITATION {"citationItems":[{"id":"ITEM-1","itemData":{"abstract":"Esta pesquisa tem como objetivo analisar o impacto do valor justo na mensuração dos ativos biológicos das empresas listadas na BM&amp;FBOVESPA nos exercícios de 2008 a 2010. Foram utilizadas as pesquisas descritiva, bibliográfica, documental e qualitativa. A coleta de dados foi realizada nos sítios da BM&amp;FBOVESPA e da CVM. Os resultados revelaram que a média dos valores desses ativos foi crescente em todos os períodos analisados e que foram visualizadas variações significativas após a adoção do valor justo. Conclui-se que a aplicação do CPC 29 apresentou forte impacto na evidenciação contábil das empresas pesquisadas, as informações sobre os ativos biológicos disponibilizadas nas notas explicativas em geral são superficiais, basicamente, elas informam aos seus leitores que as entidades realizam a mensuração desses itens, conforme disposto na legislação vigente, as tornando desse modo, insuficientes para a compreensão da real situação desses ativos, em virtude da inexistência de dados que contribuam para análise dos critérios utilizados no reconhecimento, mensuração e evidenciação de seus ativos biológicos, situação que compromete a tomada de decisão dos usuários dessas informações.","author":[{"dropping-particle":"","family":"Barros","given":"Célio Da Costa;","non-dropping-particle":"","parse-names":false,"suffix":""},{"dropping-particle":"De","family":"Souza","given":"Fábia Jaiany Viana","non-dropping-particle":"","parse-names":false,"suffix":""},{"dropping-particle":"","family":"Araújo","given":"Aneide Oliveira;","non-dropping-particle":"","parse-names":false,"suffix":""},{"dropping-particle":"","family":"Silva","given":"José Dionísio Gomes Da;","non-dropping-particle":"","parse-names":false,"suffix":""},{"dropping-particle":"","family":"Silva","given":"Mauricii Côrrea Da;","non-dropping-particle":"","parse-names":false,"suffix":""}],"container-title":"Revista de Contabilidade do Mestrado em Ciências Contábeis da UERJ","id":"ITEM-1","issue":"3","issued":{"date-parts":[["2012"]]},"page":"41-59","title":"O Impacto do Valor Justo na Mensuração dos Ativos Biológicos nas Empresas Listadas na BM&amp;FBOVESPA","type":"article-journal","volume":"17"},"uris":["http://www.mendeley.com/documents/?uuid=4b489326-1404-3d62-a616-d3a421765319"]}],"mendeley":{"formattedCitation":"(BARROS et al., 2012)","manualFormatting":"Barros et al. (2012)","plainTextFormattedCitation":"(BARROS et al., 2012)","previouslyFormattedCitation":"(BARROS et al., 2012)"},"properties":{"noteIndex":0},"schema":"https://github.com/citation-style-language/schema/raw/master/csl-citation.json"}</w:instrText>
      </w:r>
      <w:r w:rsidR="008211CB">
        <w:rPr>
          <w:rFonts w:ascii="Times New Roman" w:eastAsia="Calibri" w:hAnsi="Times New Roman"/>
          <w:color w:val="000000"/>
          <w:szCs w:val="24"/>
          <w:lang w:eastAsia="en-US"/>
        </w:rPr>
        <w:fldChar w:fldCharType="separate"/>
      </w:r>
      <w:r w:rsidR="008211CB">
        <w:rPr>
          <w:rFonts w:ascii="Times New Roman" w:eastAsia="Calibri" w:hAnsi="Times New Roman"/>
          <w:noProof/>
          <w:color w:val="000000"/>
          <w:szCs w:val="24"/>
          <w:lang w:eastAsia="en-US"/>
        </w:rPr>
        <w:t>Barros et al.</w:t>
      </w:r>
      <w:r w:rsidR="008211CB" w:rsidRPr="008211CB">
        <w:rPr>
          <w:rFonts w:ascii="Times New Roman" w:eastAsia="Calibri" w:hAnsi="Times New Roman"/>
          <w:noProof/>
          <w:color w:val="000000"/>
          <w:szCs w:val="24"/>
          <w:lang w:eastAsia="en-US"/>
        </w:rPr>
        <w:t xml:space="preserve"> </w:t>
      </w:r>
      <w:r w:rsidR="008211CB">
        <w:rPr>
          <w:rFonts w:ascii="Times New Roman" w:eastAsia="Calibri" w:hAnsi="Times New Roman"/>
          <w:noProof/>
          <w:color w:val="000000"/>
          <w:szCs w:val="24"/>
          <w:lang w:eastAsia="en-US"/>
        </w:rPr>
        <w:t>(</w:t>
      </w:r>
      <w:r w:rsidR="008211CB" w:rsidRPr="008211CB">
        <w:rPr>
          <w:rFonts w:ascii="Times New Roman" w:eastAsia="Calibri" w:hAnsi="Times New Roman"/>
          <w:noProof/>
          <w:color w:val="000000"/>
          <w:szCs w:val="24"/>
          <w:lang w:eastAsia="en-US"/>
        </w:rPr>
        <w:t>2012)</w:t>
      </w:r>
      <w:r w:rsidR="008211CB">
        <w:rPr>
          <w:rFonts w:ascii="Times New Roman" w:eastAsia="Calibri" w:hAnsi="Times New Roman"/>
          <w:color w:val="000000"/>
          <w:szCs w:val="24"/>
          <w:lang w:eastAsia="en-US"/>
        </w:rPr>
        <w:fldChar w:fldCharType="end"/>
      </w:r>
      <w:r w:rsidR="005F5719" w:rsidRPr="005F5719">
        <w:rPr>
          <w:rFonts w:ascii="Times New Roman" w:eastAsia="Calibri" w:hAnsi="Times New Roman"/>
          <w:color w:val="000000"/>
          <w:szCs w:val="24"/>
          <w:lang w:eastAsia="en-US"/>
        </w:rPr>
        <w:t xml:space="preserve"> </w:t>
      </w:r>
      <w:r w:rsidR="005F5719">
        <w:rPr>
          <w:rFonts w:ascii="Times New Roman" w:eastAsia="Calibri" w:hAnsi="Times New Roman"/>
          <w:color w:val="000000"/>
          <w:szCs w:val="24"/>
          <w:lang w:eastAsia="en-US"/>
        </w:rPr>
        <w:t>e</w:t>
      </w:r>
      <w:r w:rsidR="005F5719" w:rsidRPr="005F5719">
        <w:rPr>
          <w:rFonts w:ascii="Times New Roman" w:eastAsia="Calibri" w:hAnsi="Times New Roman"/>
          <w:color w:val="000000"/>
          <w:szCs w:val="24"/>
          <w:lang w:eastAsia="en-US"/>
        </w:rPr>
        <w:t xml:space="preserve"> </w:t>
      </w:r>
      <w:r w:rsidR="00F23FE5">
        <w:rPr>
          <w:rFonts w:ascii="Times New Roman" w:eastAsia="Calibri" w:hAnsi="Times New Roman"/>
          <w:color w:val="000000"/>
          <w:szCs w:val="24"/>
          <w:lang w:eastAsia="en-US"/>
        </w:rPr>
        <w:fldChar w:fldCharType="begin" w:fldLock="1"/>
      </w:r>
      <w:r w:rsidR="00F23FE5">
        <w:rPr>
          <w:rFonts w:ascii="Times New Roman" w:eastAsia="Calibri" w:hAnsi="Times New Roman"/>
          <w:color w:val="000000"/>
          <w:szCs w:val="24"/>
          <w:lang w:eastAsia="en-US"/>
        </w:rPr>
        <w:instrText>ADDIN CSL_CITATION {"citationItems":[{"id":"ITEM-1","itemData":{"abstract":"Resumo O objetivo principal deste artigo é verificar se o conteúdo informativo dos ativos biológicos divulgados nas demonstrações contábeis são relevantes e como objetivo secundário realizar análise de conteúdo das notas explicativas verificando a conformidade das informações fornecidas pelas entidades com o CPC 29. A amostra do estudo foi composta por sociedades anônimas de capital aberto listadas na BM&amp;FBOVESPA com dados do exercício de 2010 e 2011. Os testes empíricos foram realizados aplicando modelos de relevância, utilizando-se 347 observações de empresas ativas caracterizando um modelo de estudo pooled ordinary least squares-POLS, incluindo as empresas que divulgaram ativos biológicos em conta especifica. As empresas que possuíam os valores de ativos biológicos destacados tiveram analisadas as notas explicativas referentes a esta conta. Os resultados fornecem evidências empíricas de que o conteúdo informativo dos ativos biológicos divulgados pelas empresas não foi relevante para a amostra. Com relação a análise do conteúdo das notas explicativas verificou-se um cumprimento parcial da norma, havendo uma disparidade nas práticas de divulgação das informações por parte das empresas analisadas, bem como uma omissão de itens requeridos pela norma. Pode-se inferir que a perda da relevância ocorreu, em partes, pela baixa qualidade das notas explicativas, o que pode dificultar aos usuários externos a interpretação das informações divulgadas. Palavras-chave: Ativos biológicos. CPC 29. Valor justo. Relevância da informação contábil. Abstract The main objective this article is to verify that the information content of biological assets disclosed in the financial statements are relevant and, the secondary objective perform content analysis of the notes verifying the compliance of information supplied by entities with CPC 29. The study sample was composed of publicly traded stock companies listed on the BM &amp; FBOVESPA with data for the year 2010 and 2011. The empirical tests were conducted","author":[{"dropping-particle":"","family":"Holtz","given":"Luciana","non-dropping-particle":"","parse-names":false,"suffix":""},{"dropping-particle":"De","family":"Almeida","given":"José Elias Feres","non-dropping-particle":"","parse-names":false,"suffix":""}],"container-title":"Sociedade, Contabilidade e Gestão","id":"ITEM-1","issue":"2","issued":{"date-parts":[["2013"]]},"page":"28-46","title":"Estudo sobre a Relevância e a Divulgação dos Ativos Biológicos das Empresas Listadas na BM&amp;FBOVESPA","type":"article-journal","volume":"8"},"uris":["http://www.mendeley.com/documents/?uuid=e2a9bc7c-cb5b-3812-92c8-f5b6364b61b9"]}],"mendeley":{"formattedCitation":"(HOLTZ; ALMEIDA, 2013)","manualFormatting":"Holtz e Almeida (2013)","plainTextFormattedCitation":"(HOLTZ; ALMEIDA, 2013)","previouslyFormattedCitation":"(HOLTZ; ALMEIDA, 2013)"},"properties":{"noteIndex":0},"schema":"https://github.com/citation-style-language/schema/raw/master/csl-citation.json"}</w:instrText>
      </w:r>
      <w:r w:rsidR="00F23FE5">
        <w:rPr>
          <w:rFonts w:ascii="Times New Roman" w:eastAsia="Calibri" w:hAnsi="Times New Roman"/>
          <w:color w:val="000000"/>
          <w:szCs w:val="24"/>
          <w:lang w:eastAsia="en-US"/>
        </w:rPr>
        <w:fldChar w:fldCharType="separate"/>
      </w:r>
      <w:r w:rsidR="00F23FE5">
        <w:rPr>
          <w:rFonts w:ascii="Times New Roman" w:eastAsia="Calibri" w:hAnsi="Times New Roman"/>
          <w:noProof/>
          <w:color w:val="000000"/>
          <w:szCs w:val="24"/>
          <w:lang w:eastAsia="en-US"/>
        </w:rPr>
        <w:t>Holtz e</w:t>
      </w:r>
      <w:r w:rsidR="00F23FE5" w:rsidRPr="00F23FE5">
        <w:rPr>
          <w:rFonts w:ascii="Times New Roman" w:eastAsia="Calibri" w:hAnsi="Times New Roman"/>
          <w:noProof/>
          <w:color w:val="000000"/>
          <w:szCs w:val="24"/>
          <w:lang w:eastAsia="en-US"/>
        </w:rPr>
        <w:t xml:space="preserve"> Almeida </w:t>
      </w:r>
      <w:r w:rsidR="00F23FE5">
        <w:rPr>
          <w:rFonts w:ascii="Times New Roman" w:eastAsia="Calibri" w:hAnsi="Times New Roman"/>
          <w:noProof/>
          <w:color w:val="000000"/>
          <w:szCs w:val="24"/>
          <w:lang w:eastAsia="en-US"/>
        </w:rPr>
        <w:t>(</w:t>
      </w:r>
      <w:r w:rsidR="00F23FE5" w:rsidRPr="00F23FE5">
        <w:rPr>
          <w:rFonts w:ascii="Times New Roman" w:eastAsia="Calibri" w:hAnsi="Times New Roman"/>
          <w:noProof/>
          <w:color w:val="000000"/>
          <w:szCs w:val="24"/>
          <w:lang w:eastAsia="en-US"/>
        </w:rPr>
        <w:t>2013)</w:t>
      </w:r>
      <w:r w:rsidR="00F23FE5">
        <w:rPr>
          <w:rFonts w:ascii="Times New Roman" w:eastAsia="Calibri" w:hAnsi="Times New Roman"/>
          <w:color w:val="000000"/>
          <w:szCs w:val="24"/>
          <w:lang w:eastAsia="en-US"/>
        </w:rPr>
        <w:fldChar w:fldCharType="end"/>
      </w:r>
      <w:r w:rsidR="005F5719">
        <w:rPr>
          <w:rFonts w:ascii="Times New Roman" w:eastAsia="Calibri" w:hAnsi="Times New Roman"/>
          <w:color w:val="000000"/>
          <w:szCs w:val="24"/>
          <w:lang w:eastAsia="en-US"/>
        </w:rPr>
        <w:t xml:space="preserve"> identificaram</w:t>
      </w:r>
      <w:r w:rsidR="00A424EF" w:rsidRPr="00A424EF">
        <w:rPr>
          <w:rFonts w:ascii="Times New Roman" w:eastAsia="Calibri" w:hAnsi="Times New Roman"/>
          <w:color w:val="000000"/>
          <w:szCs w:val="24"/>
          <w:lang w:eastAsia="en-US"/>
        </w:rPr>
        <w:t xml:space="preserve"> superficialidade e insuficiência de informações disponibilizadas em notas explicativas, bem como, pelo atendimento parcial dos requisitos de div</w:t>
      </w:r>
      <w:r w:rsidR="005F5719">
        <w:rPr>
          <w:rFonts w:ascii="Times New Roman" w:eastAsia="Calibri" w:hAnsi="Times New Roman"/>
          <w:color w:val="000000"/>
          <w:szCs w:val="24"/>
          <w:lang w:eastAsia="en-US"/>
        </w:rPr>
        <w:t>ulgação exigidos pela norma</w:t>
      </w:r>
      <w:r w:rsidR="00A424EF" w:rsidRPr="00A424EF">
        <w:rPr>
          <w:rFonts w:ascii="Times New Roman" w:eastAsia="Calibri" w:hAnsi="Times New Roman"/>
          <w:color w:val="000000"/>
          <w:szCs w:val="24"/>
          <w:lang w:eastAsia="en-US"/>
        </w:rPr>
        <w:t xml:space="preserve">. </w:t>
      </w:r>
      <w:r w:rsidR="005F5719">
        <w:rPr>
          <w:rFonts w:ascii="Times New Roman" w:eastAsia="Calibri" w:hAnsi="Times New Roman"/>
          <w:color w:val="000000"/>
          <w:szCs w:val="24"/>
          <w:lang w:eastAsia="en-US"/>
        </w:rPr>
        <w:t>Entretanto</w:t>
      </w:r>
      <w:r w:rsidR="00A424EF" w:rsidRPr="00A424EF">
        <w:rPr>
          <w:rFonts w:ascii="Times New Roman" w:eastAsia="Calibri" w:hAnsi="Times New Roman"/>
          <w:color w:val="000000"/>
          <w:szCs w:val="24"/>
          <w:lang w:eastAsia="en-US"/>
        </w:rPr>
        <w:t>, esse cenário pode estar mudando, pois houve um aumento significativo no nível de conformidade das empresas brasileiras ao longo do tem</w:t>
      </w:r>
      <w:r w:rsidR="005F5719">
        <w:rPr>
          <w:rFonts w:ascii="Times New Roman" w:eastAsia="Calibri" w:hAnsi="Times New Roman"/>
          <w:color w:val="000000"/>
          <w:szCs w:val="24"/>
          <w:lang w:eastAsia="en-US"/>
        </w:rPr>
        <w:t xml:space="preserve">po </w:t>
      </w:r>
      <w:r w:rsidR="00F23FE5">
        <w:rPr>
          <w:rFonts w:ascii="Times New Roman" w:eastAsia="Calibri" w:hAnsi="Times New Roman"/>
          <w:color w:val="000000"/>
          <w:szCs w:val="24"/>
          <w:lang w:eastAsia="en-US"/>
        </w:rPr>
        <w:fldChar w:fldCharType="begin" w:fldLock="1"/>
      </w:r>
      <w:r w:rsidR="00162BFD">
        <w:rPr>
          <w:rFonts w:ascii="Times New Roman" w:eastAsia="Calibri" w:hAnsi="Times New Roman"/>
          <w:color w:val="000000"/>
          <w:szCs w:val="24"/>
          <w:lang w:eastAsia="en-US"/>
        </w:rPr>
        <w:instrText>ADDIN CSL_CITATION {"citationItems":[{"id":"ITEM-1","itemData":{"author":[{"dropping-particle":"","family":"Macedo","given":"Vinicius Martins","non-dropping-particle":"","parse-names":false,"suffix":""},{"dropping-particle":"","family":"Campagnoni","given":"Mariana","non-dropping-particle":"","parse-names":false,"suffix":""},{"dropping-particle":"","family":"Rover","given":"Suliani","non-dropping-particle":"","parse-names":false,"suffix":""}],"container-title":"Sociedade, Contabilidade e Gestão","id":"ITEM-1","issue":"3","issued":{"date-parts":[["2015"]]},"page":"7-24","title":"Ativos Biológicos nas Companhias Abertas no Brasil: Conformidade Com o CPC 29 e Associação com Características Empresariais","type":"article-journal","volume":"10"},"uris":["http://www.mendeley.com/documents/?uuid=7ae2ba23-b014-44a1-b782-2b5783654cbc"]}],"mendeley":{"formattedCitation":"(MACEDO; CAMPAGNONI; ROVER, 2015)","plainTextFormattedCitation":"(MACEDO; CAMPAGNONI; ROVER, 2015)","previouslyFormattedCitation":"(MACEDO; CAMPAGNONI; ROVER, 2015)"},"properties":{"noteIndex":0},"schema":"https://github.com/citation-style-language/schema/raw/master/csl-citation.json"}</w:instrText>
      </w:r>
      <w:r w:rsidR="00F23FE5">
        <w:rPr>
          <w:rFonts w:ascii="Times New Roman" w:eastAsia="Calibri" w:hAnsi="Times New Roman"/>
          <w:color w:val="000000"/>
          <w:szCs w:val="24"/>
          <w:lang w:eastAsia="en-US"/>
        </w:rPr>
        <w:fldChar w:fldCharType="separate"/>
      </w:r>
      <w:r w:rsidR="00F23FE5" w:rsidRPr="00F23FE5">
        <w:rPr>
          <w:rFonts w:ascii="Times New Roman" w:eastAsia="Calibri" w:hAnsi="Times New Roman"/>
          <w:noProof/>
          <w:color w:val="000000"/>
          <w:szCs w:val="24"/>
          <w:lang w:eastAsia="en-US"/>
        </w:rPr>
        <w:t>(MACEDO; CAMPAGNONI; ROVER, 2015)</w:t>
      </w:r>
      <w:r w:rsidR="00F23FE5">
        <w:rPr>
          <w:rFonts w:ascii="Times New Roman" w:eastAsia="Calibri" w:hAnsi="Times New Roman"/>
          <w:color w:val="000000"/>
          <w:szCs w:val="24"/>
          <w:lang w:eastAsia="en-US"/>
        </w:rPr>
        <w:fldChar w:fldCharType="end"/>
      </w:r>
      <w:r w:rsidR="00A424EF" w:rsidRPr="00A424EF">
        <w:rPr>
          <w:rFonts w:ascii="Times New Roman" w:eastAsia="Calibri" w:hAnsi="Times New Roman"/>
          <w:color w:val="000000"/>
          <w:szCs w:val="24"/>
          <w:lang w:eastAsia="en-US"/>
        </w:rPr>
        <w:t>.</w:t>
      </w:r>
    </w:p>
    <w:p w:rsidR="00162BFD" w:rsidRPr="00A00C16" w:rsidRDefault="00162BFD" w:rsidP="00B747D7">
      <w:pPr>
        <w:spacing w:after="0" w:line="240" w:lineRule="auto"/>
        <w:ind w:firstLine="709"/>
        <w:jc w:val="both"/>
        <w:rPr>
          <w:rFonts w:ascii="Times New Roman" w:eastAsia="Calibri" w:hAnsi="Times New Roman"/>
          <w:color w:val="000000"/>
          <w:szCs w:val="24"/>
          <w:lang w:eastAsia="en-US"/>
        </w:rPr>
      </w:pPr>
    </w:p>
    <w:p w:rsidR="00082207" w:rsidRPr="000E5487" w:rsidRDefault="00D16BE4" w:rsidP="00162BFD">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3</w:t>
      </w:r>
      <w:r w:rsidR="00701358" w:rsidRPr="000E5487">
        <w:rPr>
          <w:rFonts w:ascii="Times New Roman" w:eastAsia="Calibri" w:hAnsi="Times New Roman"/>
          <w:b/>
          <w:color w:val="000000"/>
          <w:szCs w:val="24"/>
          <w:lang w:eastAsia="en-US"/>
        </w:rPr>
        <w:t xml:space="preserve"> </w:t>
      </w:r>
      <w:r w:rsidR="00162BFD" w:rsidRPr="000E5487">
        <w:rPr>
          <w:rFonts w:ascii="Times New Roman" w:eastAsia="Calibri" w:hAnsi="Times New Roman"/>
          <w:b/>
          <w:color w:val="000000"/>
          <w:szCs w:val="24"/>
          <w:lang w:eastAsia="en-US"/>
        </w:rPr>
        <w:t>Procedimentos Metodológicos</w:t>
      </w:r>
    </w:p>
    <w:p w:rsidR="00D47406" w:rsidRDefault="009C709D" w:rsidP="00B747D7">
      <w:pPr>
        <w:spacing w:after="0" w:line="240" w:lineRule="auto"/>
        <w:ind w:firstLine="709"/>
        <w:jc w:val="both"/>
      </w:pPr>
      <w:r w:rsidRPr="000E5487">
        <w:rPr>
          <w:rFonts w:ascii="Times New Roman" w:eastAsia="Calibri" w:hAnsi="Times New Roman"/>
          <w:color w:val="000000"/>
          <w:szCs w:val="24"/>
          <w:lang w:eastAsia="en-US"/>
        </w:rPr>
        <w:t>Com a finalidade de</w:t>
      </w:r>
      <w:r w:rsidR="00B809FB" w:rsidRPr="000E5487">
        <w:rPr>
          <w:rFonts w:ascii="Times New Roman" w:eastAsia="Calibri" w:hAnsi="Times New Roman"/>
          <w:color w:val="000000"/>
          <w:szCs w:val="24"/>
          <w:lang w:eastAsia="en-US"/>
        </w:rPr>
        <w:t xml:space="preserve"> </w:t>
      </w:r>
      <w:r w:rsidR="00744E5E" w:rsidRPr="000E5487">
        <w:rPr>
          <w:rFonts w:ascii="Times New Roman" w:eastAsia="Calibri" w:hAnsi="Times New Roman"/>
          <w:color w:val="000000"/>
          <w:szCs w:val="24"/>
          <w:lang w:eastAsia="en-US"/>
        </w:rPr>
        <w:t>identificar as escolhas contábeis</w:t>
      </w:r>
      <w:r w:rsidR="00E93B64" w:rsidRPr="000E5487">
        <w:rPr>
          <w:rFonts w:ascii="Times New Roman" w:eastAsia="Calibri" w:hAnsi="Times New Roman"/>
          <w:color w:val="000000"/>
          <w:szCs w:val="24"/>
          <w:lang w:eastAsia="en-US"/>
        </w:rPr>
        <w:t xml:space="preserve"> na mensuração dos ativos biológicos</w:t>
      </w:r>
      <w:r w:rsidRPr="000E5487">
        <w:rPr>
          <w:rFonts w:ascii="Times New Roman" w:eastAsia="Calibri" w:hAnsi="Times New Roman"/>
          <w:color w:val="000000"/>
          <w:szCs w:val="24"/>
          <w:lang w:eastAsia="en-US"/>
        </w:rPr>
        <w:t>,</w:t>
      </w:r>
      <w:r w:rsidR="00744E5E" w:rsidRPr="000E5487">
        <w:rPr>
          <w:rFonts w:ascii="Times New Roman" w:eastAsia="Calibri" w:hAnsi="Times New Roman"/>
          <w:color w:val="000000"/>
          <w:szCs w:val="24"/>
          <w:lang w:eastAsia="en-US"/>
        </w:rPr>
        <w:t xml:space="preserve"> </w:t>
      </w:r>
      <w:r w:rsidR="00B809FB" w:rsidRPr="000E5487">
        <w:rPr>
          <w:rFonts w:ascii="Times New Roman" w:eastAsia="Calibri" w:hAnsi="Times New Roman"/>
          <w:color w:val="000000"/>
          <w:szCs w:val="24"/>
          <w:lang w:eastAsia="en-US"/>
        </w:rPr>
        <w:t xml:space="preserve">foi realizada uma pesquisa de campo tipo </w:t>
      </w:r>
      <w:r w:rsidR="00B809FB" w:rsidRPr="000E5487">
        <w:rPr>
          <w:rFonts w:ascii="Times New Roman" w:eastAsia="Calibri" w:hAnsi="Times New Roman"/>
          <w:i/>
          <w:color w:val="000000"/>
          <w:szCs w:val="24"/>
          <w:lang w:eastAsia="en-US"/>
        </w:rPr>
        <w:t>survey</w:t>
      </w:r>
      <w:r w:rsidR="00B809FB" w:rsidRPr="000E5487">
        <w:rPr>
          <w:rFonts w:ascii="Times New Roman" w:eastAsia="Calibri" w:hAnsi="Times New Roman"/>
          <w:color w:val="000000"/>
          <w:szCs w:val="24"/>
          <w:lang w:eastAsia="en-US"/>
        </w:rPr>
        <w:t xml:space="preserve"> a uma amostra populacional do setor sucro</w:t>
      </w:r>
      <w:r w:rsidR="00744E5E" w:rsidRPr="000E5487">
        <w:rPr>
          <w:rFonts w:ascii="Times New Roman" w:eastAsia="Calibri" w:hAnsi="Times New Roman"/>
          <w:color w:val="000000"/>
          <w:szCs w:val="24"/>
          <w:lang w:eastAsia="en-US"/>
        </w:rPr>
        <w:t>energético</w:t>
      </w:r>
      <w:r w:rsidR="00B809FB" w:rsidRPr="000E5487">
        <w:rPr>
          <w:rFonts w:ascii="Times New Roman" w:eastAsia="Calibri" w:hAnsi="Times New Roman"/>
          <w:color w:val="000000"/>
          <w:szCs w:val="24"/>
          <w:lang w:eastAsia="en-US"/>
        </w:rPr>
        <w:t>.</w:t>
      </w:r>
      <w:r w:rsidR="00D47406" w:rsidRPr="00D47406">
        <w:rPr>
          <w:rFonts w:ascii="Times New Roman" w:eastAsia="Calibri" w:hAnsi="Times New Roman"/>
          <w:color w:val="000000"/>
          <w:szCs w:val="24"/>
          <w:lang w:eastAsia="en-US"/>
        </w:rPr>
        <w:tab/>
        <w:t xml:space="preserve"> O setor sucro</w:t>
      </w:r>
      <w:r w:rsidR="00D47406">
        <w:rPr>
          <w:rFonts w:ascii="Times New Roman" w:eastAsia="Calibri" w:hAnsi="Times New Roman"/>
          <w:color w:val="000000"/>
          <w:szCs w:val="24"/>
          <w:lang w:eastAsia="en-US"/>
        </w:rPr>
        <w:t>energético</w:t>
      </w:r>
      <w:r w:rsidR="00D47406" w:rsidRPr="00D47406">
        <w:rPr>
          <w:rFonts w:ascii="Times New Roman" w:eastAsia="Calibri" w:hAnsi="Times New Roman"/>
          <w:color w:val="000000"/>
          <w:szCs w:val="24"/>
          <w:lang w:eastAsia="en-US"/>
        </w:rPr>
        <w:t xml:space="preserve"> </w:t>
      </w:r>
      <w:r w:rsidR="00D47406">
        <w:rPr>
          <w:rFonts w:ascii="Times New Roman" w:eastAsia="Calibri" w:hAnsi="Times New Roman"/>
          <w:color w:val="000000"/>
          <w:szCs w:val="24"/>
          <w:lang w:eastAsia="en-US"/>
        </w:rPr>
        <w:t>foi</w:t>
      </w:r>
      <w:r w:rsidR="00D47406" w:rsidRPr="00D47406">
        <w:rPr>
          <w:rFonts w:ascii="Times New Roman" w:eastAsia="Calibri" w:hAnsi="Times New Roman"/>
          <w:color w:val="000000"/>
          <w:szCs w:val="24"/>
          <w:lang w:eastAsia="en-US"/>
        </w:rPr>
        <w:t xml:space="preserve"> </w:t>
      </w:r>
      <w:r w:rsidR="00D47406">
        <w:rPr>
          <w:rFonts w:ascii="Times New Roman" w:eastAsia="Calibri" w:hAnsi="Times New Roman"/>
          <w:color w:val="000000"/>
          <w:szCs w:val="24"/>
          <w:lang w:eastAsia="en-US"/>
        </w:rPr>
        <w:t>selecionado,</w:t>
      </w:r>
      <w:r w:rsidR="00D47406" w:rsidRPr="00D47406">
        <w:rPr>
          <w:rFonts w:ascii="Times New Roman" w:eastAsia="Calibri" w:hAnsi="Times New Roman"/>
          <w:color w:val="000000"/>
          <w:szCs w:val="24"/>
          <w:lang w:eastAsia="en-US"/>
        </w:rPr>
        <w:t xml:space="preserve">  </w:t>
      </w:r>
      <w:r w:rsidR="00D47406">
        <w:rPr>
          <w:rFonts w:ascii="Times New Roman" w:eastAsia="Calibri" w:hAnsi="Times New Roman"/>
          <w:color w:val="000000"/>
          <w:szCs w:val="24"/>
          <w:lang w:eastAsia="en-US"/>
        </w:rPr>
        <w:t>por</w:t>
      </w:r>
      <w:r w:rsidR="00D47406" w:rsidRPr="00D47406">
        <w:rPr>
          <w:rFonts w:ascii="Times New Roman" w:eastAsia="Calibri" w:hAnsi="Times New Roman"/>
          <w:color w:val="000000"/>
          <w:szCs w:val="24"/>
          <w:lang w:eastAsia="en-US"/>
        </w:rPr>
        <w:t xml:space="preserve"> ocupa</w:t>
      </w:r>
      <w:r w:rsidR="00D47406">
        <w:rPr>
          <w:rFonts w:ascii="Times New Roman" w:eastAsia="Calibri" w:hAnsi="Times New Roman"/>
          <w:color w:val="000000"/>
          <w:szCs w:val="24"/>
          <w:lang w:eastAsia="en-US"/>
        </w:rPr>
        <w:t>r</w:t>
      </w:r>
      <w:r w:rsidR="00D47406" w:rsidRPr="00D47406">
        <w:rPr>
          <w:rFonts w:ascii="Times New Roman" w:eastAsia="Calibri" w:hAnsi="Times New Roman"/>
          <w:color w:val="000000"/>
          <w:szCs w:val="24"/>
          <w:lang w:eastAsia="en-US"/>
        </w:rPr>
        <w:t xml:space="preserve"> posição de destaque entre os setores do agronegócio, principalmente por sua relevância social, econômica, </w:t>
      </w:r>
      <w:r w:rsidR="00D47406">
        <w:rPr>
          <w:rFonts w:ascii="Times New Roman" w:eastAsia="Calibri" w:hAnsi="Times New Roman"/>
          <w:color w:val="000000"/>
          <w:szCs w:val="24"/>
          <w:lang w:eastAsia="en-US"/>
        </w:rPr>
        <w:t>e</w:t>
      </w:r>
      <w:r w:rsidR="00D47406" w:rsidRPr="00D47406">
        <w:rPr>
          <w:rFonts w:ascii="Times New Roman" w:eastAsia="Calibri" w:hAnsi="Times New Roman"/>
          <w:color w:val="000000"/>
          <w:szCs w:val="24"/>
          <w:lang w:eastAsia="en-US"/>
        </w:rPr>
        <w:t xml:space="preserve"> ambiental </w:t>
      </w:r>
      <w:r w:rsidR="00162BFD">
        <w:rPr>
          <w:rFonts w:ascii="Times New Roman" w:eastAsia="Calibri" w:hAnsi="Times New Roman"/>
          <w:color w:val="000000"/>
          <w:szCs w:val="24"/>
          <w:lang w:eastAsia="en-US"/>
        </w:rPr>
        <w:fldChar w:fldCharType="begin" w:fldLock="1"/>
      </w:r>
      <w:r w:rsidR="006D5A1F">
        <w:rPr>
          <w:rFonts w:ascii="Times New Roman" w:eastAsia="Calibri" w:hAnsi="Times New Roman"/>
          <w:color w:val="000000"/>
          <w:szCs w:val="24"/>
          <w:lang w:eastAsia="en-US"/>
        </w:rPr>
        <w:instrText>ADDIN CSL_CITATION {"citationItems":[{"id":"ITEM-1","itemData":{"ISSN":"1758-678X","author":[{"dropping-particle":"","family":"Jaiswal","given":"Deepak","non-dropping-particle":"","parse-names":false,"suffix":""},{"dropping-particle":"","family":"Souza","given":"Amanda P.","non-dropping-particle":"De","parse-names":false,"suffix":""},{"dropping-particle":"","family":"Larsen","given":"Søren","non-dropping-particle":"","parse-names":false,"suffix":""},{"dropping-particle":"","family":"LeBauer","given":"David S.","non-dropping-particle":"","parse-names":false,"suffix":""},{"dropping-particle":"","family":"Miguez","given":"Fernando E","non-dropping-particle":"","parse-names":false,"suffix":""},{"dropping-particle":"","family":"Sparovek","given":"Gerd","non-dropping-particle":"","parse-names":false,"suffix":""},{"dropping-particle":"","family":"Bollero","given":"Germán","non-dropping-particle":"","parse-names":false,"suffix":""},{"dropping-particle":"","family":"Buckeridge","given":"Marcos S","non-dropping-particle":"","parse-names":false,"suffix":""},{"dropping-particle":"","family":"Long","given":"Stephen P","non-dropping-particle":"","parse-names":false,"suffix":""}],"container-title":"Nature Climate Change","id":"ITEM-1","issued":{"date-parts":[["2017","10","23"]]},"page":"1-8","title":"Brazilian sugarcane ethanol as an expandable green alternative to crude oil use","type":"article-journal","volume":"October"},"uris":["http://www.mendeley.com/documents/?uuid=a25ef861-59f4-4e12-a70e-a138c7afb80a"]}],"mendeley":{"formattedCitation":"(JAISWAL et al., 2017)","plainTextFormattedCitation":"(JAISWAL et al., 2017)","previouslyFormattedCitation":"(JAISWAL et al., 2017)"},"properties":{"noteIndex":0},"schema":"https://github.com/citation-style-language/schema/raw/master/csl-citation.json"}</w:instrText>
      </w:r>
      <w:r w:rsidR="00162BFD">
        <w:rPr>
          <w:rFonts w:ascii="Times New Roman" w:eastAsia="Calibri" w:hAnsi="Times New Roman"/>
          <w:color w:val="000000"/>
          <w:szCs w:val="24"/>
          <w:lang w:eastAsia="en-US"/>
        </w:rPr>
        <w:fldChar w:fldCharType="separate"/>
      </w:r>
      <w:r w:rsidR="00162BFD" w:rsidRPr="00162BFD">
        <w:rPr>
          <w:rFonts w:ascii="Times New Roman" w:eastAsia="Calibri" w:hAnsi="Times New Roman"/>
          <w:noProof/>
          <w:color w:val="000000"/>
          <w:szCs w:val="24"/>
          <w:lang w:eastAsia="en-US"/>
        </w:rPr>
        <w:t>(JAISWAL et al., 2017)</w:t>
      </w:r>
      <w:r w:rsidR="00162BFD">
        <w:rPr>
          <w:rFonts w:ascii="Times New Roman" w:eastAsia="Calibri" w:hAnsi="Times New Roman"/>
          <w:color w:val="000000"/>
          <w:szCs w:val="24"/>
          <w:lang w:eastAsia="en-US"/>
        </w:rPr>
        <w:fldChar w:fldCharType="end"/>
      </w:r>
      <w:r w:rsidR="00D47406" w:rsidRPr="00D47406">
        <w:rPr>
          <w:rFonts w:ascii="Times New Roman" w:eastAsia="Calibri" w:hAnsi="Times New Roman"/>
          <w:color w:val="000000"/>
          <w:szCs w:val="24"/>
          <w:lang w:eastAsia="en-US"/>
        </w:rPr>
        <w:t>.</w:t>
      </w:r>
    </w:p>
    <w:p w:rsidR="00D47406" w:rsidRDefault="00D47406"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A cana-de-açúcar</w:t>
      </w:r>
      <w:r w:rsidRPr="00D47406">
        <w:rPr>
          <w:rFonts w:ascii="Times New Roman" w:eastAsia="Calibri" w:hAnsi="Times New Roman"/>
          <w:color w:val="000000"/>
          <w:szCs w:val="24"/>
          <w:lang w:eastAsia="en-US"/>
        </w:rPr>
        <w:t xml:space="preserve"> representa parte significativa do patrimônio das agroindústrias que atuam no setor sucro</w:t>
      </w:r>
      <w:r>
        <w:rPr>
          <w:rFonts w:ascii="Times New Roman" w:eastAsia="Calibri" w:hAnsi="Times New Roman"/>
          <w:color w:val="000000"/>
          <w:szCs w:val="24"/>
          <w:lang w:eastAsia="en-US"/>
        </w:rPr>
        <w:t>energético</w:t>
      </w:r>
      <w:r w:rsidRPr="00D47406">
        <w:rPr>
          <w:rFonts w:ascii="Times New Roman" w:eastAsia="Calibri" w:hAnsi="Times New Roman"/>
          <w:color w:val="000000"/>
          <w:szCs w:val="24"/>
          <w:lang w:eastAsia="en-US"/>
        </w:rPr>
        <w:t xml:space="preserve">. Na safra 2017/18 a área cultivada com cana-de-açúcar no Brasil totalizou 8.729.500 hectares, resultando em 633.261.900 toneladas, destinadas à produção de diversos produtos de valor agregado, tais como alimentos, rações animais, biocombustíveis e bioenergia </w:t>
      </w:r>
      <w:r w:rsidR="006D5A1F">
        <w:rPr>
          <w:rFonts w:ascii="Times New Roman" w:eastAsia="Calibri" w:hAnsi="Times New Roman"/>
          <w:color w:val="000000"/>
          <w:szCs w:val="24"/>
          <w:lang w:eastAsia="en-US"/>
        </w:rPr>
        <w:fldChar w:fldCharType="begin" w:fldLock="1"/>
      </w:r>
      <w:r w:rsidR="00DC1B79">
        <w:rPr>
          <w:rFonts w:ascii="Times New Roman" w:eastAsia="Calibri" w:hAnsi="Times New Roman"/>
          <w:color w:val="000000"/>
          <w:szCs w:val="24"/>
          <w:lang w:eastAsia="en-US"/>
        </w:rPr>
        <w:instrText>ADDIN CSL_CITATION {"citationItems":[{"id":"ITEM-1","itemData":{"URL":"http://www.conab.gov.br","accessed":{"date-parts":[["2018","10","12"]]},"author":[{"dropping-particle":"","family":"CONAB","given":"Companhia Nacional de Abastecimento","non-dropping-particle":"","parse-names":false,"suffix":""}],"id":"ITEM-1","issued":{"date-parts":[["2018"]]},"title":"Séries históricas - cana-de-açúcar","type":"webpage"},"uris":["http://www.mendeley.com/documents/?uuid=946f2534-b7cf-478b-9ad4-afe8a0e2c471"]}],"mendeley":{"formattedCitation":"(CONAB, 2018)","plainTextFormattedCitation":"(CONAB, 2018)","previouslyFormattedCitation":"(CONAB, 2018)"},"properties":{"noteIndex":0},"schema":"https://github.com/citation-style-language/schema/raw/master/csl-citation.json"}</w:instrText>
      </w:r>
      <w:r w:rsidR="006D5A1F">
        <w:rPr>
          <w:rFonts w:ascii="Times New Roman" w:eastAsia="Calibri" w:hAnsi="Times New Roman"/>
          <w:color w:val="000000"/>
          <w:szCs w:val="24"/>
          <w:lang w:eastAsia="en-US"/>
        </w:rPr>
        <w:fldChar w:fldCharType="separate"/>
      </w:r>
      <w:r w:rsidR="006D5A1F" w:rsidRPr="006D5A1F">
        <w:rPr>
          <w:rFonts w:ascii="Times New Roman" w:eastAsia="Calibri" w:hAnsi="Times New Roman"/>
          <w:noProof/>
          <w:color w:val="000000"/>
          <w:szCs w:val="24"/>
          <w:lang w:eastAsia="en-US"/>
        </w:rPr>
        <w:t>(CONAB, 2018)</w:t>
      </w:r>
      <w:r w:rsidR="006D5A1F">
        <w:rPr>
          <w:rFonts w:ascii="Times New Roman" w:eastAsia="Calibri" w:hAnsi="Times New Roman"/>
          <w:color w:val="000000"/>
          <w:szCs w:val="24"/>
          <w:lang w:eastAsia="en-US"/>
        </w:rPr>
        <w:fldChar w:fldCharType="end"/>
      </w:r>
      <w:r w:rsidRPr="00D47406">
        <w:rPr>
          <w:rFonts w:ascii="Times New Roman" w:eastAsia="Calibri" w:hAnsi="Times New Roman"/>
          <w:color w:val="000000"/>
          <w:szCs w:val="24"/>
          <w:lang w:eastAsia="en-US"/>
        </w:rPr>
        <w:t xml:space="preserve">.  </w:t>
      </w:r>
    </w:p>
    <w:p w:rsidR="00124269" w:rsidRDefault="00B809FB"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O instrumento de </w:t>
      </w:r>
      <w:r w:rsidR="00D47406">
        <w:rPr>
          <w:rFonts w:ascii="Times New Roman" w:eastAsia="Calibri" w:hAnsi="Times New Roman"/>
          <w:color w:val="000000"/>
          <w:szCs w:val="24"/>
          <w:lang w:eastAsia="en-US"/>
        </w:rPr>
        <w:t>coleta</w:t>
      </w:r>
      <w:r w:rsidR="00D47406" w:rsidRPr="00D47406">
        <w:rPr>
          <w:rFonts w:ascii="Times New Roman" w:eastAsia="Calibri" w:hAnsi="Times New Roman"/>
          <w:color w:val="000000"/>
          <w:szCs w:val="24"/>
          <w:lang w:eastAsia="en-US"/>
        </w:rPr>
        <w:t xml:space="preserve"> </w:t>
      </w:r>
      <w:r w:rsidR="00D47406">
        <w:rPr>
          <w:rFonts w:ascii="Times New Roman" w:eastAsia="Calibri" w:hAnsi="Times New Roman"/>
          <w:color w:val="000000"/>
          <w:szCs w:val="24"/>
          <w:lang w:eastAsia="en-US"/>
        </w:rPr>
        <w:t>de</w:t>
      </w:r>
      <w:r w:rsidR="00D47406" w:rsidRPr="00D47406">
        <w:rPr>
          <w:rFonts w:ascii="Times New Roman" w:eastAsia="Calibri" w:hAnsi="Times New Roman"/>
          <w:color w:val="000000"/>
          <w:szCs w:val="24"/>
          <w:lang w:eastAsia="en-US"/>
        </w:rPr>
        <w:t xml:space="preserve"> </w:t>
      </w:r>
      <w:r w:rsidR="00D47406">
        <w:rPr>
          <w:rFonts w:ascii="Times New Roman" w:eastAsia="Calibri" w:hAnsi="Times New Roman"/>
          <w:color w:val="000000"/>
          <w:szCs w:val="24"/>
          <w:lang w:eastAsia="en-US"/>
        </w:rPr>
        <w:t>dados</w:t>
      </w:r>
      <w:r w:rsidRPr="000E5487">
        <w:rPr>
          <w:rFonts w:ascii="Times New Roman" w:eastAsia="Calibri" w:hAnsi="Times New Roman"/>
          <w:color w:val="000000"/>
          <w:szCs w:val="24"/>
          <w:lang w:eastAsia="en-US"/>
        </w:rPr>
        <w:t xml:space="preserve"> foi </w:t>
      </w:r>
      <w:r w:rsidR="00136AD0" w:rsidRPr="000E5487">
        <w:rPr>
          <w:rFonts w:ascii="Times New Roman" w:eastAsia="Calibri" w:hAnsi="Times New Roman"/>
          <w:color w:val="000000"/>
          <w:szCs w:val="24"/>
          <w:lang w:eastAsia="en-US"/>
        </w:rPr>
        <w:t>elaborado</w:t>
      </w:r>
      <w:r w:rsidRPr="000E5487">
        <w:rPr>
          <w:rFonts w:ascii="Times New Roman" w:eastAsia="Calibri" w:hAnsi="Times New Roman"/>
          <w:color w:val="000000"/>
          <w:szCs w:val="24"/>
          <w:lang w:eastAsia="en-US"/>
        </w:rPr>
        <w:t xml:space="preserve"> com base na literatura</w:t>
      </w:r>
      <w:r w:rsidR="009C709D"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w:t>
      </w:r>
      <w:r w:rsidR="00124269" w:rsidRPr="000E5487">
        <w:rPr>
          <w:rFonts w:ascii="Times New Roman" w:eastAsia="Calibri" w:hAnsi="Times New Roman"/>
          <w:color w:val="000000"/>
          <w:szCs w:val="24"/>
          <w:lang w:eastAsia="en-US"/>
        </w:rPr>
        <w:t>conforme apresentado no Quadro 1.</w:t>
      </w:r>
    </w:p>
    <w:p w:rsidR="006D5A1F" w:rsidRDefault="006D5A1F" w:rsidP="00B747D7">
      <w:pPr>
        <w:spacing w:after="0" w:line="240" w:lineRule="auto"/>
        <w:ind w:firstLine="709"/>
        <w:jc w:val="both"/>
        <w:rPr>
          <w:rFonts w:ascii="Times New Roman" w:eastAsia="Calibri" w:hAnsi="Times New Roman"/>
          <w:color w:val="000000"/>
          <w:szCs w:val="24"/>
          <w:lang w:eastAsia="en-US"/>
        </w:rPr>
      </w:pPr>
    </w:p>
    <w:p w:rsidR="006D5A1F" w:rsidRPr="00F17696" w:rsidRDefault="006D5A1F" w:rsidP="00F17696">
      <w:pPr>
        <w:spacing w:after="0" w:line="240" w:lineRule="auto"/>
        <w:jc w:val="center"/>
        <w:rPr>
          <w:rFonts w:ascii="Times New Roman" w:eastAsia="Calibri" w:hAnsi="Times New Roman"/>
          <w:color w:val="000000"/>
          <w:sz w:val="20"/>
          <w:szCs w:val="24"/>
          <w:lang w:eastAsia="en-US"/>
        </w:rPr>
      </w:pPr>
      <w:r w:rsidRPr="00F17696">
        <w:rPr>
          <w:rFonts w:ascii="Times New Roman" w:eastAsia="Calibri" w:hAnsi="Times New Roman"/>
          <w:color w:val="000000"/>
          <w:sz w:val="20"/>
          <w:szCs w:val="24"/>
          <w:lang w:eastAsia="en-US"/>
        </w:rPr>
        <w:t>Quadro 1 - Elementos considerados na coleta de dados</w:t>
      </w:r>
    </w:p>
    <w:tbl>
      <w:tblPr>
        <w:tblStyle w:val="Tabelacomgrade"/>
        <w:tblW w:w="5000" w:type="pct"/>
        <w:tblLook w:val="04A0" w:firstRow="1" w:lastRow="0" w:firstColumn="1" w:lastColumn="0" w:noHBand="0" w:noVBand="1"/>
      </w:tblPr>
      <w:tblGrid>
        <w:gridCol w:w="4815"/>
        <w:gridCol w:w="4246"/>
      </w:tblGrid>
      <w:tr w:rsidR="00D37EA3" w:rsidRPr="000E5487" w:rsidTr="008E7660">
        <w:tc>
          <w:tcPr>
            <w:tcW w:w="2657" w:type="pct"/>
            <w:vAlign w:val="center"/>
          </w:tcPr>
          <w:p w:rsidR="00D37EA3" w:rsidRPr="000E5487" w:rsidRDefault="00D37EA3" w:rsidP="006D5A1F">
            <w:pPr>
              <w:spacing w:after="0" w:line="240" w:lineRule="auto"/>
              <w:jc w:val="center"/>
              <w:rPr>
                <w:rFonts w:ascii="Times New Roman" w:eastAsia="Calibri" w:hAnsi="Times New Roman"/>
                <w:b/>
                <w:color w:val="000000"/>
                <w:sz w:val="20"/>
                <w:szCs w:val="24"/>
                <w:lang w:eastAsia="en-US"/>
              </w:rPr>
            </w:pPr>
            <w:r w:rsidRPr="000E5487">
              <w:rPr>
                <w:rFonts w:ascii="Times New Roman" w:eastAsia="Calibri" w:hAnsi="Times New Roman"/>
                <w:b/>
                <w:color w:val="000000"/>
                <w:sz w:val="20"/>
                <w:szCs w:val="24"/>
                <w:lang w:eastAsia="en-US"/>
              </w:rPr>
              <w:t>Elemento</w:t>
            </w:r>
          </w:p>
        </w:tc>
        <w:tc>
          <w:tcPr>
            <w:tcW w:w="2343" w:type="pct"/>
            <w:vAlign w:val="center"/>
          </w:tcPr>
          <w:p w:rsidR="00D37EA3" w:rsidRPr="000E5487" w:rsidRDefault="008E7660" w:rsidP="008E7660">
            <w:pPr>
              <w:spacing w:after="0" w:line="240" w:lineRule="auto"/>
              <w:jc w:val="center"/>
              <w:rPr>
                <w:rFonts w:ascii="Times New Roman" w:eastAsia="Calibri" w:hAnsi="Times New Roman"/>
                <w:b/>
                <w:color w:val="000000"/>
                <w:sz w:val="20"/>
                <w:szCs w:val="24"/>
                <w:lang w:eastAsia="en-US"/>
              </w:rPr>
            </w:pPr>
            <w:r>
              <w:rPr>
                <w:rFonts w:ascii="Times New Roman" w:eastAsia="Calibri" w:hAnsi="Times New Roman"/>
                <w:b/>
                <w:color w:val="000000"/>
                <w:sz w:val="20"/>
                <w:szCs w:val="24"/>
                <w:lang w:eastAsia="en-US"/>
              </w:rPr>
              <w:t>Referência</w:t>
            </w:r>
            <w:r w:rsidR="00D37EA3" w:rsidRPr="000E5487">
              <w:rPr>
                <w:rFonts w:ascii="Times New Roman" w:eastAsia="Calibri" w:hAnsi="Times New Roman"/>
                <w:b/>
                <w:color w:val="000000"/>
                <w:sz w:val="20"/>
                <w:szCs w:val="24"/>
                <w:lang w:eastAsia="en-US"/>
              </w:rPr>
              <w:t xml:space="preserve"> Teórica</w:t>
            </w:r>
          </w:p>
        </w:tc>
      </w:tr>
      <w:tr w:rsidR="00D37EA3" w:rsidRPr="008E7660"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Nível de Qualificação</w:t>
            </w:r>
          </w:p>
        </w:tc>
        <w:tc>
          <w:tcPr>
            <w:tcW w:w="2343" w:type="pct"/>
            <w:vMerge w:val="restart"/>
            <w:vAlign w:val="center"/>
          </w:tcPr>
          <w:p w:rsidR="00D37EA3" w:rsidRPr="008E7660" w:rsidRDefault="00D37EA3" w:rsidP="008E7660">
            <w:pPr>
              <w:spacing w:after="0" w:line="240" w:lineRule="auto"/>
              <w:jc w:val="both"/>
              <w:rPr>
                <w:rFonts w:ascii="Times New Roman" w:eastAsia="Calibri" w:hAnsi="Times New Roman"/>
                <w:color w:val="000000"/>
                <w:sz w:val="20"/>
                <w:szCs w:val="20"/>
                <w:lang w:eastAsia="en-US"/>
              </w:rPr>
            </w:pPr>
            <w:r w:rsidRPr="008E7660">
              <w:rPr>
                <w:rFonts w:ascii="Times New Roman" w:eastAsia="Calibri" w:hAnsi="Times New Roman"/>
                <w:color w:val="000000"/>
                <w:sz w:val="20"/>
                <w:szCs w:val="20"/>
                <w:lang w:eastAsia="en-US"/>
              </w:rPr>
              <w:t xml:space="preserve">Larson e Street (2004) e </w:t>
            </w:r>
            <w:r w:rsidR="008E7660">
              <w:rPr>
                <w:rFonts w:ascii="Times New Roman" w:eastAsia="Calibri" w:hAnsi="Times New Roman"/>
                <w:color w:val="000000"/>
                <w:sz w:val="20"/>
                <w:szCs w:val="20"/>
                <w:lang w:val="en-US" w:eastAsia="en-US"/>
              </w:rPr>
              <w:fldChar w:fldCharType="begin" w:fldLock="1"/>
            </w:r>
            <w:r w:rsidR="008E7660">
              <w:rPr>
                <w:rFonts w:ascii="Times New Roman" w:eastAsia="Calibri" w:hAnsi="Times New Roman"/>
                <w:color w:val="000000"/>
                <w:sz w:val="20"/>
                <w:szCs w:val="20"/>
                <w:lang w:eastAsia="en-US"/>
              </w:rPr>
              <w:instrText>ADDIN CSL_CITATION {"citationItems":[{"id":"ITEM-1","itemData":{"DOI":"10.1016/j.cpa.2013.03.005","ISBN":"1045-2354","ISSN":"10959955","abstract":"We investigate the translation and application of global accounting standards in a local context, with Romania as our country case study. Our theoretical framework is derived from institutional theory. We develop this by complementing isomorphism (. DiMaggio and Powell, 1983) with an emphasis on the behavior of actors and with the different strategic responses that organizations enact as a result of the institutional pressures toward conformity, following Oliver (1991). We contend that local actors play a more important role in triggering organizational responses than is implied by Oliver's (1991) framework in the application of International Financial Reporting Standards (IFRS). This is because organizational responses to these global standards are conditioned by the interplay between actors, who are searching for legitimacy and the attainment of their own (mutually conflicting) interests.Contrary to earlier institutional propositions, we find that acquiescence strategies may occur even when there is a great degree of constituent multiplicity, and that avoidance may occur in entities with a smaller degree of multiplicity. We thus argue that countries are not homogeneous in terms of accounting practices. Finally we suggest that intra-organizational interests and actions are important for IFRS implementation, and future research should investigate this in depth.","author":[{"dropping-particle":"","family":"Albu","given":"Cătălin Nicolae","non-dropping-particle":"","parse-names":false,"suffix":""},{"dropping-particle":"","family":"Albu","given":"Nadia","non-dropping-particle":"","parse-names":false,"suffix":""},{"dropping-particle":"","family":"Alexander","given":"David","non-dropping-particle":"","parse-names":false,"suffix":""}],"container-title":"Critical Perspectives on Accounting","id":"ITEM-1","issue":"6","issued":{"date-parts":[["2014"]]},"page":"489-510","title":"When global accounting standards meet the local context-Insights from an emerging economy","type":"article-journal","volume":"25"},"uris":["http://www.mendeley.com/documents/?uuid=18f3c0cf-2c31-4694-bd9e-280d5b75d5a0"]}],"mendeley":{"formattedCitation":"(ALBU; ALBU; ALEXANDER, 2014)","manualFormatting":"Albu, Albu e Alexander (2014)","plainTextFormattedCitation":"(ALBU; ALBU; ALEXANDER, 2014)","previouslyFormattedCitation":"(ALBU; ALBU; ALEXANDER, 2014)"},"properties":{"noteIndex":0},"schema":"https://github.com/citation-style-language/schema/raw/master/csl-citation.json"}</w:instrText>
            </w:r>
            <w:r w:rsidR="008E7660">
              <w:rPr>
                <w:rFonts w:ascii="Times New Roman" w:eastAsia="Calibri" w:hAnsi="Times New Roman"/>
                <w:color w:val="000000"/>
                <w:sz w:val="20"/>
                <w:szCs w:val="20"/>
                <w:lang w:val="en-US" w:eastAsia="en-US"/>
              </w:rPr>
              <w:fldChar w:fldCharType="separate"/>
            </w:r>
            <w:r w:rsidR="008E7660" w:rsidRPr="008E7660">
              <w:rPr>
                <w:rFonts w:ascii="Times New Roman" w:eastAsia="Calibri" w:hAnsi="Times New Roman"/>
                <w:noProof/>
                <w:color w:val="000000"/>
                <w:sz w:val="20"/>
                <w:szCs w:val="20"/>
                <w:lang w:eastAsia="en-US"/>
              </w:rPr>
              <w:t xml:space="preserve">Albu, Albu e Alexander </w:t>
            </w:r>
            <w:r w:rsidR="008E7660">
              <w:rPr>
                <w:rFonts w:ascii="Times New Roman" w:eastAsia="Calibri" w:hAnsi="Times New Roman"/>
                <w:noProof/>
                <w:color w:val="000000"/>
                <w:sz w:val="20"/>
                <w:szCs w:val="20"/>
                <w:lang w:eastAsia="en-US"/>
              </w:rPr>
              <w:t>(</w:t>
            </w:r>
            <w:r w:rsidR="008E7660" w:rsidRPr="008E7660">
              <w:rPr>
                <w:rFonts w:ascii="Times New Roman" w:eastAsia="Calibri" w:hAnsi="Times New Roman"/>
                <w:noProof/>
                <w:color w:val="000000"/>
                <w:sz w:val="20"/>
                <w:szCs w:val="20"/>
                <w:lang w:eastAsia="en-US"/>
              </w:rPr>
              <w:t>2014)</w:t>
            </w:r>
            <w:r w:rsidR="008E7660">
              <w:rPr>
                <w:rFonts w:ascii="Times New Roman" w:eastAsia="Calibri" w:hAnsi="Times New Roman"/>
                <w:color w:val="000000"/>
                <w:sz w:val="20"/>
                <w:szCs w:val="20"/>
                <w:lang w:val="en-US" w:eastAsia="en-US"/>
              </w:rPr>
              <w:fldChar w:fldCharType="end"/>
            </w: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Tempo de Experiência Profissional</w:t>
            </w:r>
          </w:p>
        </w:tc>
        <w:tc>
          <w:tcPr>
            <w:tcW w:w="2343" w:type="pct"/>
            <w:vMerge/>
            <w:vAlign w:val="center"/>
          </w:tcPr>
          <w:p w:rsidR="00D37EA3" w:rsidRPr="000E5487" w:rsidRDefault="00D37EA3" w:rsidP="00B747D7">
            <w:pPr>
              <w:spacing w:after="0" w:line="240" w:lineRule="auto"/>
              <w:ind w:firstLine="709"/>
              <w:jc w:val="both"/>
              <w:rPr>
                <w:rFonts w:ascii="Times New Roman" w:eastAsia="Calibri" w:hAnsi="Times New Roman"/>
                <w:color w:val="000000"/>
                <w:sz w:val="20"/>
                <w:szCs w:val="24"/>
                <w:lang w:eastAsia="en-US"/>
              </w:rPr>
            </w:pP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Tempo de Experiência na mensuração de ativos biológicos</w:t>
            </w:r>
          </w:p>
        </w:tc>
        <w:tc>
          <w:tcPr>
            <w:tcW w:w="2343" w:type="pct"/>
            <w:vMerge/>
            <w:vAlign w:val="center"/>
          </w:tcPr>
          <w:p w:rsidR="00D37EA3" w:rsidRPr="000E5487" w:rsidRDefault="00D37EA3" w:rsidP="00B747D7">
            <w:pPr>
              <w:spacing w:after="0" w:line="240" w:lineRule="auto"/>
              <w:ind w:firstLine="709"/>
              <w:jc w:val="both"/>
              <w:rPr>
                <w:rFonts w:ascii="Times New Roman" w:eastAsia="Calibri" w:hAnsi="Times New Roman"/>
                <w:color w:val="000000"/>
                <w:sz w:val="20"/>
                <w:szCs w:val="24"/>
                <w:lang w:eastAsia="en-US"/>
              </w:rPr>
            </w:pP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Métodos de mensuração</w:t>
            </w:r>
          </w:p>
        </w:tc>
        <w:tc>
          <w:tcPr>
            <w:tcW w:w="2343" w:type="pct"/>
            <w:vAlign w:val="center"/>
          </w:tcPr>
          <w:p w:rsidR="00D37EA3" w:rsidRPr="000E5487" w:rsidRDefault="00D37EA3" w:rsidP="008E7660">
            <w:pPr>
              <w:spacing w:after="0" w:line="240" w:lineRule="auto"/>
              <w:jc w:val="both"/>
              <w:rPr>
                <w:rFonts w:ascii="Times New Roman" w:eastAsia="Calibri" w:hAnsi="Times New Roman"/>
                <w:noProof/>
                <w:color w:val="000000"/>
                <w:sz w:val="20"/>
                <w:szCs w:val="24"/>
                <w:lang w:eastAsia="en-US"/>
              </w:rPr>
            </w:pPr>
            <w:r w:rsidRPr="000E5487">
              <w:rPr>
                <w:rFonts w:ascii="Times New Roman" w:eastAsia="Calibri" w:hAnsi="Times New Roman"/>
                <w:color w:val="000000"/>
                <w:sz w:val="20"/>
                <w:szCs w:val="24"/>
                <w:lang w:eastAsia="en-US"/>
              </w:rPr>
              <w:fldChar w:fldCharType="begin" w:fldLock="1"/>
            </w:r>
            <w:r w:rsidR="008E7660">
              <w:rPr>
                <w:rFonts w:ascii="Times New Roman" w:eastAsia="Calibri" w:hAnsi="Times New Roman"/>
                <w:color w:val="000000"/>
                <w:sz w:val="20"/>
                <w:szCs w:val="24"/>
                <w:lang w:eastAsia="en-US"/>
              </w:rPr>
              <w:instrText>ADDIN CSL_CITATION {"citationItems":[{"id":"ITEM-1","itemData":{"ISBN":"11384891","ISSN":"19884672","PMID":"1030094650","abstract":"This paper presents empirical research comparing the accounting difficulties that arise from the use of two valuation methods for biological assets, fair value (FV) and historical cost (HC) accounting, in the agricultural sector. It also compares how reliable each valuation method is in the decision-making process of agents within the sector. By conducting an experiment with students, farmers, and accountants operating in the agricultural sector, we find that they have more difficulties, make larger miscalculations and make poorer judgements with HC accounting than with FV accounting. In-depth interviews uncover flawed accounting practices in the agricultural sector in Spain in order to meet HC accounting requirements. Given the complexities of cost calculation for biological assets and the predominance of small family business units in advanced Western countries, the study concludes that accounting can be more easily applied in the agricultural sector under FV than HC accounting, and that HC conveys a less accurate grasp of the real situation of a farm.","author":[{"dropping-particle":"","family":"Argilés Bosch","given":"Josep Maria","non-dropping-particle":"","parse-names":false,"suffix":""},{"dropping-particle":"","family":"Aliberch","given":"Anna Sabata","non-dropping-particle":"","parse-names":false,"suffix":""},{"dropping-particle":"","family":"Blandón","given":"Josep García","non-dropping-particle":"","parse-names":false,"suffix":""}],"container-title":"Revista de Contabilidad - Spanish Accounting Review","id":"ITEM-1","issue":"1","issued":{"date-parts":[["2012"]]},"page":"109-142","title":"A comparative study of difficulties in accounting preparation and judgement in agriculture using fair value and historical cost for biological assets valuation","type":"article-journal","volume":"15"},"uris":["http://www.mendeley.com/documents/?uuid=d08238ce-61a4-4d60-8c13-adcd67015475"]}],"mendeley":{"formattedCitation":"(ARGILÉS BOSCH; ALIBERCH; BLANDÓN, 2012)","manualFormatting":"Argilés Bosch, Aliberch e Blandón (2012)","plainTextFormattedCitation":"(ARGILÉS BOSCH; ALIBERCH; BLANDÓN, 2012)","previouslyFormattedCitation":"(ARGILÉS BOSCH; ALIBERCH; BLANDÓN, 2012)"},"properties":{"noteIndex":0},"schema":"https://github.com/citation-style-language/schema/raw/master/csl-citation.json"}</w:instrText>
            </w:r>
            <w:r w:rsidRPr="000E5487">
              <w:rPr>
                <w:rFonts w:ascii="Times New Roman" w:eastAsia="Calibri" w:hAnsi="Times New Roman"/>
                <w:color w:val="000000"/>
                <w:sz w:val="20"/>
                <w:szCs w:val="24"/>
                <w:lang w:eastAsia="en-US"/>
              </w:rPr>
              <w:fldChar w:fldCharType="separate"/>
            </w:r>
            <w:r w:rsidR="008E7660" w:rsidRPr="008E7660">
              <w:rPr>
                <w:rFonts w:ascii="Times New Roman" w:eastAsia="Calibri" w:hAnsi="Times New Roman"/>
                <w:noProof/>
                <w:color w:val="000000"/>
                <w:sz w:val="20"/>
                <w:szCs w:val="24"/>
                <w:lang w:eastAsia="en-US"/>
              </w:rPr>
              <w:t>Argilés Bosch</w:t>
            </w:r>
            <w:r w:rsidR="008E7660">
              <w:rPr>
                <w:rFonts w:ascii="Times New Roman" w:eastAsia="Calibri" w:hAnsi="Times New Roman"/>
                <w:noProof/>
                <w:color w:val="000000"/>
                <w:sz w:val="20"/>
                <w:szCs w:val="24"/>
                <w:lang w:eastAsia="en-US"/>
              </w:rPr>
              <w:t>, Aliberch e</w:t>
            </w:r>
            <w:r w:rsidR="008E7660" w:rsidRPr="008E7660">
              <w:rPr>
                <w:rFonts w:ascii="Times New Roman" w:eastAsia="Calibri" w:hAnsi="Times New Roman"/>
                <w:noProof/>
                <w:color w:val="000000"/>
                <w:sz w:val="20"/>
                <w:szCs w:val="24"/>
                <w:lang w:eastAsia="en-US"/>
              </w:rPr>
              <w:t xml:space="preserve"> Blandón </w:t>
            </w:r>
            <w:r w:rsidR="008E7660">
              <w:rPr>
                <w:rFonts w:ascii="Times New Roman" w:eastAsia="Calibri" w:hAnsi="Times New Roman"/>
                <w:noProof/>
                <w:color w:val="000000"/>
                <w:sz w:val="20"/>
                <w:szCs w:val="24"/>
                <w:lang w:eastAsia="en-US"/>
              </w:rPr>
              <w:t>(</w:t>
            </w:r>
            <w:r w:rsidR="008E7660" w:rsidRPr="008E7660">
              <w:rPr>
                <w:rFonts w:ascii="Times New Roman" w:eastAsia="Calibri" w:hAnsi="Times New Roman"/>
                <w:noProof/>
                <w:color w:val="000000"/>
                <w:sz w:val="20"/>
                <w:szCs w:val="24"/>
                <w:lang w:eastAsia="en-US"/>
              </w:rPr>
              <w:t>2012)</w:t>
            </w:r>
            <w:r w:rsidRPr="000E5487">
              <w:rPr>
                <w:rFonts w:ascii="Times New Roman" w:eastAsia="Calibri" w:hAnsi="Times New Roman"/>
                <w:color w:val="000000"/>
                <w:sz w:val="20"/>
                <w:szCs w:val="24"/>
                <w:lang w:eastAsia="en-US"/>
              </w:rPr>
              <w:fldChar w:fldCharType="end"/>
            </w:r>
            <w:r w:rsidRPr="000E5487">
              <w:rPr>
                <w:rFonts w:ascii="Times New Roman" w:eastAsia="Calibri" w:hAnsi="Times New Roman"/>
                <w:color w:val="000000"/>
                <w:sz w:val="20"/>
                <w:szCs w:val="24"/>
                <w:lang w:eastAsia="en-US"/>
              </w:rPr>
              <w:t xml:space="preserve"> e </w:t>
            </w:r>
            <w:r w:rsidRPr="000E5487">
              <w:rPr>
                <w:rFonts w:ascii="Times New Roman" w:eastAsia="Calibri" w:hAnsi="Times New Roman"/>
                <w:color w:val="000000"/>
                <w:sz w:val="20"/>
                <w:szCs w:val="24"/>
                <w:lang w:eastAsia="en-US"/>
              </w:rPr>
              <w:fldChar w:fldCharType="begin" w:fldLock="1"/>
            </w:r>
            <w:r w:rsidR="00DE4E1B">
              <w:rPr>
                <w:rFonts w:ascii="Times New Roman" w:eastAsia="Calibri" w:hAnsi="Times New Roman"/>
                <w:color w:val="000000"/>
                <w:sz w:val="20"/>
                <w:szCs w:val="24"/>
                <w:lang w:eastAsia="en-US"/>
              </w:rPr>
              <w:instrText>ADDIN CSL_CITATION {"citationItems":[{"id":"ITEM-1","itemData":{"ISSN":"1808-2882","abstract":"Resumo A IAS 41 inseriu no cenário internacional da contabilidade as condições mínimas para contabilização e apresentação dos ativos biológicos nas demonstrações financeiras. O mesmo aconteceu no Brasil com a CPC 29 que estabelece que os ativos biológicos devem ser mensurados a valor justo sempre que esse possa ser mensurado confiavelmente. Desta forma, este artigo tem como objetivo analisar os métodos de mensuração dos ativos biológicos de natureza fixa. A pesquisa é de natureza exploratória, à partir da aplicação de dados hipotéticos à um pomar de laranjas, que apresenta as características gerais da maioria das árvores frutíferas, servindo de referência para os demais ativos biológicos de mesma natureza. O artigo faz uma análise da aplicação das técnicas de mensuração a valor justo determinadas pela IAS 41 e pela IFRS 13, com a apresentação de três métodos para mensurar os ativos biológicos de natureza fixa. Como resultado da pesquisa, destaca-se que o critério de mensuração a valor justo é aplicável ao setor do ponto de vista teórico. Porém, para a mensuração destes ativos depende-se de estimativas de preços e de produção, que em muitos casos envolve previsões com estatísticas e dados subjetivos, o que justifica a dificuldade encontrada no setor para a mensuração dos ativos biológicos. Palavras-chave: Valor justo. Ativos biológicos. Métodos de mensuração.","author":[{"dropping-particle":"","family":"Rech","given":"Ilirio Jose","non-dropping-particle":"","parse-names":false,"suffix":""},{"dropping-particle":"","family":"Pereira","given":"Ivone Vieira","non-dropping-particle":"","parse-names":false,"suffix":""}],"container-title":"Custos e @gronegócio on line","id":"ITEM-1","issue":"2","issued":{"date-parts":[["2012"]]},"page":"131-157","title":"Valor justo : análise dos métodos de mensuração aplicáveis aos ativos biológicos de natureza fixa","type":"article-journal","volume":"8"},"uris":["http://www.mendeley.com/documents/?uuid=71117ee0-a9fb-3d3b-829d-dc0f8e8cbf74"]}],"mendeley":{"formattedCitation":"(RECH; PEREIRA, 2012)","manualFormatting":"Rech e Pereira (2012)","plainTextFormattedCitation":"(RECH; PEREIRA, 2012)","previouslyFormattedCitation":"(RECH; PEREIRA, 2012)"},"properties":{"noteIndex":0},"schema":"https://github.com/citation-style-language/schema/raw/master/csl-citation.json"}</w:instrText>
            </w:r>
            <w:r w:rsidRPr="000E5487">
              <w:rPr>
                <w:rFonts w:ascii="Times New Roman" w:eastAsia="Calibri" w:hAnsi="Times New Roman"/>
                <w:color w:val="000000"/>
                <w:sz w:val="20"/>
                <w:szCs w:val="24"/>
                <w:lang w:eastAsia="en-US"/>
              </w:rPr>
              <w:fldChar w:fldCharType="separate"/>
            </w:r>
            <w:r w:rsidRPr="000E5487">
              <w:rPr>
                <w:rFonts w:ascii="Times New Roman" w:eastAsia="Calibri" w:hAnsi="Times New Roman"/>
                <w:noProof/>
                <w:color w:val="000000"/>
                <w:sz w:val="20"/>
                <w:szCs w:val="24"/>
                <w:lang w:eastAsia="en-US"/>
              </w:rPr>
              <w:t>Rech e Pereira (2012)</w:t>
            </w:r>
            <w:r w:rsidRPr="000E5487">
              <w:rPr>
                <w:rFonts w:ascii="Times New Roman" w:eastAsia="Calibri" w:hAnsi="Times New Roman"/>
                <w:color w:val="000000"/>
                <w:sz w:val="20"/>
                <w:szCs w:val="24"/>
                <w:lang w:eastAsia="en-US"/>
              </w:rPr>
              <w:fldChar w:fldCharType="end"/>
            </w: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Taxas de desconto</w:t>
            </w:r>
          </w:p>
        </w:tc>
        <w:tc>
          <w:tcPr>
            <w:tcW w:w="2343" w:type="pct"/>
            <w:vAlign w:val="center"/>
          </w:tcPr>
          <w:p w:rsidR="00D37EA3" w:rsidRPr="000E5487" w:rsidRDefault="00D37EA3" w:rsidP="008E7660">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fldChar w:fldCharType="begin" w:fldLock="1"/>
            </w:r>
            <w:r w:rsidR="00DE4E1B">
              <w:rPr>
                <w:rFonts w:ascii="Times New Roman" w:eastAsia="Calibri" w:hAnsi="Times New Roman"/>
                <w:color w:val="000000"/>
                <w:sz w:val="20"/>
                <w:szCs w:val="24"/>
                <w:lang w:eastAsia="en-US"/>
              </w:rPr>
              <w:instrText>ADDIN CSL_CITATION {"citationItems":[{"id":"ITEM-1","itemData":{"author":[{"dropping-particle":"","family":"Rech","given":"Ilirio Jose","non-dropping-particle":"","parse-names":false,"suffix":""},{"dropping-particle":"da","family":"Cunha","given":"Moisés Ferreira","non-dropping-particle":"","parse-names":false,"suffix":""}],"container-title":"Congresso USP de Controladoria e Contabilidade","id":"ITEM-1","issue":"11","issued":{"date-parts":[["2011"]]},"page":"1-18","publisher":"FEA-USP","publisher-place":"São Paulo","title":"Análise das taxas de desconto aplicáveis na mensuração dos ativos biológicos a valor justo","type":"paper-conference"},"uris":["http://www.mendeley.com/documents/?uuid=1c7ecc4d-d43d-4950-a822-8454acb86b4f"]}],"mendeley":{"formattedCitation":"(RECH; CUNHA, 2011)","manualFormatting":"Rech e Cunha (2011)","plainTextFormattedCitation":"(RECH; CUNHA, 2011)","previouslyFormattedCitation":"(RECH; CUNHA, 2011)"},"properties":{"noteIndex":0},"schema":"https://github.com/citation-style-language/schema/raw/master/csl-citation.json"}</w:instrText>
            </w:r>
            <w:r w:rsidRPr="000E5487">
              <w:rPr>
                <w:rFonts w:ascii="Times New Roman" w:eastAsia="Calibri" w:hAnsi="Times New Roman"/>
                <w:color w:val="000000"/>
                <w:sz w:val="20"/>
                <w:szCs w:val="24"/>
                <w:lang w:eastAsia="en-US"/>
              </w:rPr>
              <w:fldChar w:fldCharType="separate"/>
            </w:r>
            <w:r w:rsidRPr="000E5487">
              <w:rPr>
                <w:rFonts w:ascii="Times New Roman" w:eastAsia="Calibri" w:hAnsi="Times New Roman"/>
                <w:noProof/>
                <w:color w:val="000000"/>
                <w:sz w:val="20"/>
                <w:szCs w:val="24"/>
                <w:lang w:eastAsia="en-US"/>
              </w:rPr>
              <w:t>Rech e Cunha (2011)</w:t>
            </w:r>
            <w:r w:rsidRPr="000E5487">
              <w:rPr>
                <w:rFonts w:ascii="Times New Roman" w:eastAsia="Calibri" w:hAnsi="Times New Roman"/>
                <w:color w:val="000000"/>
                <w:sz w:val="20"/>
                <w:szCs w:val="24"/>
                <w:lang w:eastAsia="en-US"/>
              </w:rPr>
              <w:fldChar w:fldCharType="end"/>
            </w:r>
            <w:r w:rsidRPr="000E5487">
              <w:rPr>
                <w:rFonts w:ascii="Times New Roman" w:eastAsia="Calibri" w:hAnsi="Times New Roman"/>
                <w:color w:val="000000"/>
                <w:sz w:val="20"/>
                <w:szCs w:val="24"/>
                <w:lang w:eastAsia="en-US"/>
              </w:rPr>
              <w:t xml:space="preserve"> e </w:t>
            </w:r>
            <w:r w:rsidRPr="000E5487">
              <w:rPr>
                <w:rFonts w:ascii="Times New Roman" w:eastAsia="Calibri" w:hAnsi="Times New Roman"/>
                <w:color w:val="000000"/>
                <w:sz w:val="20"/>
                <w:szCs w:val="24"/>
                <w:lang w:eastAsia="en-US"/>
              </w:rPr>
              <w:fldChar w:fldCharType="begin" w:fldLock="1"/>
            </w:r>
            <w:r w:rsidR="008E7660">
              <w:rPr>
                <w:rFonts w:ascii="Times New Roman" w:eastAsia="Calibri" w:hAnsi="Times New Roman"/>
                <w:color w:val="000000"/>
                <w:sz w:val="20"/>
                <w:szCs w:val="24"/>
                <w:lang w:eastAsia="en-US"/>
              </w:rPr>
              <w:instrText>ADDIN CSL_CITATION {"citationItems":[{"id":"ITEM-1","itemData":{"abstract":"O Capital Asset Princig Model (CAPM) oferece conceitos válidos e aceitos na definição do risco dos ativos. Essa metodologia de cálculo é medida pela relação entre a covariância dos retornos de mercado e da companhia e a variância dos retornos da empresa. Por tratar-se de uma metodologia aplicada em mercados estáveis, as conclusões favoráveis ao CAPM precisam, no entanto, ser reavaliadas em mercados emergentes, como o brasileiro. São discutidos os principais indicadores financeiros do mercado brasileiro e justificada, por meio de fundamentos estatísticos, a inconsistência dos resultados. No estudo, mostrou-se a necessidade de apurar o custo de oportunidade dos investidores brasileiros utilizando o benchmark de uma economia mais estável. O objetivo neste trabalho é sugerir um modelo que utiliza padrões de benchmark, sendo descritos os diversos ajustes necessários ao cálculo do custo de oportunidade dos acionistas das companhias brasileiras. De forma original, o modelo sugerido do custo de capital incorpora, além do risco-país, a volatilidade do mercado acionário brasileiro, demonstrando, portanto, a compatibilidade no desenvolvimento de uma metodologia de cálculo do custo do capital no Brasil.","author":[{"dropping-particle":"","family":"Assaf Neto","given":"Alexandre","non-dropping-particle":"","parse-names":false,"suffix":""},{"dropping-particle":"","family":"Lima","given":"Fabiano Guasti","non-dropping-particle":"","parse-names":false,"suffix":""},{"dropping-particle":"de","family":"Araújo","given":"Adriana Maria Procópio","non-dropping-particle":"","parse-names":false,"suffix":""}],"container-title":"RAUSP – Revista de Administração","id":"ITEM-1","issue":"1","issued":{"date-parts":[["2008"]]},"page":"72-83","title":"Uma proposta metodológica para o cálculo do custo de capital no Brasil","type":"article-journal","volume":"43"},"uris":["http://www.mendeley.com/documents/?uuid=7d16470d-9f62-4954-90cc-98b03c9f8041"]}],"mendeley":{"formattedCitation":"(ASSAF NETO; LIMA; ARAÚJO, 2008)","manualFormatting":"Assaf Neto, Lima e Araújo (2008)","plainTextFormattedCitation":"(ASSAF NETO; LIMA; ARAÚJO, 2008)","previouslyFormattedCitation":"(ASSAF NETO; LIMA; ARAÚJO, 2008)"},"properties":{"noteIndex":0},"schema":"https://github.com/citation-style-language/schema/raw/master/csl-citation.json"}</w:instrText>
            </w:r>
            <w:r w:rsidRPr="000E5487">
              <w:rPr>
                <w:rFonts w:ascii="Times New Roman" w:eastAsia="Calibri" w:hAnsi="Times New Roman"/>
                <w:color w:val="000000"/>
                <w:sz w:val="20"/>
                <w:szCs w:val="24"/>
                <w:lang w:eastAsia="en-US"/>
              </w:rPr>
              <w:fldChar w:fldCharType="separate"/>
            </w:r>
            <w:r w:rsidR="008E7660" w:rsidRPr="008E7660">
              <w:rPr>
                <w:rFonts w:ascii="Times New Roman" w:eastAsia="Calibri" w:hAnsi="Times New Roman"/>
                <w:noProof/>
                <w:color w:val="000000"/>
                <w:sz w:val="20"/>
                <w:szCs w:val="24"/>
                <w:lang w:eastAsia="en-US"/>
              </w:rPr>
              <w:t>Assaf Neto</w:t>
            </w:r>
            <w:r w:rsidR="008E7660">
              <w:rPr>
                <w:rFonts w:ascii="Times New Roman" w:eastAsia="Calibri" w:hAnsi="Times New Roman"/>
                <w:noProof/>
                <w:color w:val="000000"/>
                <w:sz w:val="20"/>
                <w:szCs w:val="24"/>
                <w:lang w:eastAsia="en-US"/>
              </w:rPr>
              <w:t>,</w:t>
            </w:r>
            <w:r w:rsidR="008E7660" w:rsidRPr="008E7660">
              <w:rPr>
                <w:rFonts w:ascii="Times New Roman" w:eastAsia="Calibri" w:hAnsi="Times New Roman"/>
                <w:noProof/>
                <w:color w:val="000000"/>
                <w:sz w:val="20"/>
                <w:szCs w:val="24"/>
                <w:lang w:eastAsia="en-US"/>
              </w:rPr>
              <w:t xml:space="preserve"> Lima</w:t>
            </w:r>
            <w:r w:rsidR="008E7660">
              <w:rPr>
                <w:rFonts w:ascii="Times New Roman" w:eastAsia="Calibri" w:hAnsi="Times New Roman"/>
                <w:noProof/>
                <w:color w:val="000000"/>
                <w:sz w:val="20"/>
                <w:szCs w:val="24"/>
                <w:lang w:eastAsia="en-US"/>
              </w:rPr>
              <w:t xml:space="preserve"> e</w:t>
            </w:r>
            <w:r w:rsidR="008E7660" w:rsidRPr="008E7660">
              <w:rPr>
                <w:rFonts w:ascii="Times New Roman" w:eastAsia="Calibri" w:hAnsi="Times New Roman"/>
                <w:noProof/>
                <w:color w:val="000000"/>
                <w:sz w:val="20"/>
                <w:szCs w:val="24"/>
                <w:lang w:eastAsia="en-US"/>
              </w:rPr>
              <w:t xml:space="preserve"> Araújo </w:t>
            </w:r>
            <w:r w:rsidR="008E7660">
              <w:rPr>
                <w:rFonts w:ascii="Times New Roman" w:eastAsia="Calibri" w:hAnsi="Times New Roman"/>
                <w:noProof/>
                <w:color w:val="000000"/>
                <w:sz w:val="20"/>
                <w:szCs w:val="24"/>
                <w:lang w:eastAsia="en-US"/>
              </w:rPr>
              <w:t>(</w:t>
            </w:r>
            <w:r w:rsidR="008E7660" w:rsidRPr="008E7660">
              <w:rPr>
                <w:rFonts w:ascii="Times New Roman" w:eastAsia="Calibri" w:hAnsi="Times New Roman"/>
                <w:noProof/>
                <w:color w:val="000000"/>
                <w:sz w:val="20"/>
                <w:szCs w:val="24"/>
                <w:lang w:eastAsia="en-US"/>
              </w:rPr>
              <w:t>2008)</w:t>
            </w:r>
            <w:r w:rsidRPr="000E5487">
              <w:rPr>
                <w:rFonts w:ascii="Times New Roman" w:eastAsia="Calibri" w:hAnsi="Times New Roman"/>
                <w:color w:val="000000"/>
                <w:sz w:val="20"/>
                <w:szCs w:val="24"/>
                <w:lang w:eastAsia="en-US"/>
              </w:rPr>
              <w:fldChar w:fldCharType="end"/>
            </w: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Quantidade, preço</w:t>
            </w:r>
            <w:r w:rsidR="005E1968" w:rsidRPr="000E5487">
              <w:rPr>
                <w:rFonts w:ascii="Times New Roman" w:eastAsia="Calibri" w:hAnsi="Times New Roman"/>
                <w:color w:val="000000"/>
                <w:sz w:val="20"/>
                <w:szCs w:val="24"/>
                <w:lang w:eastAsia="en-US"/>
              </w:rPr>
              <w:t xml:space="preserve"> e horizonte de projeção</w:t>
            </w:r>
          </w:p>
        </w:tc>
        <w:tc>
          <w:tcPr>
            <w:tcW w:w="2343" w:type="pct"/>
            <w:vAlign w:val="center"/>
          </w:tcPr>
          <w:p w:rsidR="00D37EA3" w:rsidRPr="000E5487" w:rsidRDefault="008E7660" w:rsidP="008E7660">
            <w:pPr>
              <w:spacing w:after="0" w:line="240" w:lineRule="auto"/>
              <w:jc w:val="both"/>
              <w:rPr>
                <w:rFonts w:ascii="Times New Roman" w:eastAsia="Calibri" w:hAnsi="Times New Roman"/>
                <w:color w:val="000000"/>
                <w:sz w:val="20"/>
                <w:szCs w:val="24"/>
                <w:lang w:eastAsia="en-US"/>
              </w:rPr>
            </w:pPr>
            <w:r>
              <w:rPr>
                <w:rFonts w:ascii="Times New Roman" w:eastAsia="Calibri" w:hAnsi="Times New Roman"/>
                <w:color w:val="000000"/>
                <w:sz w:val="20"/>
                <w:szCs w:val="24"/>
                <w:lang w:val="en-US" w:eastAsia="en-US"/>
              </w:rPr>
              <w:t>Marion (2010)</w:t>
            </w:r>
          </w:p>
        </w:tc>
      </w:tr>
      <w:tr w:rsidR="00D37EA3" w:rsidRPr="000E5487" w:rsidTr="008E7660">
        <w:tc>
          <w:tcPr>
            <w:tcW w:w="2657"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Custos de produção e depreciação</w:t>
            </w:r>
          </w:p>
        </w:tc>
        <w:tc>
          <w:tcPr>
            <w:tcW w:w="2343" w:type="pct"/>
            <w:vAlign w:val="center"/>
          </w:tcPr>
          <w:p w:rsidR="00D37EA3" w:rsidRPr="000E5487" w:rsidRDefault="00D37EA3" w:rsidP="006D5A1F">
            <w:pPr>
              <w:spacing w:after="0" w:line="240" w:lineRule="auto"/>
              <w:jc w:val="both"/>
              <w:rPr>
                <w:rFonts w:ascii="Times New Roman" w:eastAsia="Calibri" w:hAnsi="Times New Roman"/>
                <w:color w:val="000000"/>
                <w:sz w:val="20"/>
                <w:szCs w:val="24"/>
                <w:lang w:eastAsia="en-US"/>
              </w:rPr>
            </w:pPr>
            <w:r w:rsidRPr="000E5487">
              <w:rPr>
                <w:rFonts w:ascii="Times New Roman" w:eastAsia="Calibri" w:hAnsi="Times New Roman"/>
                <w:color w:val="000000"/>
                <w:sz w:val="20"/>
                <w:szCs w:val="24"/>
                <w:lang w:eastAsia="en-US"/>
              </w:rPr>
              <w:t>Agrianual (201</w:t>
            </w:r>
            <w:r w:rsidR="00344F61" w:rsidRPr="000E5487">
              <w:rPr>
                <w:rFonts w:ascii="Times New Roman" w:eastAsia="Calibri" w:hAnsi="Times New Roman"/>
                <w:color w:val="000000"/>
                <w:sz w:val="20"/>
                <w:szCs w:val="24"/>
                <w:lang w:eastAsia="en-US"/>
              </w:rPr>
              <w:t>6</w:t>
            </w:r>
            <w:r w:rsidRPr="000E5487">
              <w:rPr>
                <w:rFonts w:ascii="Times New Roman" w:eastAsia="Calibri" w:hAnsi="Times New Roman"/>
                <w:color w:val="000000"/>
                <w:sz w:val="20"/>
                <w:szCs w:val="24"/>
                <w:lang w:eastAsia="en-US"/>
              </w:rPr>
              <w:t>)</w:t>
            </w:r>
            <w:r w:rsidR="00980BD6">
              <w:rPr>
                <w:rFonts w:ascii="Times New Roman" w:eastAsia="Calibri" w:hAnsi="Times New Roman"/>
                <w:color w:val="000000"/>
                <w:sz w:val="20"/>
                <w:szCs w:val="24"/>
                <w:lang w:eastAsia="en-US"/>
              </w:rPr>
              <w:t xml:space="preserve"> e </w:t>
            </w:r>
            <w:r w:rsidR="00980BD6">
              <w:rPr>
                <w:rFonts w:ascii="Times New Roman" w:eastAsia="Calibri" w:hAnsi="Times New Roman"/>
                <w:color w:val="000000"/>
                <w:sz w:val="20"/>
                <w:szCs w:val="24"/>
                <w:lang w:eastAsia="en-US"/>
              </w:rPr>
              <w:fldChar w:fldCharType="begin" w:fldLock="1"/>
            </w:r>
            <w:r w:rsidR="001154CF">
              <w:rPr>
                <w:rFonts w:ascii="Times New Roman" w:eastAsia="Calibri" w:hAnsi="Times New Roman"/>
                <w:color w:val="000000"/>
                <w:sz w:val="20"/>
                <w:szCs w:val="24"/>
                <w:lang w:eastAsia="en-US"/>
              </w:rPr>
              <w:instrText>ADDIN CSL_CITATION {"citationItems":[{"id":"ITEM-1","itemData":{"author":[{"dropping-particle":"","family":"Marion","given":"José Carlos","non-dropping-particle":"","parse-names":false,"suffix":""}],"edition":"12","id":"ITEM-1","issued":{"date-parts":[["2010"]]},"number-of-pages":"280","publisher":"Atlas","publisher-place":"São Paulo","title":"Contabilidade rural, contabilidade agrícola, contabilidade pecuária, imposto de renda pessoa jurídica","type":"book"},"uris":["http://www.mendeley.com/documents/?uuid=82b6ee4f-5b80-4d5d-b47a-8f76628b07d7"]}],"mendeley":{"formattedCitation":"(MARION, 2010)","manualFormatting":"Marion (2010)","plainTextFormattedCitation":"(MARION, 2010)","previouslyFormattedCitation":"(MARION, 2010)"},"properties":{"noteIndex":0},"schema":"https://github.com/citation-style-language/schema/raw/master/csl-citation.json"}</w:instrText>
            </w:r>
            <w:r w:rsidR="00980BD6">
              <w:rPr>
                <w:rFonts w:ascii="Times New Roman" w:eastAsia="Calibri" w:hAnsi="Times New Roman"/>
                <w:color w:val="000000"/>
                <w:sz w:val="20"/>
                <w:szCs w:val="24"/>
                <w:lang w:eastAsia="en-US"/>
              </w:rPr>
              <w:fldChar w:fldCharType="separate"/>
            </w:r>
            <w:r w:rsidR="00980BD6" w:rsidRPr="00980BD6">
              <w:rPr>
                <w:rFonts w:ascii="Times New Roman" w:eastAsia="Calibri" w:hAnsi="Times New Roman"/>
                <w:noProof/>
                <w:color w:val="000000"/>
                <w:sz w:val="20"/>
                <w:szCs w:val="24"/>
                <w:lang w:eastAsia="en-US"/>
              </w:rPr>
              <w:t xml:space="preserve">Marion </w:t>
            </w:r>
            <w:r w:rsidR="00980BD6">
              <w:rPr>
                <w:rFonts w:ascii="Times New Roman" w:eastAsia="Calibri" w:hAnsi="Times New Roman"/>
                <w:noProof/>
                <w:color w:val="000000"/>
                <w:sz w:val="20"/>
                <w:szCs w:val="24"/>
                <w:lang w:eastAsia="en-US"/>
              </w:rPr>
              <w:t>(</w:t>
            </w:r>
            <w:r w:rsidR="00980BD6" w:rsidRPr="00980BD6">
              <w:rPr>
                <w:rFonts w:ascii="Times New Roman" w:eastAsia="Calibri" w:hAnsi="Times New Roman"/>
                <w:noProof/>
                <w:color w:val="000000"/>
                <w:sz w:val="20"/>
                <w:szCs w:val="24"/>
                <w:lang w:eastAsia="en-US"/>
              </w:rPr>
              <w:t>2010)</w:t>
            </w:r>
            <w:r w:rsidR="00980BD6">
              <w:rPr>
                <w:rFonts w:ascii="Times New Roman" w:eastAsia="Calibri" w:hAnsi="Times New Roman"/>
                <w:color w:val="000000"/>
                <w:sz w:val="20"/>
                <w:szCs w:val="24"/>
                <w:lang w:eastAsia="en-US"/>
              </w:rPr>
              <w:fldChar w:fldCharType="end"/>
            </w:r>
          </w:p>
        </w:tc>
      </w:tr>
    </w:tbl>
    <w:p w:rsidR="00344F61" w:rsidRPr="000E5487" w:rsidRDefault="00344F61" w:rsidP="00B747D7">
      <w:pPr>
        <w:spacing w:after="0" w:line="240" w:lineRule="auto"/>
        <w:ind w:firstLine="709"/>
        <w:jc w:val="both"/>
        <w:rPr>
          <w:rFonts w:ascii="Times New Roman" w:eastAsia="Calibri" w:hAnsi="Times New Roman"/>
          <w:color w:val="000000"/>
          <w:szCs w:val="24"/>
          <w:lang w:eastAsia="en-US"/>
        </w:rPr>
      </w:pPr>
    </w:p>
    <w:p w:rsidR="00B809FB" w:rsidRPr="000E5487" w:rsidRDefault="00D37EA3"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O instrumento </w:t>
      </w:r>
      <w:r w:rsidR="007725FE">
        <w:rPr>
          <w:rFonts w:ascii="Times New Roman" w:eastAsia="Calibri" w:hAnsi="Times New Roman"/>
          <w:color w:val="000000"/>
          <w:szCs w:val="24"/>
          <w:lang w:eastAsia="en-US"/>
        </w:rPr>
        <w:t xml:space="preserve">de coleta </w:t>
      </w:r>
      <w:r w:rsidRPr="000E5487">
        <w:rPr>
          <w:rFonts w:ascii="Times New Roman" w:eastAsia="Calibri" w:hAnsi="Times New Roman"/>
          <w:color w:val="000000"/>
          <w:szCs w:val="24"/>
          <w:lang w:eastAsia="en-US"/>
        </w:rPr>
        <w:t>contém</w:t>
      </w:r>
      <w:r w:rsidR="00B216F1" w:rsidRPr="000E5487">
        <w:rPr>
          <w:rFonts w:ascii="Times New Roman" w:eastAsia="Calibri" w:hAnsi="Times New Roman"/>
          <w:color w:val="000000"/>
          <w:szCs w:val="24"/>
          <w:lang w:eastAsia="en-US"/>
        </w:rPr>
        <w:t xml:space="preserve"> 2</w:t>
      </w:r>
      <w:r w:rsidR="00FD5D4B">
        <w:rPr>
          <w:rFonts w:ascii="Times New Roman" w:eastAsia="Calibri" w:hAnsi="Times New Roman"/>
          <w:color w:val="000000"/>
          <w:szCs w:val="24"/>
          <w:lang w:eastAsia="en-US"/>
        </w:rPr>
        <w:t>6</w:t>
      </w:r>
      <w:r w:rsidRPr="000E5487">
        <w:rPr>
          <w:rFonts w:ascii="Times New Roman" w:eastAsia="Calibri" w:hAnsi="Times New Roman"/>
          <w:color w:val="000000"/>
          <w:szCs w:val="24"/>
          <w:lang w:eastAsia="en-US"/>
        </w:rPr>
        <w:t xml:space="preserve"> questões, </w:t>
      </w:r>
      <w:r w:rsidR="00B809FB" w:rsidRPr="000E5487">
        <w:rPr>
          <w:rFonts w:ascii="Times New Roman" w:eastAsia="Calibri" w:hAnsi="Times New Roman"/>
          <w:color w:val="000000"/>
          <w:szCs w:val="24"/>
          <w:lang w:eastAsia="en-US"/>
        </w:rPr>
        <w:t xml:space="preserve">sendo </w:t>
      </w:r>
      <w:r w:rsidR="00482F4B" w:rsidRPr="000E5487">
        <w:rPr>
          <w:rFonts w:ascii="Times New Roman" w:eastAsia="Calibri" w:hAnsi="Times New Roman"/>
          <w:color w:val="000000"/>
          <w:szCs w:val="24"/>
          <w:lang w:eastAsia="en-US"/>
        </w:rPr>
        <w:t>seis</w:t>
      </w:r>
      <w:r w:rsidR="00B809FB" w:rsidRPr="000E5487">
        <w:rPr>
          <w:rFonts w:ascii="Times New Roman" w:eastAsia="Calibri" w:hAnsi="Times New Roman"/>
          <w:color w:val="000000"/>
          <w:szCs w:val="24"/>
          <w:lang w:eastAsia="en-US"/>
        </w:rPr>
        <w:t xml:space="preserve"> questões fechadas</w:t>
      </w:r>
      <w:r w:rsidR="002F1601" w:rsidRPr="000E5487">
        <w:rPr>
          <w:rFonts w:ascii="Times New Roman" w:eastAsia="Calibri" w:hAnsi="Times New Roman"/>
          <w:color w:val="000000"/>
          <w:szCs w:val="24"/>
          <w:lang w:eastAsia="en-US"/>
        </w:rPr>
        <w:t>,</w:t>
      </w:r>
      <w:r w:rsidR="00B809FB" w:rsidRPr="000E5487">
        <w:rPr>
          <w:rFonts w:ascii="Times New Roman" w:eastAsia="Calibri" w:hAnsi="Times New Roman"/>
          <w:color w:val="000000"/>
          <w:szCs w:val="24"/>
          <w:lang w:eastAsia="en-US"/>
        </w:rPr>
        <w:t xml:space="preserve"> relativas ao perfil dos respondentes, outras </w:t>
      </w:r>
      <w:r w:rsidR="00E31B61" w:rsidRPr="000E5487">
        <w:rPr>
          <w:rFonts w:ascii="Times New Roman" w:eastAsia="Calibri" w:hAnsi="Times New Roman"/>
          <w:color w:val="000000"/>
          <w:szCs w:val="24"/>
          <w:lang w:eastAsia="en-US"/>
        </w:rPr>
        <w:t xml:space="preserve">duas </w:t>
      </w:r>
      <w:r w:rsidR="00B809FB" w:rsidRPr="000E5487">
        <w:rPr>
          <w:rFonts w:ascii="Times New Roman" w:eastAsia="Calibri" w:hAnsi="Times New Roman"/>
          <w:color w:val="000000"/>
          <w:szCs w:val="24"/>
          <w:lang w:eastAsia="en-US"/>
        </w:rPr>
        <w:t xml:space="preserve">questões sobre o </w:t>
      </w:r>
      <w:r w:rsidR="00E31B61" w:rsidRPr="000E5487">
        <w:rPr>
          <w:rFonts w:ascii="Times New Roman" w:eastAsia="Calibri" w:hAnsi="Times New Roman"/>
          <w:color w:val="000000"/>
          <w:szCs w:val="24"/>
          <w:lang w:eastAsia="en-US"/>
        </w:rPr>
        <w:t>método de mensuração dos ativos biológicos, dez questões</w:t>
      </w:r>
      <w:r w:rsidR="002F1601" w:rsidRPr="000E5487">
        <w:rPr>
          <w:rFonts w:ascii="Times New Roman" w:eastAsia="Calibri" w:hAnsi="Times New Roman"/>
          <w:color w:val="000000"/>
          <w:szCs w:val="24"/>
          <w:lang w:eastAsia="en-US"/>
        </w:rPr>
        <w:t xml:space="preserve"> </w:t>
      </w:r>
      <w:r w:rsidR="00E31B61" w:rsidRPr="000E5487">
        <w:rPr>
          <w:rFonts w:ascii="Times New Roman" w:eastAsia="Calibri" w:hAnsi="Times New Roman"/>
          <w:color w:val="000000"/>
          <w:szCs w:val="24"/>
          <w:lang w:eastAsia="en-US"/>
        </w:rPr>
        <w:t xml:space="preserve">sobre a taxa de desconto utilizada </w:t>
      </w:r>
      <w:r w:rsidR="00344F61" w:rsidRPr="000E5487">
        <w:rPr>
          <w:rFonts w:ascii="Times New Roman" w:eastAsia="Calibri" w:hAnsi="Times New Roman"/>
          <w:color w:val="000000"/>
          <w:szCs w:val="24"/>
          <w:lang w:eastAsia="en-US"/>
        </w:rPr>
        <w:t>na avaliação</w:t>
      </w:r>
      <w:r w:rsidR="00E31B61" w:rsidRPr="000E5487">
        <w:rPr>
          <w:rFonts w:ascii="Times New Roman" w:eastAsia="Calibri" w:hAnsi="Times New Roman"/>
          <w:color w:val="000000"/>
          <w:szCs w:val="24"/>
          <w:lang w:eastAsia="en-US"/>
        </w:rPr>
        <w:t xml:space="preserve">, </w:t>
      </w:r>
      <w:r w:rsidR="00FD5D4B">
        <w:rPr>
          <w:rFonts w:ascii="Times New Roman" w:eastAsia="Calibri" w:hAnsi="Times New Roman"/>
          <w:color w:val="000000"/>
          <w:szCs w:val="24"/>
          <w:lang w:eastAsia="en-US"/>
        </w:rPr>
        <w:t>quatro</w:t>
      </w:r>
      <w:r w:rsidR="00E31B61" w:rsidRPr="000E5487">
        <w:rPr>
          <w:rFonts w:ascii="Times New Roman" w:eastAsia="Calibri" w:hAnsi="Times New Roman"/>
          <w:color w:val="000000"/>
          <w:szCs w:val="24"/>
          <w:lang w:eastAsia="en-US"/>
        </w:rPr>
        <w:t xml:space="preserve"> questões relativas a </w:t>
      </w:r>
      <w:r w:rsidR="00FD5D4B">
        <w:rPr>
          <w:rFonts w:ascii="Times New Roman" w:hAnsi="Times New Roman"/>
          <w:szCs w:val="24"/>
        </w:rPr>
        <w:t>quantidade, preço</w:t>
      </w:r>
      <w:r w:rsidR="00FD5D4B" w:rsidRPr="00FD5D4B">
        <w:rPr>
          <w:rFonts w:ascii="Times New Roman" w:hAnsi="Times New Roman"/>
          <w:szCs w:val="24"/>
        </w:rPr>
        <w:t xml:space="preserve"> </w:t>
      </w:r>
      <w:r w:rsidR="00FD5D4B">
        <w:rPr>
          <w:rFonts w:ascii="Times New Roman" w:hAnsi="Times New Roman"/>
          <w:szCs w:val="24"/>
        </w:rPr>
        <w:t>e</w:t>
      </w:r>
      <w:r w:rsidR="00E31B61" w:rsidRPr="000E5487">
        <w:rPr>
          <w:rFonts w:ascii="Times New Roman" w:hAnsi="Times New Roman"/>
          <w:szCs w:val="24"/>
        </w:rPr>
        <w:t xml:space="preserve"> horizonte de tempo</w:t>
      </w:r>
      <w:r w:rsidR="00030CD3" w:rsidRPr="00030CD3">
        <w:rPr>
          <w:rFonts w:ascii="Times New Roman" w:hAnsi="Times New Roman"/>
          <w:szCs w:val="24"/>
        </w:rPr>
        <w:t xml:space="preserve"> </w:t>
      </w:r>
      <w:r w:rsidR="00030CD3">
        <w:rPr>
          <w:rFonts w:ascii="Times New Roman" w:hAnsi="Times New Roman"/>
          <w:szCs w:val="24"/>
        </w:rPr>
        <w:t>e</w:t>
      </w:r>
      <w:r w:rsidR="00030CD3" w:rsidRPr="00030CD3">
        <w:rPr>
          <w:rFonts w:ascii="Times New Roman" w:hAnsi="Times New Roman"/>
          <w:szCs w:val="24"/>
        </w:rPr>
        <w:t xml:space="preserve"> </w:t>
      </w:r>
      <w:r w:rsidR="006C54C9" w:rsidRPr="000E5487">
        <w:rPr>
          <w:rFonts w:ascii="Times New Roman" w:eastAsia="Calibri" w:hAnsi="Times New Roman"/>
          <w:color w:val="000000"/>
          <w:szCs w:val="24"/>
          <w:lang w:eastAsia="en-US"/>
        </w:rPr>
        <w:t>quatro questões sobre os custos de produç</w:t>
      </w:r>
      <w:r w:rsidR="00B216F1" w:rsidRPr="000E5487">
        <w:rPr>
          <w:rFonts w:ascii="Times New Roman" w:eastAsia="Calibri" w:hAnsi="Times New Roman"/>
          <w:color w:val="000000"/>
          <w:szCs w:val="24"/>
          <w:lang w:eastAsia="en-US"/>
        </w:rPr>
        <w:t>ão</w:t>
      </w:r>
      <w:r w:rsidR="00344F61" w:rsidRPr="000E5487">
        <w:rPr>
          <w:rFonts w:ascii="Times New Roman" w:eastAsia="Calibri" w:hAnsi="Times New Roman"/>
          <w:color w:val="000000"/>
          <w:szCs w:val="24"/>
          <w:lang w:eastAsia="en-US"/>
        </w:rPr>
        <w:t xml:space="preserve"> e</w:t>
      </w:r>
      <w:r w:rsidR="00B216F1" w:rsidRPr="000E5487">
        <w:rPr>
          <w:rFonts w:ascii="Times New Roman" w:eastAsia="Calibri" w:hAnsi="Times New Roman"/>
          <w:color w:val="000000"/>
          <w:szCs w:val="24"/>
          <w:lang w:eastAsia="en-US"/>
        </w:rPr>
        <w:t xml:space="preserve"> depreciação de</w:t>
      </w:r>
      <w:r w:rsidR="006C54C9" w:rsidRPr="000E5487">
        <w:rPr>
          <w:rFonts w:ascii="Times New Roman" w:eastAsia="Calibri" w:hAnsi="Times New Roman"/>
          <w:color w:val="000000"/>
          <w:szCs w:val="24"/>
          <w:lang w:eastAsia="en-US"/>
        </w:rPr>
        <w:t xml:space="preserve"> ativos biológicos. </w:t>
      </w:r>
      <w:r w:rsidR="00B809FB" w:rsidRPr="000E5487">
        <w:rPr>
          <w:rFonts w:ascii="Times New Roman" w:eastAsia="Calibri" w:hAnsi="Times New Roman"/>
          <w:color w:val="000000"/>
          <w:szCs w:val="24"/>
          <w:lang w:eastAsia="en-US"/>
        </w:rPr>
        <w:t xml:space="preserve">As alternativas de resposta foram organizadas </w:t>
      </w:r>
      <w:r w:rsidR="0032112C" w:rsidRPr="000E5487">
        <w:rPr>
          <w:rFonts w:ascii="Times New Roman" w:eastAsia="Calibri" w:hAnsi="Times New Roman"/>
          <w:color w:val="000000"/>
          <w:szCs w:val="24"/>
          <w:lang w:eastAsia="en-US"/>
        </w:rPr>
        <w:t xml:space="preserve">em </w:t>
      </w:r>
      <w:r w:rsidR="00B809FB" w:rsidRPr="000E5487">
        <w:rPr>
          <w:rFonts w:ascii="Times New Roman" w:eastAsia="Calibri" w:hAnsi="Times New Roman"/>
          <w:color w:val="000000"/>
          <w:szCs w:val="24"/>
          <w:lang w:eastAsia="en-US"/>
        </w:rPr>
        <w:t>escala</w:t>
      </w:r>
      <w:r w:rsidR="006C54C9" w:rsidRPr="000E5487">
        <w:rPr>
          <w:rFonts w:ascii="Times New Roman" w:eastAsia="Calibri" w:hAnsi="Times New Roman"/>
          <w:color w:val="000000"/>
          <w:szCs w:val="24"/>
          <w:lang w:eastAsia="en-US"/>
        </w:rPr>
        <w:t>s</w:t>
      </w:r>
      <w:r w:rsidR="00B809FB" w:rsidRPr="000E5487">
        <w:rPr>
          <w:rFonts w:ascii="Times New Roman" w:eastAsia="Calibri" w:hAnsi="Times New Roman"/>
          <w:color w:val="000000"/>
          <w:szCs w:val="24"/>
          <w:lang w:eastAsia="en-US"/>
        </w:rPr>
        <w:t xml:space="preserve"> nomina</w:t>
      </w:r>
      <w:r w:rsidR="006C54C9" w:rsidRPr="000E5487">
        <w:rPr>
          <w:rFonts w:ascii="Times New Roman" w:eastAsia="Calibri" w:hAnsi="Times New Roman"/>
          <w:color w:val="000000"/>
          <w:szCs w:val="24"/>
          <w:lang w:eastAsia="en-US"/>
        </w:rPr>
        <w:t>is e ordinais</w:t>
      </w:r>
      <w:r w:rsidR="00B809FB" w:rsidRPr="000E5487">
        <w:rPr>
          <w:rFonts w:ascii="Times New Roman" w:eastAsia="Calibri" w:hAnsi="Times New Roman"/>
          <w:color w:val="000000"/>
          <w:szCs w:val="24"/>
          <w:lang w:eastAsia="en-US"/>
        </w:rPr>
        <w:t>.</w:t>
      </w:r>
      <w:r w:rsidR="00C16EEA" w:rsidRPr="000E5487">
        <w:rPr>
          <w:rFonts w:ascii="Times New Roman" w:eastAsia="Calibri" w:hAnsi="Times New Roman"/>
          <w:color w:val="000000"/>
          <w:szCs w:val="24"/>
          <w:lang w:eastAsia="en-US"/>
        </w:rPr>
        <w:t xml:space="preserve"> Esse instrumento foi submetido a um pré-teste com três profissionais sêniores atuantes no setor sucroenergético, que recomendaram a readequação do texto de algumas questões e </w:t>
      </w:r>
      <w:r w:rsidR="007725FE">
        <w:rPr>
          <w:rFonts w:ascii="Times New Roman" w:eastAsia="Calibri" w:hAnsi="Times New Roman"/>
          <w:color w:val="000000"/>
          <w:szCs w:val="24"/>
          <w:lang w:eastAsia="en-US"/>
        </w:rPr>
        <w:t>inserção de alternativas de resposta</w:t>
      </w:r>
      <w:r w:rsidR="00C16EEA" w:rsidRPr="000E5487">
        <w:rPr>
          <w:rFonts w:ascii="Times New Roman" w:eastAsia="Calibri" w:hAnsi="Times New Roman"/>
          <w:color w:val="000000"/>
          <w:szCs w:val="24"/>
          <w:lang w:eastAsia="en-US"/>
        </w:rPr>
        <w:t>.</w:t>
      </w:r>
      <w:r w:rsidR="00371808" w:rsidRPr="00371808">
        <w:rPr>
          <w:rFonts w:ascii="Times New Roman" w:hAnsi="Times New Roman"/>
        </w:rPr>
        <w:t xml:space="preserve"> Apesar </w:t>
      </w:r>
      <w:r w:rsidR="00371808">
        <w:rPr>
          <w:rFonts w:ascii="Times New Roman" w:hAnsi="Times New Roman"/>
        </w:rPr>
        <w:t>do</w:t>
      </w:r>
      <w:r w:rsidR="00371808" w:rsidRPr="00371808">
        <w:rPr>
          <w:rFonts w:ascii="Times New Roman" w:hAnsi="Times New Roman"/>
        </w:rPr>
        <w:t xml:space="preserve"> </w:t>
      </w:r>
      <w:r w:rsidR="00371808">
        <w:rPr>
          <w:rFonts w:ascii="Times New Roman" w:hAnsi="Times New Roman"/>
        </w:rPr>
        <w:t>pré-teste</w:t>
      </w:r>
      <w:r w:rsidR="00371808" w:rsidRPr="00371808">
        <w:rPr>
          <w:rFonts w:ascii="Times New Roman" w:hAnsi="Times New Roman"/>
        </w:rPr>
        <w:t xml:space="preserve"> </w:t>
      </w:r>
      <w:r w:rsidR="00371808">
        <w:rPr>
          <w:rFonts w:ascii="Times New Roman" w:hAnsi="Times New Roman"/>
        </w:rPr>
        <w:t>realizado,</w:t>
      </w:r>
      <w:r w:rsidR="00371808" w:rsidRPr="00371808">
        <w:rPr>
          <w:rFonts w:ascii="Times New Roman" w:hAnsi="Times New Roman"/>
        </w:rPr>
        <w:t xml:space="preserve"> </w:t>
      </w:r>
      <w:r w:rsidR="00371808">
        <w:rPr>
          <w:rFonts w:ascii="Times New Roman" w:hAnsi="Times New Roman"/>
        </w:rPr>
        <w:t>r</w:t>
      </w:r>
      <w:r w:rsidR="004D5536">
        <w:rPr>
          <w:rFonts w:ascii="Times New Roman" w:eastAsia="Calibri" w:hAnsi="Times New Roman"/>
          <w:color w:val="000000"/>
          <w:szCs w:val="24"/>
          <w:lang w:eastAsia="en-US"/>
        </w:rPr>
        <w:t>econhece-se que</w:t>
      </w:r>
      <w:r w:rsidR="007725FE">
        <w:rPr>
          <w:rFonts w:ascii="Times New Roman" w:eastAsia="Calibri" w:hAnsi="Times New Roman"/>
          <w:color w:val="000000"/>
          <w:szCs w:val="24"/>
          <w:lang w:eastAsia="en-US"/>
        </w:rPr>
        <w:t>,</w:t>
      </w:r>
      <w:r w:rsidR="00371808" w:rsidRPr="00371808">
        <w:rPr>
          <w:rFonts w:ascii="Times New Roman" w:eastAsia="Calibri" w:hAnsi="Times New Roman"/>
          <w:color w:val="000000"/>
          <w:szCs w:val="24"/>
          <w:lang w:eastAsia="en-US"/>
        </w:rPr>
        <w:t xml:space="preserve"> podem não ter sido revelados </w:t>
      </w:r>
      <w:r w:rsidR="004D5536">
        <w:rPr>
          <w:rFonts w:ascii="Times New Roman" w:eastAsia="Calibri" w:hAnsi="Times New Roman"/>
          <w:color w:val="000000"/>
          <w:szCs w:val="24"/>
          <w:lang w:eastAsia="en-US"/>
        </w:rPr>
        <w:t>alguns</w:t>
      </w:r>
      <w:r w:rsidR="004D5536" w:rsidRPr="004D5536">
        <w:rPr>
          <w:rFonts w:ascii="Times New Roman" w:eastAsia="Calibri" w:hAnsi="Times New Roman"/>
          <w:color w:val="000000"/>
          <w:szCs w:val="24"/>
          <w:lang w:eastAsia="en-US"/>
        </w:rPr>
        <w:t xml:space="preserve"> </w:t>
      </w:r>
      <w:r w:rsidR="00371808" w:rsidRPr="00371808">
        <w:rPr>
          <w:rFonts w:ascii="Times New Roman" w:eastAsia="Calibri" w:hAnsi="Times New Roman"/>
          <w:color w:val="000000"/>
          <w:szCs w:val="24"/>
          <w:lang w:eastAsia="en-US"/>
        </w:rPr>
        <w:t xml:space="preserve">detalhes e características das </w:t>
      </w:r>
      <w:r w:rsidR="00371808">
        <w:rPr>
          <w:rFonts w:ascii="Times New Roman" w:eastAsia="Calibri" w:hAnsi="Times New Roman"/>
          <w:color w:val="000000"/>
          <w:szCs w:val="24"/>
          <w:lang w:eastAsia="en-US"/>
        </w:rPr>
        <w:t>escolhas</w:t>
      </w:r>
      <w:r w:rsidR="00371808" w:rsidRPr="00371808">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contábeis</w:t>
      </w:r>
      <w:r w:rsidR="00371808" w:rsidRPr="00371808">
        <w:rPr>
          <w:rFonts w:ascii="Times New Roman" w:eastAsia="Calibri" w:hAnsi="Times New Roman"/>
          <w:color w:val="000000"/>
          <w:szCs w:val="24"/>
          <w:lang w:eastAsia="en-US"/>
        </w:rPr>
        <w:t xml:space="preserve"> </w:t>
      </w:r>
      <w:r w:rsidR="004D5536">
        <w:rPr>
          <w:rFonts w:ascii="Times New Roman" w:eastAsia="Calibri" w:hAnsi="Times New Roman"/>
          <w:color w:val="000000"/>
          <w:szCs w:val="24"/>
          <w:lang w:eastAsia="en-US"/>
        </w:rPr>
        <w:t>relativas</w:t>
      </w:r>
      <w:r w:rsidR="004D5536" w:rsidRPr="004D5536">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a</w:t>
      </w:r>
      <w:r w:rsidR="00371808" w:rsidRPr="00371808">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mensuração</w:t>
      </w:r>
      <w:r w:rsidR="00371808" w:rsidRPr="00371808">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de</w:t>
      </w:r>
      <w:r w:rsidR="00371808" w:rsidRPr="00371808">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ativos</w:t>
      </w:r>
      <w:r w:rsidR="00371808" w:rsidRPr="00371808">
        <w:rPr>
          <w:rFonts w:ascii="Times New Roman" w:eastAsia="Calibri" w:hAnsi="Times New Roman"/>
          <w:color w:val="000000"/>
          <w:szCs w:val="24"/>
          <w:lang w:eastAsia="en-US"/>
        </w:rPr>
        <w:t xml:space="preserve"> </w:t>
      </w:r>
      <w:r w:rsidR="00371808">
        <w:rPr>
          <w:rFonts w:ascii="Times New Roman" w:eastAsia="Calibri" w:hAnsi="Times New Roman"/>
          <w:color w:val="000000"/>
          <w:szCs w:val="24"/>
          <w:lang w:eastAsia="en-US"/>
        </w:rPr>
        <w:t>biológicos</w:t>
      </w:r>
      <w:r w:rsidR="00371808" w:rsidRPr="00371808">
        <w:rPr>
          <w:rFonts w:ascii="Times New Roman" w:eastAsia="Calibri" w:hAnsi="Times New Roman"/>
          <w:color w:val="000000"/>
          <w:szCs w:val="24"/>
          <w:lang w:eastAsia="en-US"/>
        </w:rPr>
        <w:t>, sendo essa uma limitação do estudo.</w:t>
      </w:r>
    </w:p>
    <w:p w:rsidR="00F94D4E" w:rsidRPr="000E5487" w:rsidRDefault="00B809FB"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As variáveis de análise</w:t>
      </w:r>
      <w:r w:rsidR="00F94D4E" w:rsidRPr="000E5487">
        <w:rPr>
          <w:rFonts w:ascii="Times New Roman" w:eastAsia="Calibri" w:hAnsi="Times New Roman"/>
          <w:color w:val="000000"/>
          <w:szCs w:val="24"/>
          <w:lang w:eastAsia="en-US"/>
        </w:rPr>
        <w:t xml:space="preserve"> de perfil</w:t>
      </w:r>
      <w:r w:rsidRPr="000E5487">
        <w:rPr>
          <w:rFonts w:ascii="Times New Roman" w:eastAsia="Calibri" w:hAnsi="Times New Roman"/>
          <w:color w:val="000000"/>
          <w:szCs w:val="24"/>
          <w:lang w:eastAsia="en-US"/>
        </w:rPr>
        <w:t xml:space="preserve"> envolveram</w:t>
      </w:r>
      <w:r w:rsidR="006C54C9" w:rsidRPr="000E5487">
        <w:rPr>
          <w:rFonts w:ascii="Times New Roman" w:eastAsia="Calibri" w:hAnsi="Times New Roman"/>
          <w:color w:val="000000"/>
          <w:szCs w:val="24"/>
          <w:lang w:eastAsia="en-US"/>
        </w:rPr>
        <w:t xml:space="preserve"> </w:t>
      </w:r>
      <w:r w:rsidR="00F94D4E" w:rsidRPr="000E5487">
        <w:rPr>
          <w:rFonts w:ascii="Times New Roman" w:eastAsia="Calibri" w:hAnsi="Times New Roman"/>
          <w:color w:val="000000"/>
          <w:szCs w:val="24"/>
          <w:lang w:eastAsia="en-US"/>
        </w:rPr>
        <w:t>o nível de e</w:t>
      </w:r>
      <w:r w:rsidR="006C54C9" w:rsidRPr="000E5487">
        <w:rPr>
          <w:rFonts w:ascii="Times New Roman" w:eastAsia="Calibri" w:hAnsi="Times New Roman"/>
          <w:color w:val="000000"/>
          <w:szCs w:val="24"/>
          <w:lang w:eastAsia="en-US"/>
        </w:rPr>
        <w:t>scolaridade</w:t>
      </w:r>
      <w:r w:rsidR="00F94D4E" w:rsidRPr="000E5487">
        <w:rPr>
          <w:rFonts w:ascii="Times New Roman" w:eastAsia="Calibri" w:hAnsi="Times New Roman"/>
          <w:color w:val="000000"/>
          <w:szCs w:val="24"/>
          <w:lang w:eastAsia="en-US"/>
        </w:rPr>
        <w:t>, o t</w:t>
      </w:r>
      <w:r w:rsidR="006C54C9" w:rsidRPr="000E5487">
        <w:rPr>
          <w:rFonts w:ascii="Times New Roman" w:eastAsia="Calibri" w:hAnsi="Times New Roman"/>
          <w:color w:val="000000"/>
          <w:szCs w:val="24"/>
          <w:lang w:eastAsia="en-US"/>
        </w:rPr>
        <w:t xml:space="preserve">empo de </w:t>
      </w:r>
      <w:r w:rsidR="00F94D4E" w:rsidRPr="000E5487">
        <w:rPr>
          <w:rFonts w:ascii="Times New Roman" w:eastAsia="Calibri" w:hAnsi="Times New Roman"/>
          <w:color w:val="000000"/>
          <w:szCs w:val="24"/>
          <w:lang w:eastAsia="en-US"/>
        </w:rPr>
        <w:t>experiência</w:t>
      </w:r>
      <w:r w:rsidR="006C54C9" w:rsidRPr="000E5487">
        <w:rPr>
          <w:rFonts w:ascii="Times New Roman" w:eastAsia="Calibri" w:hAnsi="Times New Roman"/>
          <w:color w:val="000000"/>
          <w:szCs w:val="24"/>
          <w:lang w:eastAsia="en-US"/>
        </w:rPr>
        <w:t xml:space="preserve"> </w:t>
      </w:r>
      <w:r w:rsidR="00F94D4E" w:rsidRPr="000E5487">
        <w:rPr>
          <w:rFonts w:ascii="Times New Roman" w:eastAsia="Calibri" w:hAnsi="Times New Roman"/>
          <w:color w:val="000000"/>
          <w:szCs w:val="24"/>
          <w:lang w:eastAsia="en-US"/>
        </w:rPr>
        <w:t>p</w:t>
      </w:r>
      <w:r w:rsidR="006C54C9" w:rsidRPr="000E5487">
        <w:rPr>
          <w:rFonts w:ascii="Times New Roman" w:eastAsia="Calibri" w:hAnsi="Times New Roman"/>
          <w:color w:val="000000"/>
          <w:szCs w:val="24"/>
          <w:lang w:eastAsia="en-US"/>
        </w:rPr>
        <w:t>rofissional</w:t>
      </w:r>
      <w:r w:rsidR="00F94D4E" w:rsidRPr="000E5487">
        <w:rPr>
          <w:rFonts w:ascii="Times New Roman" w:eastAsia="Calibri" w:hAnsi="Times New Roman"/>
          <w:color w:val="000000"/>
          <w:szCs w:val="24"/>
          <w:lang w:eastAsia="en-US"/>
        </w:rPr>
        <w:t xml:space="preserve"> na área contábil</w:t>
      </w:r>
      <w:r w:rsidR="002F1601" w:rsidRPr="000E5487">
        <w:rPr>
          <w:rFonts w:ascii="Times New Roman" w:eastAsia="Calibri" w:hAnsi="Times New Roman"/>
          <w:color w:val="000000"/>
          <w:szCs w:val="24"/>
          <w:lang w:eastAsia="en-US"/>
        </w:rPr>
        <w:t xml:space="preserve"> e</w:t>
      </w:r>
      <w:r w:rsidR="00030CD3" w:rsidRPr="00030CD3">
        <w:t xml:space="preserve"> </w:t>
      </w:r>
      <w:r w:rsidR="00030CD3" w:rsidRPr="00030CD3">
        <w:rPr>
          <w:rFonts w:ascii="Times New Roman" w:eastAsia="Calibri" w:hAnsi="Times New Roman"/>
          <w:color w:val="000000"/>
          <w:szCs w:val="24"/>
          <w:lang w:eastAsia="en-US"/>
        </w:rPr>
        <w:t>o tempo de experiência profissional</w:t>
      </w:r>
      <w:r w:rsidR="006C54C9" w:rsidRPr="000E5487">
        <w:rPr>
          <w:rFonts w:ascii="Times New Roman" w:eastAsia="Calibri" w:hAnsi="Times New Roman"/>
          <w:color w:val="000000"/>
          <w:szCs w:val="24"/>
          <w:lang w:eastAsia="en-US"/>
        </w:rPr>
        <w:t xml:space="preserve"> na </w:t>
      </w:r>
      <w:r w:rsidR="00F94D4E" w:rsidRPr="000E5487">
        <w:rPr>
          <w:rFonts w:ascii="Times New Roman" w:eastAsia="Calibri" w:hAnsi="Times New Roman"/>
          <w:color w:val="000000"/>
          <w:szCs w:val="24"/>
          <w:lang w:eastAsia="en-US"/>
        </w:rPr>
        <w:t>m</w:t>
      </w:r>
      <w:r w:rsidR="006C54C9" w:rsidRPr="000E5487">
        <w:rPr>
          <w:rFonts w:ascii="Times New Roman" w:eastAsia="Calibri" w:hAnsi="Times New Roman"/>
          <w:color w:val="000000"/>
          <w:szCs w:val="24"/>
          <w:lang w:eastAsia="en-US"/>
        </w:rPr>
        <w:t>ensuração</w:t>
      </w:r>
      <w:r w:rsidR="00391CB2" w:rsidRPr="000E5487">
        <w:rPr>
          <w:rFonts w:ascii="Times New Roman" w:eastAsia="Calibri" w:hAnsi="Times New Roman"/>
          <w:color w:val="000000"/>
          <w:szCs w:val="24"/>
          <w:lang w:eastAsia="en-US"/>
        </w:rPr>
        <w:t xml:space="preserve"> de ativos biológicos</w:t>
      </w:r>
      <w:r w:rsidR="002F1601" w:rsidRPr="000E5487">
        <w:rPr>
          <w:rFonts w:ascii="Times New Roman" w:eastAsia="Calibri" w:hAnsi="Times New Roman"/>
          <w:color w:val="000000"/>
          <w:szCs w:val="24"/>
          <w:lang w:eastAsia="en-US"/>
        </w:rPr>
        <w:t xml:space="preserve"> </w:t>
      </w:r>
      <w:r w:rsidR="00030CD3">
        <w:rPr>
          <w:rFonts w:ascii="Times New Roman" w:eastAsia="Calibri" w:hAnsi="Times New Roman"/>
          <w:color w:val="000000"/>
          <w:szCs w:val="24"/>
          <w:lang w:eastAsia="en-US"/>
        </w:rPr>
        <w:t xml:space="preserve">no </w:t>
      </w:r>
      <w:r w:rsidRPr="000E5487">
        <w:rPr>
          <w:rFonts w:ascii="Times New Roman" w:eastAsia="Calibri" w:hAnsi="Times New Roman"/>
          <w:color w:val="000000"/>
          <w:szCs w:val="24"/>
          <w:lang w:eastAsia="en-US"/>
        </w:rPr>
        <w:t>setor sucro</w:t>
      </w:r>
      <w:r w:rsidR="00416F6B" w:rsidRPr="000E5487">
        <w:rPr>
          <w:rFonts w:ascii="Times New Roman" w:eastAsia="Calibri" w:hAnsi="Times New Roman"/>
          <w:color w:val="000000"/>
          <w:szCs w:val="24"/>
          <w:lang w:eastAsia="en-US"/>
        </w:rPr>
        <w:t>energético</w:t>
      </w:r>
      <w:r w:rsidR="009C709D" w:rsidRPr="000E5487">
        <w:rPr>
          <w:rFonts w:ascii="Times New Roman" w:eastAsia="Calibri" w:hAnsi="Times New Roman"/>
          <w:color w:val="000000"/>
          <w:szCs w:val="24"/>
          <w:lang w:eastAsia="en-US"/>
        </w:rPr>
        <w:t>,</w:t>
      </w:r>
      <w:r w:rsidR="00C16EEA" w:rsidRPr="000E5487">
        <w:rPr>
          <w:rFonts w:ascii="Times New Roman" w:eastAsia="Calibri" w:hAnsi="Times New Roman"/>
          <w:color w:val="000000"/>
          <w:szCs w:val="24"/>
          <w:lang w:eastAsia="en-US"/>
        </w:rPr>
        <w:t xml:space="preserve"> </w:t>
      </w:r>
      <w:r w:rsidR="00416F6B" w:rsidRPr="000E5487">
        <w:rPr>
          <w:rFonts w:ascii="Times New Roman" w:eastAsia="Calibri" w:hAnsi="Times New Roman"/>
          <w:color w:val="000000"/>
          <w:szCs w:val="24"/>
          <w:lang w:eastAsia="en-US"/>
        </w:rPr>
        <w:t xml:space="preserve">sendo </w:t>
      </w:r>
      <w:r w:rsidR="00C16EEA" w:rsidRPr="000E5487">
        <w:rPr>
          <w:rFonts w:ascii="Times New Roman" w:eastAsia="Calibri" w:hAnsi="Times New Roman"/>
          <w:color w:val="000000"/>
          <w:szCs w:val="24"/>
          <w:lang w:eastAsia="en-US"/>
        </w:rPr>
        <w:t xml:space="preserve">testadas </w:t>
      </w:r>
      <w:r w:rsidR="00136AD0" w:rsidRPr="000E5487">
        <w:rPr>
          <w:rFonts w:ascii="Times New Roman" w:eastAsia="Calibri" w:hAnsi="Times New Roman"/>
          <w:color w:val="000000"/>
          <w:szCs w:val="24"/>
          <w:lang w:eastAsia="en-US"/>
        </w:rPr>
        <w:t>diante d</w:t>
      </w:r>
      <w:r w:rsidR="00C16EEA" w:rsidRPr="000E5487">
        <w:rPr>
          <w:rFonts w:ascii="Times New Roman" w:eastAsia="Calibri" w:hAnsi="Times New Roman"/>
          <w:color w:val="000000"/>
          <w:szCs w:val="24"/>
          <w:lang w:eastAsia="en-US"/>
        </w:rPr>
        <w:t>as escolhas contábeis na mensuração de ativos biológicos</w:t>
      </w:r>
      <w:r w:rsidRPr="000E5487">
        <w:rPr>
          <w:rFonts w:ascii="Times New Roman" w:eastAsia="Calibri" w:hAnsi="Times New Roman"/>
          <w:color w:val="000000"/>
          <w:szCs w:val="24"/>
          <w:lang w:eastAsia="en-US"/>
        </w:rPr>
        <w:t>.</w:t>
      </w:r>
    </w:p>
    <w:p w:rsidR="00C16EEA" w:rsidRPr="000E5487" w:rsidRDefault="00C16EEA"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C</w:t>
      </w:r>
      <w:r w:rsidR="00F94D4E" w:rsidRPr="000E5487">
        <w:rPr>
          <w:rFonts w:ascii="Times New Roman" w:eastAsia="Calibri" w:hAnsi="Times New Roman"/>
          <w:color w:val="000000"/>
          <w:szCs w:val="24"/>
          <w:lang w:eastAsia="en-US"/>
        </w:rPr>
        <w:t xml:space="preserve">omo população do estudo </w:t>
      </w:r>
      <w:r w:rsidRPr="000E5487">
        <w:rPr>
          <w:rFonts w:ascii="Times New Roman" w:eastAsia="Calibri" w:hAnsi="Times New Roman"/>
          <w:color w:val="000000"/>
          <w:szCs w:val="24"/>
          <w:lang w:eastAsia="en-US"/>
        </w:rPr>
        <w:t xml:space="preserve">foram considerados </w:t>
      </w:r>
      <w:r w:rsidR="00F94D4E" w:rsidRPr="000E5487">
        <w:rPr>
          <w:rFonts w:ascii="Times New Roman" w:eastAsia="Calibri" w:hAnsi="Times New Roman"/>
          <w:color w:val="000000"/>
          <w:szCs w:val="24"/>
          <w:lang w:eastAsia="en-US"/>
        </w:rPr>
        <w:t>os 215 grupos de usinas sucroenergéticas brasileiras</w:t>
      </w:r>
      <w:r w:rsidR="009C709D"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conforme divulgado pela </w:t>
      </w:r>
      <w:r w:rsidRPr="000E5487">
        <w:rPr>
          <w:rFonts w:ascii="Times New Roman" w:eastAsia="Calibri" w:hAnsi="Times New Roman"/>
          <w:color w:val="000000"/>
          <w:szCs w:val="24"/>
          <w:lang w:eastAsia="en-US"/>
        </w:rPr>
        <w:fldChar w:fldCharType="begin" w:fldLock="1"/>
      </w:r>
      <w:r w:rsidR="00DE4E1B">
        <w:rPr>
          <w:rFonts w:ascii="Times New Roman" w:eastAsia="Calibri" w:hAnsi="Times New Roman"/>
          <w:color w:val="000000"/>
          <w:szCs w:val="24"/>
          <w:lang w:eastAsia="en-US"/>
        </w:rPr>
        <w:instrText>ADDIN CSL_CITATION {"citationItems":[{"id":"ITEM-1","itemData":{"URL":"https://www.novacana.com/usinas-brasil/","accessed":{"date-parts":[["2017","1","17"]]},"author":[{"dropping-particle":"","family":"Novacana","given":"","non-dropping-particle":"","parse-names":false,"suffix":""}],"id":"ITEM-1","issued":{"date-parts":[["2017"]]},"title":"Usinas do Brasil","type":"webpage"},"uris":["http://www.mendeley.com/documents/?uuid=8e1bc88d-a3e6-4649-9dae-dfba1aa801b1"]}],"mendeley":{"formattedCitation":"(NOVACANA, 2017)","manualFormatting":"Novacana (2017)","plainTextFormattedCitation":"(NOVACANA, 2017)","previouslyFormattedCitation":"(NOVACANA, 2017)"},"properties":{"noteIndex":0},"schema":"https://github.com/citation-style-language/schema/raw/master/csl-citation.json"}</w:instrText>
      </w:r>
      <w:r w:rsidRPr="000E5487">
        <w:rPr>
          <w:rFonts w:ascii="Times New Roman" w:eastAsia="Calibri" w:hAnsi="Times New Roman"/>
          <w:color w:val="000000"/>
          <w:szCs w:val="24"/>
          <w:lang w:eastAsia="en-US"/>
        </w:rPr>
        <w:fldChar w:fldCharType="separate"/>
      </w:r>
      <w:r w:rsidRPr="000E5487">
        <w:rPr>
          <w:rFonts w:ascii="Times New Roman" w:eastAsia="Calibri" w:hAnsi="Times New Roman"/>
          <w:noProof/>
          <w:color w:val="000000"/>
          <w:szCs w:val="24"/>
          <w:lang w:eastAsia="en-US"/>
        </w:rPr>
        <w:t>Novacana (2017)</w:t>
      </w:r>
      <w:r w:rsidRPr="000E5487">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w:t>
      </w:r>
      <w:r w:rsidR="00F94D4E"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F</w:t>
      </w:r>
      <w:r w:rsidR="00F94D4E" w:rsidRPr="000E5487">
        <w:rPr>
          <w:rFonts w:ascii="Times New Roman" w:eastAsia="Calibri" w:hAnsi="Times New Roman"/>
          <w:color w:val="000000"/>
          <w:szCs w:val="24"/>
          <w:lang w:eastAsia="en-US"/>
        </w:rPr>
        <w:t>o</w:t>
      </w:r>
      <w:r w:rsidRPr="000E5487">
        <w:rPr>
          <w:rFonts w:ascii="Times New Roman" w:eastAsia="Calibri" w:hAnsi="Times New Roman"/>
          <w:color w:val="000000"/>
          <w:szCs w:val="24"/>
          <w:lang w:eastAsia="en-US"/>
        </w:rPr>
        <w:t>i</w:t>
      </w:r>
      <w:r w:rsidR="00F94D4E" w:rsidRPr="000E5487">
        <w:rPr>
          <w:rFonts w:ascii="Times New Roman" w:eastAsia="Calibri" w:hAnsi="Times New Roman"/>
          <w:color w:val="000000"/>
          <w:szCs w:val="24"/>
          <w:lang w:eastAsia="en-US"/>
        </w:rPr>
        <w:t xml:space="preserve"> realizada a</w:t>
      </w:r>
      <w:r w:rsidR="00B809FB" w:rsidRPr="000E5487">
        <w:rPr>
          <w:rFonts w:ascii="Times New Roman" w:eastAsia="Calibri" w:hAnsi="Times New Roman"/>
          <w:color w:val="000000"/>
          <w:szCs w:val="24"/>
          <w:lang w:eastAsia="en-US"/>
        </w:rPr>
        <w:t xml:space="preserve"> seleção da amostra </w:t>
      </w:r>
      <w:r w:rsidR="00F94D4E" w:rsidRPr="000E5487">
        <w:rPr>
          <w:rFonts w:ascii="Times New Roman" w:eastAsia="Calibri" w:hAnsi="Times New Roman"/>
          <w:color w:val="000000"/>
          <w:szCs w:val="24"/>
          <w:lang w:eastAsia="en-US"/>
        </w:rPr>
        <w:t xml:space="preserve">de forma </w:t>
      </w:r>
      <w:r w:rsidR="00B809FB" w:rsidRPr="000E5487">
        <w:rPr>
          <w:rFonts w:ascii="Times New Roman" w:eastAsia="Calibri" w:hAnsi="Times New Roman"/>
          <w:color w:val="000000"/>
          <w:szCs w:val="24"/>
          <w:lang w:eastAsia="en-US"/>
        </w:rPr>
        <w:t>aleatória</w:t>
      </w:r>
      <w:r w:rsidRPr="000E5487">
        <w:rPr>
          <w:rFonts w:ascii="Times New Roman" w:eastAsia="Calibri" w:hAnsi="Times New Roman"/>
          <w:color w:val="000000"/>
          <w:szCs w:val="24"/>
          <w:lang w:eastAsia="en-US"/>
        </w:rPr>
        <w:t>,</w:t>
      </w:r>
      <w:r w:rsidR="00F94D4E" w:rsidRPr="000E5487">
        <w:rPr>
          <w:rFonts w:ascii="Times New Roman" w:eastAsia="Calibri" w:hAnsi="Times New Roman"/>
          <w:color w:val="000000"/>
          <w:szCs w:val="24"/>
          <w:lang w:eastAsia="en-US"/>
        </w:rPr>
        <w:t xml:space="preserve"> através do</w:t>
      </w:r>
      <w:r w:rsidR="00B809FB" w:rsidRPr="000E5487">
        <w:rPr>
          <w:rFonts w:ascii="Times New Roman" w:eastAsia="Calibri" w:hAnsi="Times New Roman"/>
          <w:color w:val="000000"/>
          <w:szCs w:val="24"/>
          <w:lang w:eastAsia="en-US"/>
        </w:rPr>
        <w:t xml:space="preserve"> sorteio de 1</w:t>
      </w:r>
      <w:r w:rsidR="00C16E6A" w:rsidRPr="000E5487">
        <w:rPr>
          <w:rFonts w:ascii="Times New Roman" w:eastAsia="Calibri" w:hAnsi="Times New Roman"/>
          <w:color w:val="000000"/>
          <w:szCs w:val="24"/>
          <w:lang w:eastAsia="en-US"/>
        </w:rPr>
        <w:t>39</w:t>
      </w:r>
      <w:r w:rsidR="00B809FB" w:rsidRPr="000E5487">
        <w:rPr>
          <w:rFonts w:ascii="Times New Roman" w:eastAsia="Calibri" w:hAnsi="Times New Roman"/>
          <w:color w:val="000000"/>
          <w:szCs w:val="24"/>
          <w:lang w:eastAsia="en-US"/>
        </w:rPr>
        <w:t xml:space="preserve"> grupos</w:t>
      </w:r>
      <w:r w:rsidRPr="000E5487">
        <w:rPr>
          <w:rFonts w:ascii="Times New Roman" w:eastAsia="Calibri" w:hAnsi="Times New Roman"/>
          <w:color w:val="000000"/>
          <w:szCs w:val="24"/>
          <w:lang w:eastAsia="en-US"/>
        </w:rPr>
        <w:t xml:space="preserve"> sucroenergéticos</w:t>
      </w:r>
      <w:r w:rsidR="00B809FB" w:rsidRPr="000E5487">
        <w:rPr>
          <w:rFonts w:ascii="Times New Roman" w:eastAsia="Calibri" w:hAnsi="Times New Roman"/>
          <w:color w:val="000000"/>
          <w:szCs w:val="24"/>
          <w:lang w:eastAsia="en-US"/>
        </w:rPr>
        <w:t xml:space="preserve">, considerando </w:t>
      </w:r>
      <w:r w:rsidR="00136AD0" w:rsidRPr="000E5487">
        <w:rPr>
          <w:rFonts w:ascii="Times New Roman" w:eastAsia="Calibri" w:hAnsi="Times New Roman"/>
          <w:color w:val="000000"/>
          <w:szCs w:val="24"/>
          <w:lang w:eastAsia="en-US"/>
        </w:rPr>
        <w:t xml:space="preserve">sua </w:t>
      </w:r>
      <w:r w:rsidR="00B809FB" w:rsidRPr="000E5487">
        <w:rPr>
          <w:rFonts w:ascii="Times New Roman" w:eastAsia="Calibri" w:hAnsi="Times New Roman"/>
          <w:color w:val="000000"/>
          <w:szCs w:val="24"/>
          <w:lang w:eastAsia="en-US"/>
        </w:rPr>
        <w:t xml:space="preserve">matriz </w:t>
      </w:r>
      <w:r w:rsidRPr="000E5487">
        <w:rPr>
          <w:rFonts w:ascii="Times New Roman" w:eastAsia="Calibri" w:hAnsi="Times New Roman"/>
          <w:color w:val="000000"/>
          <w:szCs w:val="24"/>
          <w:lang w:eastAsia="en-US"/>
        </w:rPr>
        <w:t>como contato principal.</w:t>
      </w:r>
      <w:r w:rsidR="00C16E6A" w:rsidRPr="000E5487">
        <w:rPr>
          <w:rFonts w:ascii="Times New Roman" w:eastAsia="Calibri" w:hAnsi="Times New Roman"/>
          <w:color w:val="000000"/>
          <w:szCs w:val="24"/>
          <w:lang w:eastAsia="en-US"/>
        </w:rPr>
        <w:t xml:space="preserve"> O cálculo da amostra foi realizado considerando um n</w:t>
      </w:r>
      <w:r w:rsidR="004B4864" w:rsidRPr="000E5487">
        <w:rPr>
          <w:rFonts w:ascii="Times New Roman" w:eastAsia="Calibri" w:hAnsi="Times New Roman"/>
          <w:color w:val="000000"/>
          <w:szCs w:val="24"/>
          <w:lang w:eastAsia="en-US"/>
        </w:rPr>
        <w:t>ível de confiança de 95%.</w:t>
      </w:r>
    </w:p>
    <w:p w:rsidR="00301072" w:rsidRPr="000E5487" w:rsidRDefault="00C16EEA"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Antes do envio do </w:t>
      </w:r>
      <w:r w:rsidR="00B809FB" w:rsidRPr="000E5487">
        <w:rPr>
          <w:rFonts w:ascii="Times New Roman" w:eastAsia="Calibri" w:hAnsi="Times New Roman"/>
          <w:color w:val="000000"/>
          <w:szCs w:val="24"/>
          <w:lang w:eastAsia="en-US"/>
        </w:rPr>
        <w:t>questionário</w:t>
      </w:r>
      <w:r w:rsidRPr="000E5487">
        <w:rPr>
          <w:rFonts w:ascii="Times New Roman" w:eastAsia="Calibri" w:hAnsi="Times New Roman"/>
          <w:color w:val="000000"/>
          <w:szCs w:val="24"/>
          <w:lang w:eastAsia="en-US"/>
        </w:rPr>
        <w:t>, foram feitos contatos telefônicos com os 1</w:t>
      </w:r>
      <w:r w:rsidR="004B4864" w:rsidRPr="000E5487">
        <w:rPr>
          <w:rFonts w:ascii="Times New Roman" w:eastAsia="Calibri" w:hAnsi="Times New Roman"/>
          <w:color w:val="000000"/>
          <w:szCs w:val="24"/>
          <w:lang w:eastAsia="en-US"/>
        </w:rPr>
        <w:t>39</w:t>
      </w:r>
      <w:r w:rsidRPr="000E5487">
        <w:rPr>
          <w:rFonts w:ascii="Times New Roman" w:eastAsia="Calibri" w:hAnsi="Times New Roman"/>
          <w:color w:val="000000"/>
          <w:szCs w:val="24"/>
          <w:lang w:eastAsia="en-US"/>
        </w:rPr>
        <w:t xml:space="preserve"> grupos de usinas </w:t>
      </w:r>
      <w:r w:rsidR="007725FE">
        <w:rPr>
          <w:rFonts w:ascii="Times New Roman" w:eastAsia="Calibri" w:hAnsi="Times New Roman"/>
          <w:color w:val="000000"/>
          <w:szCs w:val="24"/>
          <w:lang w:eastAsia="en-US"/>
        </w:rPr>
        <w:t xml:space="preserve">sorteados </w:t>
      </w:r>
      <w:r w:rsidRPr="000E5487">
        <w:rPr>
          <w:rFonts w:ascii="Times New Roman" w:eastAsia="Calibri" w:hAnsi="Times New Roman"/>
          <w:color w:val="000000"/>
          <w:szCs w:val="24"/>
          <w:lang w:eastAsia="en-US"/>
        </w:rPr>
        <w:t>para explicar a finalidade do estudo e convidar o profissional contábil</w:t>
      </w:r>
      <w:r w:rsidR="00A901EF" w:rsidRPr="000E5487">
        <w:rPr>
          <w:rFonts w:ascii="Times New Roman" w:eastAsia="Calibri" w:hAnsi="Times New Roman"/>
          <w:color w:val="000000"/>
          <w:szCs w:val="24"/>
          <w:lang w:eastAsia="en-US"/>
        </w:rPr>
        <w:t xml:space="preserve"> </w:t>
      </w:r>
      <w:r w:rsidR="00CD45F4" w:rsidRPr="000E5487">
        <w:rPr>
          <w:rFonts w:ascii="Times New Roman" w:eastAsia="Calibri" w:hAnsi="Times New Roman"/>
          <w:color w:val="000000"/>
          <w:szCs w:val="24"/>
          <w:lang w:eastAsia="en-US"/>
        </w:rPr>
        <w:t xml:space="preserve">responsável pela mensuração dos ativos biológicos </w:t>
      </w:r>
      <w:r w:rsidRPr="000E5487">
        <w:rPr>
          <w:rFonts w:ascii="Times New Roman" w:eastAsia="Calibri" w:hAnsi="Times New Roman"/>
          <w:color w:val="000000"/>
          <w:szCs w:val="24"/>
          <w:lang w:eastAsia="en-US"/>
        </w:rPr>
        <w:t>para participar do estudo.</w:t>
      </w:r>
      <w:r w:rsidR="00B809FB" w:rsidRPr="000E5487">
        <w:rPr>
          <w:rFonts w:ascii="Times New Roman" w:eastAsia="Calibri" w:hAnsi="Times New Roman"/>
          <w:color w:val="000000"/>
          <w:szCs w:val="24"/>
          <w:lang w:eastAsia="en-US"/>
        </w:rPr>
        <w:t xml:space="preserve"> </w:t>
      </w:r>
      <w:r w:rsidR="0080434E">
        <w:rPr>
          <w:rFonts w:ascii="Times New Roman" w:eastAsia="Calibri" w:hAnsi="Times New Roman"/>
          <w:color w:val="000000"/>
          <w:szCs w:val="24"/>
          <w:lang w:eastAsia="en-US"/>
        </w:rPr>
        <w:t>O questionário</w:t>
      </w:r>
      <w:r w:rsidRPr="000E5487">
        <w:rPr>
          <w:rFonts w:ascii="Times New Roman" w:eastAsia="Calibri" w:hAnsi="Times New Roman"/>
          <w:color w:val="000000"/>
          <w:szCs w:val="24"/>
          <w:lang w:eastAsia="en-US"/>
        </w:rPr>
        <w:t xml:space="preserve"> fo</w:t>
      </w:r>
      <w:r w:rsidR="0080434E">
        <w:rPr>
          <w:rFonts w:ascii="Times New Roman" w:eastAsia="Calibri" w:hAnsi="Times New Roman"/>
          <w:color w:val="000000"/>
          <w:szCs w:val="24"/>
          <w:lang w:eastAsia="en-US"/>
        </w:rPr>
        <w:t xml:space="preserve">i </w:t>
      </w:r>
      <w:r w:rsidRPr="000E5487">
        <w:rPr>
          <w:rFonts w:ascii="Times New Roman" w:eastAsia="Calibri" w:hAnsi="Times New Roman"/>
          <w:color w:val="000000"/>
          <w:szCs w:val="24"/>
          <w:lang w:eastAsia="en-US"/>
        </w:rPr>
        <w:t>enviado para os 1</w:t>
      </w:r>
      <w:r w:rsidR="004B4864" w:rsidRPr="000E5487">
        <w:rPr>
          <w:rFonts w:ascii="Times New Roman" w:eastAsia="Calibri" w:hAnsi="Times New Roman"/>
          <w:color w:val="000000"/>
          <w:szCs w:val="24"/>
          <w:lang w:eastAsia="en-US"/>
        </w:rPr>
        <w:t>39</w:t>
      </w:r>
      <w:r w:rsidR="00980BD6">
        <w:rPr>
          <w:rFonts w:ascii="Times New Roman" w:eastAsia="Calibri" w:hAnsi="Times New Roman"/>
          <w:color w:val="000000"/>
          <w:szCs w:val="24"/>
          <w:lang w:eastAsia="en-US"/>
        </w:rPr>
        <w:t xml:space="preserve"> profissionais</w:t>
      </w:r>
      <w:r w:rsidR="00496B19" w:rsidRPr="000E5487">
        <w:rPr>
          <w:rFonts w:ascii="Times New Roman" w:eastAsia="Calibri" w:hAnsi="Times New Roman"/>
          <w:color w:val="000000"/>
          <w:szCs w:val="24"/>
          <w:lang w:eastAsia="en-US"/>
        </w:rPr>
        <w:t xml:space="preserve"> por meio da </w:t>
      </w:r>
      <w:r w:rsidRPr="000E5487">
        <w:rPr>
          <w:rFonts w:ascii="Times New Roman" w:eastAsia="Calibri" w:hAnsi="Times New Roman"/>
          <w:color w:val="000000"/>
          <w:szCs w:val="24"/>
          <w:lang w:eastAsia="en-US"/>
        </w:rPr>
        <w:t xml:space="preserve">ferramenta </w:t>
      </w:r>
      <w:r w:rsidRPr="000E5487">
        <w:rPr>
          <w:rFonts w:ascii="Times New Roman" w:eastAsia="Calibri" w:hAnsi="Times New Roman"/>
          <w:i/>
          <w:color w:val="000000"/>
          <w:szCs w:val="24"/>
          <w:lang w:eastAsia="en-US"/>
        </w:rPr>
        <w:t>survey monkey</w:t>
      </w:r>
      <w:r w:rsidR="009C709D" w:rsidRPr="000E5487">
        <w:rPr>
          <w:rFonts w:ascii="Times New Roman" w:eastAsia="Calibri" w:hAnsi="Times New Roman"/>
          <w:i/>
          <w:color w:val="000000"/>
          <w:szCs w:val="24"/>
          <w:lang w:eastAsia="en-US"/>
        </w:rPr>
        <w:t>,</w:t>
      </w:r>
      <w:r w:rsidRPr="000E5487">
        <w:rPr>
          <w:rFonts w:ascii="Times New Roman" w:eastAsia="Calibri" w:hAnsi="Times New Roman"/>
          <w:color w:val="000000"/>
          <w:szCs w:val="24"/>
          <w:lang w:eastAsia="en-US"/>
        </w:rPr>
        <w:t xml:space="preserve"> no</w:t>
      </w:r>
      <w:r w:rsidR="00496B19" w:rsidRPr="000E5487">
        <w:rPr>
          <w:rFonts w:ascii="Times New Roman" w:eastAsia="Calibri" w:hAnsi="Times New Roman"/>
          <w:color w:val="000000"/>
          <w:szCs w:val="24"/>
          <w:lang w:eastAsia="en-US"/>
        </w:rPr>
        <w:t xml:space="preserve"> período de </w:t>
      </w:r>
      <w:r w:rsidRPr="000E5487">
        <w:rPr>
          <w:rFonts w:ascii="Times New Roman" w:eastAsia="Calibri" w:hAnsi="Times New Roman"/>
          <w:color w:val="000000"/>
          <w:szCs w:val="24"/>
          <w:lang w:eastAsia="en-US"/>
        </w:rPr>
        <w:t xml:space="preserve">janeiro a </w:t>
      </w:r>
      <w:r w:rsidR="00980BD6">
        <w:rPr>
          <w:rFonts w:ascii="Times New Roman" w:eastAsia="Calibri" w:hAnsi="Times New Roman"/>
          <w:color w:val="000000"/>
          <w:szCs w:val="24"/>
          <w:lang w:eastAsia="en-US"/>
        </w:rPr>
        <w:t>julho</w:t>
      </w:r>
      <w:r w:rsidRPr="000E5487">
        <w:rPr>
          <w:rFonts w:ascii="Times New Roman" w:eastAsia="Calibri" w:hAnsi="Times New Roman"/>
          <w:color w:val="000000"/>
          <w:szCs w:val="24"/>
          <w:lang w:eastAsia="en-US"/>
        </w:rPr>
        <w:t xml:space="preserve"> de 2017.</w:t>
      </w:r>
      <w:r w:rsidR="00301072"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Após o primeiro envio</w:t>
      </w:r>
      <w:r w:rsidR="00301072"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foram realizadas </w:t>
      </w:r>
      <w:r w:rsidR="007725FE">
        <w:rPr>
          <w:rFonts w:ascii="Times New Roman" w:eastAsia="Calibri" w:hAnsi="Times New Roman"/>
          <w:color w:val="000000"/>
          <w:szCs w:val="24"/>
          <w:lang w:eastAsia="en-US"/>
        </w:rPr>
        <w:t xml:space="preserve">três </w:t>
      </w:r>
      <w:r w:rsidRPr="000E5487">
        <w:rPr>
          <w:rFonts w:ascii="Times New Roman" w:eastAsia="Calibri" w:hAnsi="Times New Roman"/>
          <w:color w:val="000000"/>
          <w:szCs w:val="24"/>
          <w:lang w:eastAsia="en-US"/>
        </w:rPr>
        <w:t>tentativas via e-mail e telefone</w:t>
      </w:r>
      <w:r w:rsidR="00030CD3">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w:t>
      </w:r>
      <w:r w:rsidR="007725FE">
        <w:rPr>
          <w:rFonts w:ascii="Times New Roman" w:eastAsia="Calibri" w:hAnsi="Times New Roman"/>
          <w:color w:val="000000"/>
          <w:szCs w:val="24"/>
          <w:lang w:eastAsia="en-US"/>
        </w:rPr>
        <w:t xml:space="preserve">resultando em </w:t>
      </w:r>
      <w:r w:rsidR="00712720">
        <w:rPr>
          <w:rFonts w:ascii="Times New Roman" w:eastAsia="Calibri" w:hAnsi="Times New Roman"/>
          <w:color w:val="000000"/>
          <w:szCs w:val="24"/>
          <w:lang w:eastAsia="en-US"/>
        </w:rPr>
        <w:t>54</w:t>
      </w:r>
      <w:r w:rsidR="00030CD3" w:rsidRPr="00030CD3">
        <w:rPr>
          <w:rFonts w:ascii="Times New Roman" w:eastAsia="Calibri" w:hAnsi="Times New Roman"/>
          <w:color w:val="000000"/>
          <w:szCs w:val="24"/>
          <w:lang w:eastAsia="en-US"/>
        </w:rPr>
        <w:t xml:space="preserve"> </w:t>
      </w:r>
      <w:r w:rsidR="00030CD3">
        <w:rPr>
          <w:rFonts w:ascii="Times New Roman" w:eastAsia="Calibri" w:hAnsi="Times New Roman"/>
          <w:color w:val="000000"/>
          <w:szCs w:val="24"/>
          <w:lang w:eastAsia="en-US"/>
        </w:rPr>
        <w:t>respostas.</w:t>
      </w:r>
      <w:r w:rsidR="00030CD3" w:rsidRPr="00030CD3">
        <w:t xml:space="preserve"> </w:t>
      </w:r>
      <w:r w:rsidR="00290DC7" w:rsidRPr="000E5487">
        <w:rPr>
          <w:rFonts w:ascii="Times New Roman" w:eastAsia="Calibri" w:hAnsi="Times New Roman"/>
          <w:color w:val="000000"/>
          <w:szCs w:val="24"/>
          <w:lang w:eastAsia="en-US"/>
        </w:rPr>
        <w:t>Desse total</w:t>
      </w:r>
      <w:r w:rsidR="00301072" w:rsidRPr="000E5487">
        <w:rPr>
          <w:rFonts w:ascii="Times New Roman" w:eastAsia="Calibri" w:hAnsi="Times New Roman"/>
          <w:color w:val="000000"/>
          <w:szCs w:val="24"/>
          <w:lang w:eastAsia="en-US"/>
        </w:rPr>
        <w:t>, foram excluídos os q</w:t>
      </w:r>
      <w:r w:rsidR="007725FE">
        <w:rPr>
          <w:rFonts w:ascii="Times New Roman" w:eastAsia="Calibri" w:hAnsi="Times New Roman"/>
          <w:color w:val="000000"/>
          <w:szCs w:val="24"/>
          <w:lang w:eastAsia="en-US"/>
        </w:rPr>
        <w:t>uestionários incompletos, totalizando</w:t>
      </w:r>
      <w:r w:rsidR="00301072" w:rsidRPr="000E5487">
        <w:rPr>
          <w:rFonts w:ascii="Times New Roman" w:eastAsia="Calibri" w:hAnsi="Times New Roman"/>
          <w:color w:val="000000"/>
          <w:szCs w:val="24"/>
          <w:lang w:eastAsia="en-US"/>
        </w:rPr>
        <w:t xml:space="preserve"> 32 respostas </w:t>
      </w:r>
      <w:r w:rsidR="00712720">
        <w:rPr>
          <w:rFonts w:ascii="Times New Roman" w:eastAsia="Calibri" w:hAnsi="Times New Roman"/>
          <w:color w:val="000000"/>
          <w:szCs w:val="24"/>
          <w:lang w:eastAsia="en-US"/>
        </w:rPr>
        <w:t xml:space="preserve">válidas </w:t>
      </w:r>
      <w:r w:rsidR="00301072" w:rsidRPr="000E5487">
        <w:rPr>
          <w:rFonts w:ascii="Times New Roman" w:eastAsia="Calibri" w:hAnsi="Times New Roman"/>
          <w:color w:val="000000"/>
          <w:szCs w:val="24"/>
          <w:lang w:eastAsia="en-US"/>
        </w:rPr>
        <w:t xml:space="preserve">de </w:t>
      </w:r>
      <w:r w:rsidR="00301072" w:rsidRPr="000E5487">
        <w:rPr>
          <w:rFonts w:ascii="Times New Roman" w:eastAsia="Calibri" w:hAnsi="Times New Roman"/>
          <w:i/>
          <w:color w:val="000000"/>
          <w:szCs w:val="24"/>
          <w:lang w:eastAsia="en-US"/>
        </w:rPr>
        <w:t>controllers</w:t>
      </w:r>
      <w:r w:rsidR="00301072" w:rsidRPr="000E5487">
        <w:rPr>
          <w:rFonts w:ascii="Times New Roman" w:eastAsia="Calibri" w:hAnsi="Times New Roman"/>
          <w:color w:val="000000"/>
          <w:szCs w:val="24"/>
          <w:lang w:eastAsia="en-US"/>
        </w:rPr>
        <w:t xml:space="preserve">, contadores, gerentes de controladoria e </w:t>
      </w:r>
      <w:r w:rsidR="00301072" w:rsidRPr="000E5487">
        <w:rPr>
          <w:rFonts w:ascii="Times New Roman" w:eastAsia="Calibri" w:hAnsi="Times New Roman"/>
          <w:i/>
          <w:color w:val="000000"/>
          <w:szCs w:val="24"/>
          <w:lang w:eastAsia="en-US"/>
        </w:rPr>
        <w:t>Chief Financial Officer</w:t>
      </w:r>
      <w:r w:rsidR="00301072" w:rsidRPr="000E5487">
        <w:rPr>
          <w:rFonts w:ascii="Times New Roman" w:eastAsia="Calibri" w:hAnsi="Times New Roman"/>
          <w:color w:val="000000"/>
          <w:szCs w:val="24"/>
          <w:lang w:eastAsia="en-US"/>
        </w:rPr>
        <w:t xml:space="preserve"> (CFO), sendo essa a base de análise do estudo.</w:t>
      </w:r>
    </w:p>
    <w:p w:rsidR="005C20AE" w:rsidRDefault="00344F61" w:rsidP="00B747D7">
      <w:pPr>
        <w:spacing w:after="0" w:line="240" w:lineRule="auto"/>
        <w:ind w:firstLine="709"/>
        <w:jc w:val="both"/>
      </w:pPr>
      <w:r w:rsidRPr="000E5487">
        <w:rPr>
          <w:rFonts w:ascii="Times New Roman" w:hAnsi="Times New Roman"/>
          <w:color w:val="000000"/>
          <w:szCs w:val="24"/>
        </w:rPr>
        <w:t>Os</w:t>
      </w:r>
      <w:r w:rsidR="00B809FB" w:rsidRPr="000E5487">
        <w:rPr>
          <w:rFonts w:ascii="Times New Roman" w:hAnsi="Times New Roman"/>
          <w:color w:val="000000"/>
          <w:szCs w:val="24"/>
        </w:rPr>
        <w:t xml:space="preserve"> dados</w:t>
      </w:r>
      <w:r w:rsidRPr="000E5487">
        <w:rPr>
          <w:rFonts w:ascii="Times New Roman" w:hAnsi="Times New Roman"/>
          <w:color w:val="000000"/>
          <w:szCs w:val="24"/>
        </w:rPr>
        <w:t xml:space="preserve"> coletados</w:t>
      </w:r>
      <w:r w:rsidR="00B809FB" w:rsidRPr="000E5487">
        <w:rPr>
          <w:rFonts w:ascii="Times New Roman" w:hAnsi="Times New Roman"/>
          <w:color w:val="000000"/>
          <w:szCs w:val="24"/>
        </w:rPr>
        <w:t xml:space="preserve"> fo</w:t>
      </w:r>
      <w:r w:rsidRPr="000E5487">
        <w:rPr>
          <w:rFonts w:ascii="Times New Roman" w:hAnsi="Times New Roman"/>
          <w:color w:val="000000"/>
          <w:szCs w:val="24"/>
        </w:rPr>
        <w:t>ram</w:t>
      </w:r>
      <w:r w:rsidR="00B809FB" w:rsidRPr="000E5487">
        <w:rPr>
          <w:rFonts w:ascii="Times New Roman" w:hAnsi="Times New Roman"/>
          <w:color w:val="000000"/>
          <w:szCs w:val="24"/>
        </w:rPr>
        <w:t xml:space="preserve"> an</w:t>
      </w:r>
      <w:r w:rsidR="007725FE">
        <w:rPr>
          <w:rFonts w:ascii="Times New Roman" w:hAnsi="Times New Roman"/>
          <w:color w:val="000000"/>
          <w:szCs w:val="24"/>
        </w:rPr>
        <w:t>a</w:t>
      </w:r>
      <w:r w:rsidR="00B809FB" w:rsidRPr="000E5487">
        <w:rPr>
          <w:rFonts w:ascii="Times New Roman" w:hAnsi="Times New Roman"/>
          <w:color w:val="000000"/>
          <w:szCs w:val="24"/>
        </w:rPr>
        <w:t>lis</w:t>
      </w:r>
      <w:r w:rsidRPr="000E5487">
        <w:rPr>
          <w:rFonts w:ascii="Times New Roman" w:hAnsi="Times New Roman"/>
          <w:color w:val="000000"/>
          <w:szCs w:val="24"/>
        </w:rPr>
        <w:t>ados</w:t>
      </w:r>
      <w:r w:rsidR="00B809FB" w:rsidRPr="000E5487">
        <w:rPr>
          <w:rFonts w:ascii="Times New Roman" w:hAnsi="Times New Roman"/>
          <w:color w:val="000000"/>
          <w:szCs w:val="24"/>
        </w:rPr>
        <w:t xml:space="preserve"> descritiva</w:t>
      </w:r>
      <w:r w:rsidRPr="000E5487">
        <w:rPr>
          <w:rFonts w:ascii="Times New Roman" w:hAnsi="Times New Roman"/>
          <w:color w:val="000000"/>
          <w:szCs w:val="24"/>
        </w:rPr>
        <w:t>mente</w:t>
      </w:r>
      <w:r w:rsidR="00B809FB" w:rsidRPr="000E5487">
        <w:rPr>
          <w:rFonts w:ascii="Times New Roman" w:hAnsi="Times New Roman"/>
          <w:color w:val="000000"/>
          <w:szCs w:val="24"/>
        </w:rPr>
        <w:t xml:space="preserve">, </w:t>
      </w:r>
      <w:r w:rsidRPr="000E5487">
        <w:rPr>
          <w:rFonts w:ascii="Times New Roman" w:hAnsi="Times New Roman"/>
          <w:color w:val="000000"/>
          <w:szCs w:val="24"/>
        </w:rPr>
        <w:t xml:space="preserve">através da frequência absoluta e a relativa, </w:t>
      </w:r>
      <w:r w:rsidR="00B809FB" w:rsidRPr="000E5487">
        <w:rPr>
          <w:rFonts w:ascii="Times New Roman" w:hAnsi="Times New Roman"/>
          <w:color w:val="000000"/>
          <w:szCs w:val="24"/>
        </w:rPr>
        <w:t>com o intuito de caracterizar os indivíduos</w:t>
      </w:r>
      <w:r w:rsidR="00DF1D6F" w:rsidRPr="000E5487">
        <w:rPr>
          <w:rFonts w:ascii="Times New Roman" w:hAnsi="Times New Roman"/>
          <w:color w:val="000000"/>
          <w:szCs w:val="24"/>
        </w:rPr>
        <w:t xml:space="preserve"> e as múltiplas escolhas contábeis adotadas na mensuração de ativos biológicos</w:t>
      </w:r>
      <w:r w:rsidR="00B809FB" w:rsidRPr="000E5487">
        <w:rPr>
          <w:rFonts w:ascii="Times New Roman" w:hAnsi="Times New Roman"/>
          <w:color w:val="000000"/>
          <w:szCs w:val="24"/>
        </w:rPr>
        <w:t>.</w:t>
      </w:r>
      <w:r w:rsidRPr="000E5487">
        <w:rPr>
          <w:rFonts w:ascii="Times New Roman" w:hAnsi="Times New Roman"/>
          <w:color w:val="000000"/>
          <w:szCs w:val="24"/>
        </w:rPr>
        <w:t xml:space="preserve"> </w:t>
      </w:r>
      <w:r w:rsidR="00B809FB" w:rsidRPr="000E5487">
        <w:rPr>
          <w:rFonts w:ascii="Times New Roman" w:hAnsi="Times New Roman"/>
          <w:color w:val="000000"/>
          <w:szCs w:val="24"/>
        </w:rPr>
        <w:t xml:space="preserve">Para </w:t>
      </w:r>
      <w:r w:rsidR="00DF1D6F" w:rsidRPr="000E5487">
        <w:rPr>
          <w:rFonts w:ascii="Times New Roman" w:hAnsi="Times New Roman"/>
          <w:color w:val="000000"/>
          <w:szCs w:val="24"/>
        </w:rPr>
        <w:t>verificar</w:t>
      </w:r>
      <w:r w:rsidR="00B809FB" w:rsidRPr="000E5487">
        <w:rPr>
          <w:rFonts w:ascii="Times New Roman" w:hAnsi="Times New Roman"/>
          <w:color w:val="000000"/>
          <w:szCs w:val="24"/>
        </w:rPr>
        <w:t xml:space="preserve"> a possível associação entre as variáveis de perfil </w:t>
      </w:r>
      <w:r w:rsidR="004B4864" w:rsidRPr="000E5487">
        <w:rPr>
          <w:rFonts w:ascii="Times New Roman" w:hAnsi="Times New Roman"/>
          <w:color w:val="000000"/>
          <w:szCs w:val="24"/>
        </w:rPr>
        <w:t xml:space="preserve">do profissional </w:t>
      </w:r>
      <w:r w:rsidR="00B809FB" w:rsidRPr="000E5487">
        <w:rPr>
          <w:rFonts w:ascii="Times New Roman" w:hAnsi="Times New Roman"/>
          <w:color w:val="000000"/>
          <w:szCs w:val="24"/>
        </w:rPr>
        <w:t>com a</w:t>
      </w:r>
      <w:r w:rsidR="00DF1D6F" w:rsidRPr="000E5487">
        <w:rPr>
          <w:rFonts w:ascii="Times New Roman" w:hAnsi="Times New Roman"/>
          <w:color w:val="000000"/>
          <w:szCs w:val="24"/>
        </w:rPr>
        <w:t>s</w:t>
      </w:r>
      <w:r w:rsidR="00B809FB" w:rsidRPr="000E5487">
        <w:rPr>
          <w:rFonts w:ascii="Times New Roman" w:hAnsi="Times New Roman"/>
          <w:color w:val="000000"/>
          <w:szCs w:val="24"/>
        </w:rPr>
        <w:t xml:space="preserve"> </w:t>
      </w:r>
      <w:r w:rsidR="00DF1D6F" w:rsidRPr="000E5487">
        <w:rPr>
          <w:rFonts w:ascii="Times New Roman" w:hAnsi="Times New Roman"/>
          <w:color w:val="000000"/>
          <w:szCs w:val="24"/>
        </w:rPr>
        <w:t>escolhas contábeis n</w:t>
      </w:r>
      <w:r w:rsidR="00B809FB" w:rsidRPr="000E5487">
        <w:rPr>
          <w:rFonts w:ascii="Times New Roman" w:hAnsi="Times New Roman"/>
          <w:color w:val="000000"/>
          <w:szCs w:val="24"/>
        </w:rPr>
        <w:t>a mensuração de ativos biológicos</w:t>
      </w:r>
      <w:r w:rsidR="00F22C52" w:rsidRPr="000E5487">
        <w:rPr>
          <w:rFonts w:ascii="Times New Roman" w:hAnsi="Times New Roman"/>
          <w:color w:val="000000"/>
          <w:szCs w:val="24"/>
        </w:rPr>
        <w:t>,</w:t>
      </w:r>
      <w:r w:rsidR="00B809FB" w:rsidRPr="000E5487">
        <w:rPr>
          <w:rFonts w:ascii="Times New Roman" w:hAnsi="Times New Roman"/>
          <w:color w:val="000000"/>
          <w:szCs w:val="24"/>
        </w:rPr>
        <w:t xml:space="preserve"> foi utilizado o teste exato de </w:t>
      </w:r>
      <w:r w:rsidR="00B809FB" w:rsidRPr="000E5487">
        <w:rPr>
          <w:rFonts w:ascii="Times New Roman" w:hAnsi="Times New Roman"/>
          <w:i/>
          <w:color w:val="000000"/>
          <w:szCs w:val="24"/>
        </w:rPr>
        <w:t>Fisher</w:t>
      </w:r>
      <w:r w:rsidR="003A0590" w:rsidRPr="000E5487">
        <w:rPr>
          <w:rFonts w:ascii="Times New Roman" w:hAnsi="Times New Roman"/>
          <w:i/>
          <w:color w:val="000000"/>
          <w:szCs w:val="24"/>
        </w:rPr>
        <w:t xml:space="preserve"> </w:t>
      </w:r>
      <w:r w:rsidR="003A0590" w:rsidRPr="000E5487">
        <w:rPr>
          <w:rFonts w:ascii="Times New Roman" w:hAnsi="Times New Roman"/>
          <w:bCs/>
          <w:szCs w:val="24"/>
        </w:rPr>
        <w:t xml:space="preserve">(valor </w:t>
      </w:r>
      <w:r w:rsidR="003A0590" w:rsidRPr="000E5487">
        <w:rPr>
          <w:rFonts w:ascii="Times New Roman" w:hAnsi="Times New Roman"/>
          <w:bCs/>
          <w:i/>
          <w:szCs w:val="24"/>
        </w:rPr>
        <w:t>p</w:t>
      </w:r>
      <w:r w:rsidR="003A0590" w:rsidRPr="000E5487">
        <w:rPr>
          <w:rFonts w:ascii="Times New Roman" w:hAnsi="Times New Roman"/>
          <w:bCs/>
          <w:szCs w:val="24"/>
        </w:rPr>
        <w:t>)</w:t>
      </w:r>
      <w:r w:rsidR="00B809FB" w:rsidRPr="000E5487">
        <w:rPr>
          <w:rFonts w:ascii="Times New Roman" w:hAnsi="Times New Roman"/>
          <w:color w:val="000000"/>
          <w:szCs w:val="24"/>
        </w:rPr>
        <w:t>. O nível de significância foi fixado em 5% e todas as análises foram realizadas com o auxílio do ambiente estatístico R, versão 3.3.1</w:t>
      </w:r>
      <w:r w:rsidR="00910EFA" w:rsidRPr="000E5487">
        <w:rPr>
          <w:rFonts w:ascii="Times New Roman" w:hAnsi="Times New Roman"/>
          <w:color w:val="000000"/>
          <w:szCs w:val="24"/>
        </w:rPr>
        <w:t>.</w:t>
      </w:r>
      <w:r w:rsidR="005C20AE" w:rsidRPr="005C20AE">
        <w:t xml:space="preserve"> </w:t>
      </w:r>
    </w:p>
    <w:p w:rsidR="00030CD3" w:rsidRDefault="004312A7" w:rsidP="00B747D7">
      <w:pPr>
        <w:spacing w:after="0" w:line="240" w:lineRule="auto"/>
        <w:ind w:firstLine="709"/>
        <w:jc w:val="both"/>
        <w:rPr>
          <w:rFonts w:ascii="Times New Roman" w:hAnsi="Times New Roman"/>
          <w:color w:val="000000"/>
          <w:szCs w:val="24"/>
        </w:rPr>
      </w:pPr>
      <w:r w:rsidRPr="004312A7">
        <w:rPr>
          <w:rFonts w:ascii="Times New Roman" w:hAnsi="Times New Roman"/>
          <w:color w:val="000000"/>
          <w:szCs w:val="24"/>
        </w:rPr>
        <w:t xml:space="preserve">O teste exato de </w:t>
      </w:r>
      <w:r w:rsidR="00443433">
        <w:rPr>
          <w:rFonts w:ascii="Times New Roman" w:hAnsi="Times New Roman"/>
          <w:color w:val="000000"/>
          <w:szCs w:val="24"/>
        </w:rPr>
        <w:fldChar w:fldCharType="begin" w:fldLock="1"/>
      </w:r>
      <w:r w:rsidR="00443433">
        <w:rPr>
          <w:rFonts w:ascii="Times New Roman" w:hAnsi="Times New Roman"/>
          <w:color w:val="000000"/>
          <w:szCs w:val="24"/>
        </w:rPr>
        <w:instrText>ADDIN CSL_CITATION {"citationItems":[{"id":"ITEM-1","itemData":{"author":[{"dropping-particle":"","family":"Fisher","given":"R. A.","non-dropping-particle":"","parse-names":false,"suffix":""}],"container-title":"Biological Monographs And Manuals","edition":"5","editor":[{"dropping-particle":"","family":"Crew","given":"F. A. E.","non-dropping-particle":"","parse-names":false,"suffix":""},{"dropping-particle":"","family":"Cutler","given":"D. W.","non-dropping-particle":"","parse-names":false,"suffix":""}],"id":"ITEM-1","issued":{"date-parts":[["1934"]]},"page":"316","publisher":"Oliver &amp; Boyd","publisher-place":"Londres","title":"Statistical Methods for Research Workers","type":"chapter"},"uris":["http://www.mendeley.com/documents/?uuid=82688702-98d3-48a6-9d56-59a269cd20a7"]}],"mendeley":{"formattedCitation":"(FISHER, 1934)","manualFormatting":"Fisher (1934)","plainTextFormattedCitation":"(FISHER, 1934)","previouslyFormattedCitation":"(FISHER, 1934)"},"properties":{"noteIndex":0},"schema":"https://github.com/citation-style-language/schema/raw/master/csl-citation.json"}</w:instrText>
      </w:r>
      <w:r w:rsidR="00443433">
        <w:rPr>
          <w:rFonts w:ascii="Times New Roman" w:hAnsi="Times New Roman"/>
          <w:color w:val="000000"/>
          <w:szCs w:val="24"/>
        </w:rPr>
        <w:fldChar w:fldCharType="separate"/>
      </w:r>
      <w:r w:rsidR="00443433" w:rsidRPr="00443433">
        <w:rPr>
          <w:rFonts w:ascii="Times New Roman" w:hAnsi="Times New Roman"/>
          <w:noProof/>
          <w:color w:val="000000"/>
          <w:szCs w:val="24"/>
        </w:rPr>
        <w:t xml:space="preserve">Fisher </w:t>
      </w:r>
      <w:r w:rsidR="00443433">
        <w:rPr>
          <w:rFonts w:ascii="Times New Roman" w:hAnsi="Times New Roman"/>
          <w:noProof/>
          <w:color w:val="000000"/>
          <w:szCs w:val="24"/>
        </w:rPr>
        <w:t>(</w:t>
      </w:r>
      <w:r w:rsidR="00443433" w:rsidRPr="00443433">
        <w:rPr>
          <w:rFonts w:ascii="Times New Roman" w:hAnsi="Times New Roman"/>
          <w:noProof/>
          <w:color w:val="000000"/>
          <w:szCs w:val="24"/>
        </w:rPr>
        <w:t>1934)</w:t>
      </w:r>
      <w:r w:rsidR="00443433">
        <w:rPr>
          <w:rFonts w:ascii="Times New Roman" w:hAnsi="Times New Roman"/>
          <w:color w:val="000000"/>
          <w:szCs w:val="24"/>
        </w:rPr>
        <w:fldChar w:fldCharType="end"/>
      </w:r>
      <w:r w:rsidRPr="004312A7">
        <w:rPr>
          <w:rFonts w:ascii="Times New Roman" w:hAnsi="Times New Roman"/>
          <w:color w:val="000000"/>
          <w:szCs w:val="24"/>
        </w:rPr>
        <w:t xml:space="preserve"> </w:t>
      </w:r>
      <w:r w:rsidR="007725FE">
        <w:rPr>
          <w:rFonts w:ascii="Times New Roman" w:hAnsi="Times New Roman"/>
          <w:color w:val="000000"/>
          <w:szCs w:val="24"/>
        </w:rPr>
        <w:t>foi escolhido</w:t>
      </w:r>
      <w:r w:rsidRPr="004312A7">
        <w:rPr>
          <w:rFonts w:ascii="Times New Roman" w:hAnsi="Times New Roman"/>
          <w:color w:val="000000"/>
          <w:szCs w:val="24"/>
        </w:rPr>
        <w:t xml:space="preserve"> </w:t>
      </w:r>
      <w:r>
        <w:rPr>
          <w:rFonts w:ascii="Times New Roman" w:hAnsi="Times New Roman"/>
          <w:color w:val="000000"/>
          <w:szCs w:val="24"/>
        </w:rPr>
        <w:t>por</w:t>
      </w:r>
      <w:r w:rsidRPr="004312A7">
        <w:rPr>
          <w:rFonts w:ascii="Times New Roman" w:hAnsi="Times New Roman"/>
          <w:color w:val="000000"/>
          <w:szCs w:val="24"/>
        </w:rPr>
        <w:t xml:space="preserve"> </w:t>
      </w:r>
      <w:r>
        <w:rPr>
          <w:rFonts w:ascii="Times New Roman" w:hAnsi="Times New Roman"/>
          <w:color w:val="000000"/>
          <w:szCs w:val="24"/>
        </w:rPr>
        <w:t>ser</w:t>
      </w:r>
      <w:r w:rsidRPr="004312A7">
        <w:t xml:space="preserve"> </w:t>
      </w:r>
      <w:r>
        <w:rPr>
          <w:rFonts w:ascii="Times New Roman" w:hAnsi="Times New Roman"/>
          <w:color w:val="000000"/>
          <w:szCs w:val="24"/>
        </w:rPr>
        <w:t>recomendado</w:t>
      </w:r>
      <w:r w:rsidRPr="004312A7">
        <w:rPr>
          <w:rFonts w:ascii="Times New Roman" w:hAnsi="Times New Roman"/>
          <w:color w:val="000000"/>
          <w:szCs w:val="24"/>
        </w:rPr>
        <w:t xml:space="preserve"> para amostras pequenas e para tabelas de contingência em que existem valores </w:t>
      </w:r>
      <w:r>
        <w:rPr>
          <w:rFonts w:ascii="Times New Roman" w:hAnsi="Times New Roman"/>
          <w:color w:val="000000"/>
          <w:szCs w:val="24"/>
        </w:rPr>
        <w:t>esperados menores que cinco</w:t>
      </w:r>
      <w:r w:rsidRPr="004312A7">
        <w:rPr>
          <w:rFonts w:ascii="Times New Roman" w:hAnsi="Times New Roman"/>
          <w:color w:val="000000"/>
          <w:szCs w:val="24"/>
        </w:rPr>
        <w:t xml:space="preserve">. </w:t>
      </w:r>
      <w:r w:rsidR="007725FE">
        <w:rPr>
          <w:rFonts w:ascii="Times New Roman" w:hAnsi="Times New Roman"/>
          <w:color w:val="000000"/>
          <w:szCs w:val="24"/>
        </w:rPr>
        <w:t xml:space="preserve">Esse teste </w:t>
      </w:r>
      <w:r w:rsidR="007725FE" w:rsidRPr="007725FE">
        <w:rPr>
          <w:rFonts w:ascii="Times New Roman" w:hAnsi="Times New Roman"/>
          <w:color w:val="000000"/>
          <w:szCs w:val="24"/>
        </w:rPr>
        <w:t>se baseia na distribuição de probabilidade das freq</w:t>
      </w:r>
      <w:r w:rsidR="007725FE">
        <w:rPr>
          <w:rFonts w:ascii="Times New Roman" w:hAnsi="Times New Roman"/>
          <w:color w:val="000000"/>
          <w:szCs w:val="24"/>
        </w:rPr>
        <w:t>uências da tabela cruzada (2x2)</w:t>
      </w:r>
      <w:r w:rsidR="00443433">
        <w:rPr>
          <w:rFonts w:ascii="Times New Roman" w:hAnsi="Times New Roman"/>
          <w:color w:val="000000"/>
          <w:szCs w:val="24"/>
        </w:rPr>
        <w:t xml:space="preserve"> e </w:t>
      </w:r>
      <w:r w:rsidR="00443433" w:rsidRPr="00443433">
        <w:rPr>
          <w:rFonts w:ascii="Times New Roman" w:hAnsi="Times New Roman"/>
          <w:color w:val="000000"/>
          <w:szCs w:val="24"/>
        </w:rPr>
        <w:t>é considerado uma alternativa ao teste qui-quadrado de Pearson</w:t>
      </w:r>
      <w:r w:rsidR="00443433">
        <w:rPr>
          <w:rFonts w:ascii="Times New Roman" w:hAnsi="Times New Roman"/>
          <w:color w:val="000000"/>
          <w:szCs w:val="24"/>
        </w:rPr>
        <w:t xml:space="preserve"> </w:t>
      </w:r>
      <w:r w:rsidR="00443433">
        <w:rPr>
          <w:rFonts w:ascii="Times New Roman" w:hAnsi="Times New Roman"/>
          <w:color w:val="000000"/>
          <w:szCs w:val="24"/>
        </w:rPr>
        <w:fldChar w:fldCharType="begin" w:fldLock="1"/>
      </w:r>
      <w:r w:rsidR="009B00E2">
        <w:rPr>
          <w:rFonts w:ascii="Times New Roman" w:hAnsi="Times New Roman"/>
          <w:color w:val="000000"/>
          <w:szCs w:val="24"/>
        </w:rPr>
        <w:instrText>ADDIN CSL_CITATION {"citationItems":[{"id":"ITEM-1","itemData":{"DOI":"10.2307/2288652","ISSN":"01621459","author":[{"dropping-particle":"","family":"Mehta","given":"Cyrus R.","non-dropping-particle":"","parse-names":false,"suffix":""},{"dropping-particle":"","family":"Patel","given":"Nitin R.","non-dropping-particle":"","parse-names":false,"suffix":""}],"container-title":"Journal of the American Statistical Association","id":"ITEM-1","issue":"382","issued":{"date-parts":[["1983","6"]]},"page":"427","title":"A Network Algorithm for Performing Fisher's Exact Test in r × c Contingency Tables","type":"article-journal","volume":"78"},"uris":["http://www.mendeley.com/documents/?uuid=97f9c499-ac8c-4702-a2a6-defcac1e4732"]}],"mendeley":{"formattedCitation":"(MEHTA; PATEL, 1983)","plainTextFormattedCitation":"(MEHTA; PATEL, 1983)","previouslyFormattedCitation":"(MEHTA; PATEL, 1983)"},"properties":{"noteIndex":0},"schema":"https://github.com/citation-style-language/schema/raw/master/csl-citation.json"}</w:instrText>
      </w:r>
      <w:r w:rsidR="00443433">
        <w:rPr>
          <w:rFonts w:ascii="Times New Roman" w:hAnsi="Times New Roman"/>
          <w:color w:val="000000"/>
          <w:szCs w:val="24"/>
        </w:rPr>
        <w:fldChar w:fldCharType="separate"/>
      </w:r>
      <w:r w:rsidR="00443433" w:rsidRPr="00443433">
        <w:rPr>
          <w:rFonts w:ascii="Times New Roman" w:hAnsi="Times New Roman"/>
          <w:noProof/>
          <w:color w:val="000000"/>
          <w:szCs w:val="24"/>
        </w:rPr>
        <w:t>(MEHTA; PATEL, 1983)</w:t>
      </w:r>
      <w:r w:rsidR="00443433">
        <w:rPr>
          <w:rFonts w:ascii="Times New Roman" w:hAnsi="Times New Roman"/>
          <w:color w:val="000000"/>
          <w:szCs w:val="24"/>
        </w:rPr>
        <w:fldChar w:fldCharType="end"/>
      </w:r>
      <w:r w:rsidR="007725FE">
        <w:rPr>
          <w:rFonts w:ascii="Times New Roman" w:hAnsi="Times New Roman"/>
          <w:color w:val="000000"/>
          <w:szCs w:val="24"/>
        </w:rPr>
        <w:t>.</w:t>
      </w:r>
      <w:r w:rsidR="007725FE" w:rsidRPr="007725FE">
        <w:rPr>
          <w:rFonts w:ascii="Times New Roman" w:hAnsi="Times New Roman"/>
          <w:color w:val="000000"/>
          <w:szCs w:val="24"/>
        </w:rPr>
        <w:t xml:space="preserve"> </w:t>
      </w:r>
      <w:r w:rsidR="0080434E">
        <w:rPr>
          <w:rFonts w:ascii="Times New Roman" w:hAnsi="Times New Roman"/>
          <w:color w:val="000000"/>
          <w:szCs w:val="24"/>
        </w:rPr>
        <w:t>Posteriormente, foram construída</w:t>
      </w:r>
      <w:r w:rsidRPr="004312A7">
        <w:rPr>
          <w:rFonts w:ascii="Times New Roman" w:hAnsi="Times New Roman"/>
          <w:color w:val="000000"/>
          <w:szCs w:val="24"/>
        </w:rPr>
        <w:t>s figuras de barras empilhadas para as variáveis que apresentaram significância estatística, visando demonstrar as associações entre as escolhas contábeis e as variáveis que caracterizam o perfil dos respondentes.</w:t>
      </w:r>
    </w:p>
    <w:p w:rsidR="0080434E" w:rsidRPr="000E5487" w:rsidRDefault="0080434E" w:rsidP="00B747D7">
      <w:pPr>
        <w:spacing w:after="0" w:line="240" w:lineRule="auto"/>
        <w:ind w:firstLine="709"/>
        <w:jc w:val="both"/>
        <w:rPr>
          <w:rFonts w:ascii="Times New Roman" w:hAnsi="Times New Roman"/>
          <w:color w:val="000000"/>
          <w:szCs w:val="24"/>
        </w:rPr>
      </w:pPr>
    </w:p>
    <w:p w:rsidR="00C64A63" w:rsidRPr="000E5487" w:rsidRDefault="004B4864" w:rsidP="0080434E">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4</w:t>
      </w:r>
      <w:r w:rsidR="00D33781" w:rsidRPr="000E5487">
        <w:rPr>
          <w:rFonts w:ascii="Times New Roman" w:eastAsia="Calibri" w:hAnsi="Times New Roman"/>
          <w:b/>
          <w:color w:val="000000"/>
          <w:szCs w:val="24"/>
          <w:lang w:eastAsia="en-US"/>
        </w:rPr>
        <w:t xml:space="preserve"> </w:t>
      </w:r>
      <w:r w:rsidR="000A1C89" w:rsidRPr="000E5487">
        <w:rPr>
          <w:rFonts w:ascii="Times New Roman" w:eastAsia="Calibri" w:hAnsi="Times New Roman"/>
          <w:b/>
          <w:color w:val="000000"/>
          <w:szCs w:val="24"/>
          <w:lang w:eastAsia="en-US"/>
        </w:rPr>
        <w:t>R</w:t>
      </w:r>
      <w:r w:rsidR="0080434E" w:rsidRPr="000E5487">
        <w:rPr>
          <w:rFonts w:ascii="Times New Roman" w:eastAsia="Calibri" w:hAnsi="Times New Roman"/>
          <w:b/>
          <w:color w:val="000000"/>
          <w:szCs w:val="24"/>
          <w:lang w:eastAsia="en-US"/>
        </w:rPr>
        <w:t>esultados</w:t>
      </w:r>
    </w:p>
    <w:p w:rsidR="00D33781" w:rsidRPr="000E5487" w:rsidRDefault="00D33781"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Inicialmente é apresentado o perfil dos respondentes e posteriormente são detalhadas as escolhas contábeis adotadas na </w:t>
      </w:r>
      <w:r w:rsidR="00AB4B3F" w:rsidRPr="000E5487">
        <w:rPr>
          <w:rFonts w:ascii="Times New Roman" w:eastAsia="Calibri" w:hAnsi="Times New Roman"/>
          <w:color w:val="000000"/>
          <w:szCs w:val="24"/>
          <w:lang w:eastAsia="en-US"/>
        </w:rPr>
        <w:t>mensuração de ativos biológicos e o teste de associação das variáveis d</w:t>
      </w:r>
      <w:r w:rsidR="00945D1C" w:rsidRPr="000E5487">
        <w:rPr>
          <w:rFonts w:ascii="Times New Roman" w:eastAsia="Calibri" w:hAnsi="Times New Roman"/>
          <w:color w:val="000000"/>
          <w:szCs w:val="24"/>
          <w:lang w:eastAsia="en-US"/>
        </w:rPr>
        <w:t>o</w:t>
      </w:r>
      <w:r w:rsidR="00AB4B3F" w:rsidRPr="000E5487">
        <w:rPr>
          <w:rFonts w:ascii="Times New Roman" w:eastAsia="Calibri" w:hAnsi="Times New Roman"/>
          <w:color w:val="000000"/>
          <w:szCs w:val="24"/>
          <w:lang w:eastAsia="en-US"/>
        </w:rPr>
        <w:t xml:space="preserve"> perfil </w:t>
      </w:r>
      <w:r w:rsidR="00945D1C" w:rsidRPr="000E5487">
        <w:rPr>
          <w:rFonts w:ascii="Times New Roman" w:eastAsia="Calibri" w:hAnsi="Times New Roman"/>
          <w:color w:val="000000"/>
          <w:szCs w:val="24"/>
          <w:lang w:eastAsia="en-US"/>
        </w:rPr>
        <w:t xml:space="preserve">dos </w:t>
      </w:r>
      <w:r w:rsidR="00503862">
        <w:rPr>
          <w:rFonts w:ascii="Times New Roman" w:eastAsia="Calibri" w:hAnsi="Times New Roman"/>
          <w:color w:val="000000"/>
          <w:szCs w:val="24"/>
          <w:lang w:eastAsia="en-US"/>
        </w:rPr>
        <w:t>profissionais</w:t>
      </w:r>
      <w:r w:rsidR="00945D1C" w:rsidRPr="000E5487">
        <w:rPr>
          <w:rFonts w:ascii="Times New Roman" w:eastAsia="Calibri" w:hAnsi="Times New Roman"/>
          <w:color w:val="000000"/>
          <w:szCs w:val="24"/>
          <w:lang w:eastAsia="en-US"/>
        </w:rPr>
        <w:t xml:space="preserve"> </w:t>
      </w:r>
      <w:r w:rsidR="00AB4B3F" w:rsidRPr="000E5487">
        <w:rPr>
          <w:rFonts w:ascii="Times New Roman" w:eastAsia="Calibri" w:hAnsi="Times New Roman"/>
          <w:color w:val="000000"/>
          <w:szCs w:val="24"/>
          <w:lang w:eastAsia="en-US"/>
        </w:rPr>
        <w:t xml:space="preserve">com as </w:t>
      </w:r>
      <w:r w:rsidR="0076661E" w:rsidRPr="000E5487">
        <w:rPr>
          <w:rFonts w:ascii="Times New Roman" w:eastAsia="Calibri" w:hAnsi="Times New Roman"/>
          <w:color w:val="000000"/>
          <w:szCs w:val="24"/>
          <w:lang w:eastAsia="en-US"/>
        </w:rPr>
        <w:t xml:space="preserve">suas respectivas </w:t>
      </w:r>
      <w:r w:rsidR="00AB4B3F" w:rsidRPr="000E5487">
        <w:rPr>
          <w:rFonts w:ascii="Times New Roman" w:eastAsia="Calibri" w:hAnsi="Times New Roman"/>
          <w:color w:val="000000"/>
          <w:szCs w:val="24"/>
          <w:lang w:eastAsia="en-US"/>
        </w:rPr>
        <w:t xml:space="preserve">escolhas contábeis.  </w:t>
      </w:r>
    </w:p>
    <w:p w:rsidR="0080434E" w:rsidRDefault="0080434E" w:rsidP="00B747D7">
      <w:pPr>
        <w:spacing w:after="0" w:line="240" w:lineRule="auto"/>
        <w:ind w:firstLine="709"/>
        <w:jc w:val="both"/>
        <w:rPr>
          <w:rFonts w:ascii="Times New Roman" w:eastAsia="Calibri" w:hAnsi="Times New Roman"/>
          <w:b/>
          <w:color w:val="000000"/>
          <w:szCs w:val="24"/>
          <w:lang w:eastAsia="en-US"/>
        </w:rPr>
      </w:pPr>
    </w:p>
    <w:p w:rsidR="00D33781" w:rsidRPr="000E5487" w:rsidRDefault="00391CB2" w:rsidP="0080434E">
      <w:pPr>
        <w:spacing w:after="120" w:line="240" w:lineRule="auto"/>
        <w:jc w:val="both"/>
        <w:rPr>
          <w:rFonts w:ascii="Times New Roman" w:eastAsia="Calibri" w:hAnsi="Times New Roman"/>
          <w:b/>
          <w:color w:val="000000"/>
          <w:szCs w:val="24"/>
          <w:lang w:eastAsia="en-US"/>
        </w:rPr>
      </w:pPr>
      <w:r w:rsidRPr="000E5487">
        <w:rPr>
          <w:rFonts w:ascii="Times New Roman" w:eastAsia="Calibri" w:hAnsi="Times New Roman"/>
          <w:b/>
          <w:color w:val="000000"/>
          <w:szCs w:val="24"/>
          <w:lang w:eastAsia="en-US"/>
        </w:rPr>
        <w:t>4</w:t>
      </w:r>
      <w:r w:rsidR="00024595" w:rsidRPr="000E5487">
        <w:rPr>
          <w:rFonts w:ascii="Times New Roman" w:eastAsia="Calibri" w:hAnsi="Times New Roman"/>
          <w:b/>
          <w:color w:val="000000"/>
          <w:szCs w:val="24"/>
          <w:lang w:eastAsia="en-US"/>
        </w:rPr>
        <w:t>.1 Perfil dos Profissionais Contábeis do Setor Sucroenergético</w:t>
      </w:r>
    </w:p>
    <w:p w:rsidR="00D33781" w:rsidRDefault="001166EF"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Foram levantadas variáveis de perfil </w:t>
      </w:r>
      <w:r w:rsidR="00AF2617" w:rsidRPr="000E5487">
        <w:rPr>
          <w:rFonts w:ascii="Times New Roman" w:eastAsia="Calibri" w:hAnsi="Times New Roman"/>
          <w:color w:val="000000"/>
          <w:szCs w:val="24"/>
          <w:lang w:eastAsia="en-US"/>
        </w:rPr>
        <w:t>dos respondentes</w:t>
      </w:r>
      <w:r w:rsidR="008C0E84" w:rsidRPr="000E5487">
        <w:rPr>
          <w:rFonts w:ascii="Times New Roman" w:eastAsia="Calibri" w:hAnsi="Times New Roman"/>
          <w:color w:val="000000"/>
          <w:szCs w:val="24"/>
          <w:lang w:eastAsia="en-US"/>
        </w:rPr>
        <w:t xml:space="preserve">, tais como </w:t>
      </w:r>
      <w:r w:rsidR="00503862">
        <w:rPr>
          <w:rFonts w:ascii="Times New Roman" w:eastAsia="Calibri" w:hAnsi="Times New Roman"/>
          <w:color w:val="000000"/>
          <w:szCs w:val="24"/>
          <w:lang w:eastAsia="en-US"/>
        </w:rPr>
        <w:t xml:space="preserve">gênero, faixa etária, localização, </w:t>
      </w:r>
      <w:r w:rsidR="004C0828">
        <w:rPr>
          <w:rFonts w:ascii="Times New Roman" w:eastAsia="Calibri" w:hAnsi="Times New Roman"/>
          <w:color w:val="000000"/>
          <w:szCs w:val="24"/>
          <w:lang w:eastAsia="en-US"/>
        </w:rPr>
        <w:t xml:space="preserve">nível de qualificação, </w:t>
      </w:r>
      <w:r w:rsidRPr="000E5487">
        <w:rPr>
          <w:rFonts w:ascii="Times New Roman" w:eastAsia="Calibri" w:hAnsi="Times New Roman"/>
          <w:color w:val="000000"/>
          <w:szCs w:val="24"/>
          <w:lang w:eastAsia="en-US"/>
        </w:rPr>
        <w:t>tempo de experiência na área contábil</w:t>
      </w:r>
      <w:r w:rsidR="00CD703A" w:rsidRPr="000E5487">
        <w:rPr>
          <w:rFonts w:ascii="Times New Roman" w:eastAsia="Calibri" w:hAnsi="Times New Roman"/>
          <w:color w:val="000000"/>
          <w:szCs w:val="24"/>
          <w:lang w:eastAsia="en-US"/>
        </w:rPr>
        <w:t xml:space="preserve"> e</w:t>
      </w:r>
      <w:r w:rsidRPr="000E5487">
        <w:rPr>
          <w:rFonts w:ascii="Times New Roman" w:eastAsia="Calibri" w:hAnsi="Times New Roman"/>
          <w:color w:val="000000"/>
          <w:szCs w:val="24"/>
          <w:lang w:eastAsia="en-US"/>
        </w:rPr>
        <w:t xml:space="preserve"> </w:t>
      </w:r>
      <w:r w:rsidR="004C0828">
        <w:rPr>
          <w:rFonts w:ascii="Times New Roman" w:eastAsia="Calibri" w:hAnsi="Times New Roman"/>
          <w:color w:val="000000"/>
          <w:szCs w:val="24"/>
          <w:lang w:eastAsia="en-US"/>
        </w:rPr>
        <w:t xml:space="preserve">tempo de experiência </w:t>
      </w:r>
      <w:r w:rsidRPr="000E5487">
        <w:rPr>
          <w:rFonts w:ascii="Times New Roman" w:eastAsia="Calibri" w:hAnsi="Times New Roman"/>
          <w:color w:val="000000"/>
          <w:szCs w:val="24"/>
          <w:lang w:eastAsia="en-US"/>
        </w:rPr>
        <w:t xml:space="preserve">na </w:t>
      </w:r>
      <w:r w:rsidR="004C0828">
        <w:rPr>
          <w:rFonts w:ascii="Times New Roman" w:eastAsia="Calibri" w:hAnsi="Times New Roman"/>
          <w:color w:val="000000"/>
          <w:szCs w:val="24"/>
          <w:lang w:eastAsia="en-US"/>
        </w:rPr>
        <w:t>mensuração de ativos biológicos</w:t>
      </w:r>
      <w:r w:rsidRPr="000E5487">
        <w:rPr>
          <w:rFonts w:ascii="Times New Roman" w:eastAsia="Calibri" w:hAnsi="Times New Roman"/>
          <w:color w:val="000000"/>
          <w:szCs w:val="24"/>
          <w:lang w:eastAsia="en-US"/>
        </w:rPr>
        <w:t>. O</w:t>
      </w:r>
      <w:r w:rsidR="001E2B29" w:rsidRPr="000E5487">
        <w:rPr>
          <w:rFonts w:ascii="Times New Roman" w:eastAsia="Calibri" w:hAnsi="Times New Roman"/>
          <w:color w:val="000000"/>
          <w:szCs w:val="24"/>
          <w:lang w:eastAsia="en-US"/>
        </w:rPr>
        <w:t>s result</w:t>
      </w:r>
      <w:r w:rsidR="00660841" w:rsidRPr="000E5487">
        <w:rPr>
          <w:rFonts w:ascii="Times New Roman" w:eastAsia="Calibri" w:hAnsi="Times New Roman"/>
          <w:color w:val="000000"/>
          <w:szCs w:val="24"/>
          <w:lang w:eastAsia="en-US"/>
        </w:rPr>
        <w:t xml:space="preserve">ados são apresentados </w:t>
      </w:r>
      <w:r w:rsidR="00024595" w:rsidRPr="000E5487">
        <w:rPr>
          <w:rFonts w:ascii="Times New Roman" w:eastAsia="Calibri" w:hAnsi="Times New Roman"/>
          <w:color w:val="000000"/>
          <w:szCs w:val="24"/>
          <w:lang w:eastAsia="en-US"/>
        </w:rPr>
        <w:t>na</w:t>
      </w:r>
      <w:r w:rsidR="000722E6" w:rsidRPr="000E5487">
        <w:rPr>
          <w:rFonts w:ascii="Times New Roman" w:eastAsia="Calibri" w:hAnsi="Times New Roman"/>
          <w:color w:val="000000"/>
          <w:szCs w:val="24"/>
          <w:lang w:eastAsia="en-US"/>
        </w:rPr>
        <w:t xml:space="preserve"> </w:t>
      </w:r>
      <w:r w:rsidR="004C26CE">
        <w:rPr>
          <w:rFonts w:ascii="Times New Roman" w:eastAsia="Calibri" w:hAnsi="Times New Roman"/>
          <w:color w:val="000000"/>
          <w:szCs w:val="24"/>
          <w:lang w:eastAsia="en-US"/>
        </w:rPr>
        <w:t>Tabela</w:t>
      </w:r>
      <w:r w:rsidR="000722E6" w:rsidRPr="000E5487">
        <w:rPr>
          <w:rFonts w:ascii="Times New Roman" w:eastAsia="Calibri" w:hAnsi="Times New Roman"/>
          <w:color w:val="000000"/>
          <w:szCs w:val="24"/>
          <w:lang w:eastAsia="en-US"/>
        </w:rPr>
        <w:t xml:space="preserve"> 1.</w:t>
      </w:r>
    </w:p>
    <w:p w:rsidR="004C26CE" w:rsidRDefault="004C26CE" w:rsidP="004C26CE">
      <w:pPr>
        <w:spacing w:after="0" w:line="240" w:lineRule="auto"/>
        <w:jc w:val="both"/>
        <w:rPr>
          <w:rFonts w:ascii="Times New Roman" w:eastAsia="Calibri" w:hAnsi="Times New Roman"/>
          <w:color w:val="000000"/>
          <w:szCs w:val="24"/>
          <w:lang w:eastAsia="en-US"/>
        </w:rPr>
      </w:pPr>
    </w:p>
    <w:p w:rsidR="004C26CE" w:rsidRPr="00BD39F7" w:rsidRDefault="004C26CE" w:rsidP="00BD39F7">
      <w:pPr>
        <w:spacing w:after="0" w:line="240" w:lineRule="auto"/>
        <w:jc w:val="center"/>
        <w:rPr>
          <w:rFonts w:ascii="Times New Roman" w:eastAsia="Calibri" w:hAnsi="Times New Roman"/>
          <w:color w:val="000000"/>
          <w:sz w:val="20"/>
          <w:szCs w:val="24"/>
          <w:lang w:eastAsia="en-US"/>
        </w:rPr>
      </w:pPr>
      <w:r w:rsidRPr="00BD39F7">
        <w:rPr>
          <w:rFonts w:ascii="Times New Roman" w:eastAsia="Calibri" w:hAnsi="Times New Roman"/>
          <w:color w:val="000000"/>
          <w:sz w:val="20"/>
          <w:szCs w:val="24"/>
          <w:lang w:eastAsia="en-US"/>
        </w:rPr>
        <w:t>Tabela 1 - Perfil dos respondentes</w:t>
      </w:r>
    </w:p>
    <w:tbl>
      <w:tblPr>
        <w:tblW w:w="5000" w:type="pct"/>
        <w:tblLayout w:type="fixed"/>
        <w:tblCellMar>
          <w:left w:w="70" w:type="dxa"/>
          <w:right w:w="70" w:type="dxa"/>
        </w:tblCellMar>
        <w:tblLook w:val="04A0" w:firstRow="1" w:lastRow="0" w:firstColumn="1" w:lastColumn="0" w:noHBand="0" w:noVBand="1"/>
      </w:tblPr>
      <w:tblGrid>
        <w:gridCol w:w="1844"/>
        <w:gridCol w:w="1275"/>
        <w:gridCol w:w="1119"/>
        <w:gridCol w:w="2400"/>
        <w:gridCol w:w="1250"/>
        <w:gridCol w:w="1183"/>
      </w:tblGrid>
      <w:tr w:rsidR="004937EF" w:rsidRPr="004937EF" w:rsidTr="004937EF">
        <w:trPr>
          <w:trHeight w:val="510"/>
        </w:trPr>
        <w:tc>
          <w:tcPr>
            <w:tcW w:w="1016" w:type="pct"/>
            <w:tcBorders>
              <w:top w:val="single" w:sz="4" w:space="0" w:color="auto"/>
              <w:left w:val="nil"/>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Característica</w:t>
            </w:r>
          </w:p>
        </w:tc>
        <w:tc>
          <w:tcPr>
            <w:tcW w:w="703" w:type="pct"/>
            <w:tcBorders>
              <w:top w:val="single" w:sz="4" w:space="0" w:color="auto"/>
              <w:left w:val="nil"/>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Frequência absoluta</w:t>
            </w:r>
          </w:p>
        </w:tc>
        <w:tc>
          <w:tcPr>
            <w:tcW w:w="617" w:type="pct"/>
            <w:tcBorders>
              <w:top w:val="single" w:sz="4" w:space="0" w:color="auto"/>
              <w:left w:val="nil"/>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Frequência relativa</w:t>
            </w:r>
          </w:p>
        </w:tc>
        <w:tc>
          <w:tcPr>
            <w:tcW w:w="1323" w:type="pct"/>
            <w:tcBorders>
              <w:top w:val="single" w:sz="4" w:space="0" w:color="auto"/>
              <w:left w:val="single" w:sz="4" w:space="0" w:color="auto"/>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Característica</w:t>
            </w:r>
          </w:p>
        </w:tc>
        <w:tc>
          <w:tcPr>
            <w:tcW w:w="689" w:type="pct"/>
            <w:tcBorders>
              <w:top w:val="single" w:sz="4" w:space="0" w:color="auto"/>
              <w:left w:val="nil"/>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Frequência absoluta</w:t>
            </w:r>
          </w:p>
        </w:tc>
        <w:tc>
          <w:tcPr>
            <w:tcW w:w="652" w:type="pct"/>
            <w:tcBorders>
              <w:top w:val="single" w:sz="4" w:space="0" w:color="auto"/>
              <w:left w:val="nil"/>
              <w:bottom w:val="single" w:sz="4" w:space="0" w:color="auto"/>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Frequência relativa</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Gênero</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cs="Arial"/>
                <w:color w:val="000000"/>
                <w:sz w:val="20"/>
                <w:szCs w:val="20"/>
              </w:rPr>
            </w:pPr>
            <w:r w:rsidRPr="004937EF">
              <w:rPr>
                <w:rFonts w:cs="Arial"/>
                <w:color w:val="000000"/>
                <w:sz w:val="20"/>
                <w:szCs w:val="20"/>
              </w:rPr>
              <w:t> </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cs="Arial"/>
                <w:color w:val="000000"/>
                <w:sz w:val="20"/>
                <w:szCs w:val="20"/>
              </w:rPr>
            </w:pPr>
            <w:r w:rsidRPr="004937EF">
              <w:rPr>
                <w:rFonts w:cs="Arial"/>
                <w:color w:val="000000"/>
                <w:sz w:val="20"/>
                <w:szCs w:val="20"/>
              </w:rPr>
              <w:t> </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Nível de qualificação</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 </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 </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Masculino</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26</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81,25%</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Graduação</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6</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18,75%</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Feminino</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6</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18,75%</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Especialização/MBA</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18</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56,25%</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Mestrado</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5</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15,63%</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cs="Arial"/>
                <w:color w:val="000000"/>
                <w:sz w:val="20"/>
                <w:szCs w:val="20"/>
              </w:rPr>
            </w:pPr>
            <w:r w:rsidRPr="004937EF">
              <w:rPr>
                <w:rFonts w:cs="Arial"/>
                <w:color w:val="000000"/>
                <w:sz w:val="20"/>
                <w:szCs w:val="20"/>
              </w:rPr>
              <w:t> </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cs="Arial"/>
                <w:color w:val="000000"/>
                <w:sz w:val="20"/>
                <w:szCs w:val="20"/>
              </w:rPr>
            </w:pPr>
            <w:r w:rsidRPr="004937EF">
              <w:rPr>
                <w:rFonts w:cs="Arial"/>
                <w:color w:val="000000"/>
                <w:sz w:val="20"/>
                <w:szCs w:val="20"/>
              </w:rPr>
              <w:t> </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cs="Arial"/>
                <w:color w:val="000000"/>
                <w:sz w:val="20"/>
                <w:szCs w:val="20"/>
              </w:rPr>
            </w:pPr>
            <w:r w:rsidRPr="004937EF">
              <w:rPr>
                <w:rFonts w:cs="Arial"/>
                <w:color w:val="000000"/>
                <w:sz w:val="20"/>
                <w:szCs w:val="20"/>
              </w:rPr>
              <w:t> </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Doutorado</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9,38%</w:t>
            </w:r>
          </w:p>
        </w:tc>
      </w:tr>
      <w:tr w:rsidR="004937EF" w:rsidRPr="004937EF" w:rsidTr="004937EF">
        <w:trPr>
          <w:trHeight w:val="300"/>
        </w:trPr>
        <w:tc>
          <w:tcPr>
            <w:tcW w:w="1016"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Faixa etária</w:t>
            </w:r>
          </w:p>
        </w:tc>
        <w:tc>
          <w:tcPr>
            <w:tcW w:w="703"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b/>
                <w:bCs/>
                <w:color w:val="000000"/>
                <w:sz w:val="20"/>
                <w:szCs w:val="20"/>
              </w:rPr>
            </w:pPr>
          </w:p>
        </w:tc>
        <w:tc>
          <w:tcPr>
            <w:tcW w:w="617"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sz w:val="20"/>
                <w:szCs w:val="20"/>
              </w:rPr>
            </w:pP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r>
      <w:tr w:rsidR="004937EF" w:rsidRPr="004937EF" w:rsidTr="004937EF">
        <w:trPr>
          <w:trHeight w:val="300"/>
        </w:trPr>
        <w:tc>
          <w:tcPr>
            <w:tcW w:w="1016"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Até 30 anos</w:t>
            </w:r>
          </w:p>
        </w:tc>
        <w:tc>
          <w:tcPr>
            <w:tcW w:w="703"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7</w:t>
            </w:r>
          </w:p>
        </w:tc>
        <w:tc>
          <w:tcPr>
            <w:tcW w:w="617"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21,88%</w:t>
            </w:r>
          </w:p>
        </w:tc>
        <w:tc>
          <w:tcPr>
            <w:tcW w:w="1323" w:type="pct"/>
            <w:tcBorders>
              <w:top w:val="nil"/>
              <w:left w:val="single" w:sz="4" w:space="0" w:color="auto"/>
              <w:bottom w:val="nil"/>
              <w:right w:val="nil"/>
            </w:tcBorders>
            <w:shd w:val="clear" w:color="000000" w:fill="F2F2F2"/>
            <w:noWrap/>
            <w:vAlign w:val="center"/>
            <w:hideMark/>
          </w:tcPr>
          <w:p w:rsidR="004937EF" w:rsidRPr="004937EF" w:rsidRDefault="004937EF" w:rsidP="004C26CE">
            <w:pPr>
              <w:spacing w:after="0" w:line="240" w:lineRule="auto"/>
              <w:rPr>
                <w:rFonts w:ascii="Calibri" w:hAnsi="Calibri"/>
                <w:color w:val="000000"/>
                <w:sz w:val="22"/>
              </w:rPr>
            </w:pPr>
            <w:r w:rsidRPr="004937EF">
              <w:rPr>
                <w:rFonts w:ascii="Calibri" w:hAnsi="Calibri"/>
                <w:color w:val="000000"/>
                <w:sz w:val="22"/>
              </w:rPr>
              <w:t> </w:t>
            </w:r>
          </w:p>
        </w:tc>
        <w:tc>
          <w:tcPr>
            <w:tcW w:w="689"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Calibri" w:hAnsi="Calibri"/>
                <w:color w:val="000000"/>
                <w:sz w:val="22"/>
              </w:rPr>
            </w:pPr>
            <w:r w:rsidRPr="004937EF">
              <w:rPr>
                <w:rFonts w:ascii="Calibri" w:hAnsi="Calibri"/>
                <w:color w:val="000000"/>
                <w:sz w:val="22"/>
              </w:rPr>
              <w:t> </w:t>
            </w:r>
          </w:p>
        </w:tc>
        <w:tc>
          <w:tcPr>
            <w:tcW w:w="652"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Calibri" w:hAnsi="Calibri"/>
                <w:color w:val="000000"/>
                <w:sz w:val="22"/>
              </w:rPr>
            </w:pPr>
            <w:r w:rsidRPr="004937EF">
              <w:rPr>
                <w:rFonts w:ascii="Calibri" w:hAnsi="Calibri"/>
                <w:color w:val="000000"/>
                <w:sz w:val="22"/>
              </w:rPr>
              <w:t> </w:t>
            </w:r>
          </w:p>
        </w:tc>
      </w:tr>
      <w:tr w:rsidR="004937EF" w:rsidRPr="004937EF" w:rsidTr="004937EF">
        <w:trPr>
          <w:trHeight w:val="300"/>
        </w:trPr>
        <w:tc>
          <w:tcPr>
            <w:tcW w:w="1016"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31 e 40 anos</w:t>
            </w:r>
          </w:p>
        </w:tc>
        <w:tc>
          <w:tcPr>
            <w:tcW w:w="703"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12</w:t>
            </w:r>
          </w:p>
        </w:tc>
        <w:tc>
          <w:tcPr>
            <w:tcW w:w="617"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37,50%</w:t>
            </w:r>
          </w:p>
        </w:tc>
        <w:tc>
          <w:tcPr>
            <w:tcW w:w="2012" w:type="pct"/>
            <w:gridSpan w:val="2"/>
            <w:tcBorders>
              <w:top w:val="nil"/>
              <w:left w:val="single" w:sz="4" w:space="0" w:color="auto"/>
              <w:bottom w:val="nil"/>
              <w:right w:val="nil"/>
            </w:tcBorders>
            <w:shd w:val="clear" w:color="auto" w:fill="auto"/>
            <w:noWrap/>
            <w:vAlign w:val="center"/>
            <w:hideMark/>
          </w:tcPr>
          <w:p w:rsidR="004937EF" w:rsidRPr="004937EF" w:rsidRDefault="004937EF" w:rsidP="004C0828">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 xml:space="preserve">Tempo de </w:t>
            </w:r>
            <w:r w:rsidR="004C0828">
              <w:rPr>
                <w:rFonts w:ascii="Times New Roman" w:hAnsi="Times New Roman"/>
                <w:b/>
                <w:bCs/>
                <w:color w:val="000000"/>
                <w:sz w:val="20"/>
                <w:szCs w:val="20"/>
              </w:rPr>
              <w:t>Experiência</w:t>
            </w:r>
            <w:r w:rsidRPr="004937EF">
              <w:rPr>
                <w:rFonts w:ascii="Times New Roman" w:hAnsi="Times New Roman"/>
                <w:b/>
                <w:bCs/>
                <w:color w:val="000000"/>
                <w:sz w:val="20"/>
                <w:szCs w:val="20"/>
              </w:rPr>
              <w:t xml:space="preserve"> Profissional</w:t>
            </w:r>
          </w:p>
        </w:tc>
        <w:tc>
          <w:tcPr>
            <w:tcW w:w="652"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b/>
                <w:bCs/>
                <w:color w:val="000000"/>
                <w:sz w:val="20"/>
                <w:szCs w:val="20"/>
              </w:rPr>
            </w:pPr>
          </w:p>
        </w:tc>
      </w:tr>
      <w:tr w:rsidR="004937EF" w:rsidRPr="004937EF" w:rsidTr="004937EF">
        <w:trPr>
          <w:trHeight w:val="300"/>
        </w:trPr>
        <w:tc>
          <w:tcPr>
            <w:tcW w:w="1016"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41 e 50 anos</w:t>
            </w:r>
          </w:p>
        </w:tc>
        <w:tc>
          <w:tcPr>
            <w:tcW w:w="703"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9</w:t>
            </w:r>
          </w:p>
        </w:tc>
        <w:tc>
          <w:tcPr>
            <w:tcW w:w="617"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28,13%</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Até 5 anos</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3,13%</w:t>
            </w:r>
          </w:p>
        </w:tc>
      </w:tr>
      <w:tr w:rsidR="004937EF" w:rsidRPr="004937EF" w:rsidTr="004937EF">
        <w:trPr>
          <w:trHeight w:val="300"/>
        </w:trPr>
        <w:tc>
          <w:tcPr>
            <w:tcW w:w="1016"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Acima de 50 anos</w:t>
            </w:r>
          </w:p>
        </w:tc>
        <w:tc>
          <w:tcPr>
            <w:tcW w:w="703"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4</w:t>
            </w:r>
          </w:p>
        </w:tc>
        <w:tc>
          <w:tcPr>
            <w:tcW w:w="617"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12,50%</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6 e 10 anos</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14</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43,75%</w:t>
            </w:r>
          </w:p>
        </w:tc>
      </w:tr>
      <w:tr w:rsidR="004937EF" w:rsidRPr="004937EF" w:rsidTr="004937EF">
        <w:trPr>
          <w:trHeight w:val="300"/>
        </w:trPr>
        <w:tc>
          <w:tcPr>
            <w:tcW w:w="1016"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703"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17"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11 e 15 anos</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6</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18,75%</w:t>
            </w:r>
          </w:p>
        </w:tc>
      </w:tr>
      <w:tr w:rsidR="004937EF" w:rsidRPr="004937EF" w:rsidTr="004937EF">
        <w:trPr>
          <w:trHeight w:val="300"/>
        </w:trPr>
        <w:tc>
          <w:tcPr>
            <w:tcW w:w="1016"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color w:val="000000"/>
                <w:sz w:val="20"/>
                <w:szCs w:val="20"/>
              </w:rPr>
            </w:pPr>
          </w:p>
        </w:tc>
        <w:tc>
          <w:tcPr>
            <w:tcW w:w="703"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rPr>
                <w:rFonts w:ascii="Times New Roman" w:hAnsi="Times New Roman"/>
                <w:sz w:val="20"/>
                <w:szCs w:val="20"/>
              </w:rPr>
            </w:pPr>
          </w:p>
        </w:tc>
        <w:tc>
          <w:tcPr>
            <w:tcW w:w="617" w:type="pct"/>
            <w:tcBorders>
              <w:top w:val="nil"/>
              <w:left w:val="nil"/>
              <w:bottom w:val="nil"/>
              <w:right w:val="nil"/>
            </w:tcBorders>
            <w:shd w:val="clear" w:color="auto" w:fill="auto"/>
            <w:noWrap/>
            <w:vAlign w:val="center"/>
            <w:hideMark/>
          </w:tcPr>
          <w:p w:rsidR="004937EF" w:rsidRPr="004937EF" w:rsidRDefault="004937EF" w:rsidP="004C26CE">
            <w:pPr>
              <w:spacing w:after="0" w:line="240" w:lineRule="auto"/>
              <w:jc w:val="center"/>
              <w:rPr>
                <w:rFonts w:ascii="Times New Roman" w:hAnsi="Times New Roman"/>
                <w:sz w:val="20"/>
                <w:szCs w:val="20"/>
              </w:rPr>
            </w:pP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16 e 20 anos</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9,38%</w:t>
            </w:r>
          </w:p>
        </w:tc>
      </w:tr>
      <w:tr w:rsidR="004937EF" w:rsidRPr="004937EF" w:rsidTr="004937EF">
        <w:trPr>
          <w:trHeight w:val="300"/>
        </w:trPr>
        <w:tc>
          <w:tcPr>
            <w:tcW w:w="2336" w:type="pct"/>
            <w:gridSpan w:val="3"/>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Unidade da Federação</w:t>
            </w:r>
            <w:r w:rsidRPr="004937EF">
              <w:rPr>
                <w:rFonts w:ascii="Times New Roman" w:hAnsi="Times New Roman"/>
                <w:b/>
                <w:bCs/>
                <w:color w:val="000000"/>
                <w:sz w:val="20"/>
                <w:szCs w:val="20"/>
              </w:rPr>
              <w:t> </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Acima de 20 anos</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8</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25,00%</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Alagoas</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6,25%</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Mato Grosso</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3,13%</w:t>
            </w:r>
          </w:p>
        </w:tc>
        <w:tc>
          <w:tcPr>
            <w:tcW w:w="1323" w:type="pct"/>
            <w:tcBorders>
              <w:top w:val="nil"/>
              <w:left w:val="single" w:sz="4" w:space="0" w:color="auto"/>
              <w:bottom w:val="nil"/>
              <w:right w:val="nil"/>
            </w:tcBorders>
            <w:shd w:val="clear" w:color="000000" w:fill="F2F2F2"/>
            <w:noWrap/>
            <w:vAlign w:val="center"/>
            <w:hideMark/>
          </w:tcPr>
          <w:p w:rsidR="004937EF" w:rsidRPr="004937EF" w:rsidRDefault="004937EF" w:rsidP="004C26CE">
            <w:pPr>
              <w:spacing w:after="0" w:line="240" w:lineRule="auto"/>
              <w:rPr>
                <w:rFonts w:ascii="Calibri" w:hAnsi="Calibri"/>
                <w:color w:val="000000"/>
                <w:sz w:val="22"/>
              </w:rPr>
            </w:pPr>
            <w:r w:rsidRPr="004937EF">
              <w:rPr>
                <w:rFonts w:ascii="Calibri" w:hAnsi="Calibri"/>
                <w:color w:val="000000"/>
                <w:sz w:val="22"/>
              </w:rPr>
              <w:t> </w:t>
            </w:r>
          </w:p>
        </w:tc>
        <w:tc>
          <w:tcPr>
            <w:tcW w:w="689"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Calibri" w:hAnsi="Calibri"/>
                <w:color w:val="000000"/>
                <w:sz w:val="22"/>
              </w:rPr>
            </w:pPr>
            <w:r w:rsidRPr="004937EF">
              <w:rPr>
                <w:rFonts w:ascii="Calibri" w:hAnsi="Calibri"/>
                <w:color w:val="000000"/>
                <w:sz w:val="22"/>
              </w:rPr>
              <w:t> </w:t>
            </w:r>
          </w:p>
        </w:tc>
        <w:tc>
          <w:tcPr>
            <w:tcW w:w="652" w:type="pct"/>
            <w:tcBorders>
              <w:top w:val="nil"/>
              <w:left w:val="nil"/>
              <w:bottom w:val="nil"/>
              <w:right w:val="nil"/>
            </w:tcBorders>
            <w:shd w:val="clear" w:color="000000" w:fill="F2F2F2"/>
            <w:noWrap/>
            <w:vAlign w:val="center"/>
            <w:hideMark/>
          </w:tcPr>
          <w:p w:rsidR="004937EF" w:rsidRPr="004937EF" w:rsidRDefault="004937EF" w:rsidP="004C26CE">
            <w:pPr>
              <w:spacing w:after="0" w:line="240" w:lineRule="auto"/>
              <w:jc w:val="center"/>
              <w:rPr>
                <w:rFonts w:ascii="Calibri" w:hAnsi="Calibri"/>
                <w:color w:val="000000"/>
                <w:sz w:val="22"/>
              </w:rPr>
            </w:pPr>
            <w:r w:rsidRPr="004937EF">
              <w:rPr>
                <w:rFonts w:ascii="Calibri" w:hAnsi="Calibri"/>
                <w:color w:val="000000"/>
                <w:sz w:val="22"/>
              </w:rPr>
              <w:t> </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Mato Grosso do Sul</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5</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15,63%</w:t>
            </w:r>
          </w:p>
        </w:tc>
        <w:tc>
          <w:tcPr>
            <w:tcW w:w="2664" w:type="pct"/>
            <w:gridSpan w:val="3"/>
            <w:tcBorders>
              <w:top w:val="nil"/>
              <w:left w:val="single" w:sz="4" w:space="0" w:color="auto"/>
              <w:bottom w:val="nil"/>
              <w:right w:val="nil"/>
            </w:tcBorders>
            <w:shd w:val="clear" w:color="auto" w:fill="auto"/>
            <w:noWrap/>
            <w:vAlign w:val="center"/>
            <w:hideMark/>
          </w:tcPr>
          <w:p w:rsidR="004937EF" w:rsidRPr="004937EF" w:rsidRDefault="004C0828" w:rsidP="004C26CE">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Tempo de Experiência</w:t>
            </w:r>
            <w:r w:rsidR="004937EF" w:rsidRPr="004937EF">
              <w:rPr>
                <w:rFonts w:ascii="Times New Roman" w:hAnsi="Times New Roman"/>
                <w:b/>
                <w:bCs/>
                <w:color w:val="000000"/>
                <w:sz w:val="20"/>
                <w:szCs w:val="20"/>
              </w:rPr>
              <w:t xml:space="preserve"> na Mensuração de Ativos Biológicos</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Paraná</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10</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31,25%</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Até 2 anos</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9</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28,13%</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Pernambuco</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3,13%</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3 e 4 anos</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11</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34,38%</w:t>
            </w:r>
          </w:p>
        </w:tc>
      </w:tr>
      <w:tr w:rsidR="004937EF" w:rsidRPr="004937EF" w:rsidTr="004937EF">
        <w:trPr>
          <w:trHeight w:val="300"/>
        </w:trPr>
        <w:tc>
          <w:tcPr>
            <w:tcW w:w="1016"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São Paulo</w:t>
            </w:r>
          </w:p>
        </w:tc>
        <w:tc>
          <w:tcPr>
            <w:tcW w:w="703"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12</w:t>
            </w:r>
          </w:p>
        </w:tc>
        <w:tc>
          <w:tcPr>
            <w:tcW w:w="617"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37,50%</w:t>
            </w:r>
          </w:p>
        </w:tc>
        <w:tc>
          <w:tcPr>
            <w:tcW w:w="1323" w:type="pct"/>
            <w:tcBorders>
              <w:top w:val="nil"/>
              <w:left w:val="single" w:sz="4" w:space="0" w:color="auto"/>
              <w:bottom w:val="nil"/>
              <w:right w:val="nil"/>
            </w:tcBorders>
            <w:shd w:val="clear" w:color="000000" w:fill="F2F2F2"/>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Entre 5 e 7 anos</w:t>
            </w:r>
          </w:p>
        </w:tc>
        <w:tc>
          <w:tcPr>
            <w:tcW w:w="689"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10</w:t>
            </w:r>
          </w:p>
        </w:tc>
        <w:tc>
          <w:tcPr>
            <w:tcW w:w="652" w:type="pct"/>
            <w:tcBorders>
              <w:top w:val="nil"/>
              <w:left w:val="nil"/>
              <w:bottom w:val="nil"/>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31,25%</w:t>
            </w:r>
          </w:p>
        </w:tc>
      </w:tr>
      <w:tr w:rsidR="004937EF" w:rsidRPr="004937EF" w:rsidTr="004937EF">
        <w:trPr>
          <w:trHeight w:val="300"/>
        </w:trPr>
        <w:tc>
          <w:tcPr>
            <w:tcW w:w="1016" w:type="pct"/>
            <w:tcBorders>
              <w:top w:val="nil"/>
              <w:left w:val="nil"/>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Tocantins</w:t>
            </w:r>
          </w:p>
        </w:tc>
        <w:tc>
          <w:tcPr>
            <w:tcW w:w="703"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1</w:t>
            </w:r>
          </w:p>
        </w:tc>
        <w:tc>
          <w:tcPr>
            <w:tcW w:w="617"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3,13%</w:t>
            </w:r>
          </w:p>
        </w:tc>
        <w:tc>
          <w:tcPr>
            <w:tcW w:w="1323" w:type="pct"/>
            <w:tcBorders>
              <w:top w:val="nil"/>
              <w:left w:val="single" w:sz="4" w:space="0" w:color="auto"/>
              <w:bottom w:val="nil"/>
              <w:right w:val="nil"/>
            </w:tcBorders>
            <w:shd w:val="clear" w:color="auto" w:fill="auto"/>
            <w:vAlign w:val="center"/>
            <w:hideMark/>
          </w:tcPr>
          <w:p w:rsidR="004937EF" w:rsidRPr="004937EF" w:rsidRDefault="004937EF" w:rsidP="004C26CE">
            <w:pPr>
              <w:spacing w:after="0" w:line="240" w:lineRule="auto"/>
              <w:rPr>
                <w:rFonts w:ascii="Times New Roman" w:hAnsi="Times New Roman"/>
                <w:color w:val="000000"/>
                <w:sz w:val="20"/>
                <w:szCs w:val="20"/>
              </w:rPr>
            </w:pPr>
            <w:r w:rsidRPr="004937EF">
              <w:rPr>
                <w:rFonts w:ascii="Times New Roman" w:hAnsi="Times New Roman"/>
                <w:color w:val="000000"/>
                <w:sz w:val="20"/>
                <w:szCs w:val="20"/>
              </w:rPr>
              <w:t>Acima de 7 anos</w:t>
            </w:r>
          </w:p>
        </w:tc>
        <w:tc>
          <w:tcPr>
            <w:tcW w:w="689"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2</w:t>
            </w:r>
          </w:p>
        </w:tc>
        <w:tc>
          <w:tcPr>
            <w:tcW w:w="652" w:type="pct"/>
            <w:tcBorders>
              <w:top w:val="nil"/>
              <w:left w:val="nil"/>
              <w:bottom w:val="nil"/>
              <w:right w:val="nil"/>
            </w:tcBorders>
            <w:shd w:val="clear" w:color="auto" w:fill="auto"/>
            <w:vAlign w:val="center"/>
            <w:hideMark/>
          </w:tcPr>
          <w:p w:rsidR="004937EF" w:rsidRPr="004937EF" w:rsidRDefault="004937EF" w:rsidP="004C26CE">
            <w:pPr>
              <w:spacing w:after="0" w:line="240" w:lineRule="auto"/>
              <w:jc w:val="center"/>
              <w:rPr>
                <w:rFonts w:ascii="Times New Roman" w:hAnsi="Times New Roman"/>
                <w:color w:val="000000"/>
                <w:sz w:val="20"/>
                <w:szCs w:val="20"/>
              </w:rPr>
            </w:pPr>
            <w:r w:rsidRPr="004937EF">
              <w:rPr>
                <w:rFonts w:ascii="Times New Roman" w:hAnsi="Times New Roman"/>
                <w:color w:val="000000"/>
                <w:sz w:val="20"/>
                <w:szCs w:val="20"/>
              </w:rPr>
              <w:t>6,25%</w:t>
            </w:r>
          </w:p>
        </w:tc>
      </w:tr>
      <w:tr w:rsidR="004937EF" w:rsidRPr="004937EF" w:rsidTr="004937EF">
        <w:trPr>
          <w:trHeight w:val="300"/>
        </w:trPr>
        <w:tc>
          <w:tcPr>
            <w:tcW w:w="1016" w:type="pct"/>
            <w:tcBorders>
              <w:top w:val="nil"/>
              <w:left w:val="nil"/>
              <w:bottom w:val="single" w:sz="4" w:space="0" w:color="auto"/>
              <w:right w:val="nil"/>
            </w:tcBorders>
            <w:shd w:val="clear" w:color="000000" w:fill="F2F2F2"/>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703" w:type="pct"/>
            <w:tcBorders>
              <w:top w:val="nil"/>
              <w:left w:val="nil"/>
              <w:bottom w:val="single" w:sz="4" w:space="0" w:color="auto"/>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17" w:type="pct"/>
            <w:tcBorders>
              <w:top w:val="nil"/>
              <w:left w:val="nil"/>
              <w:bottom w:val="single" w:sz="4" w:space="0" w:color="auto"/>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c>
          <w:tcPr>
            <w:tcW w:w="1323" w:type="pct"/>
            <w:tcBorders>
              <w:top w:val="nil"/>
              <w:left w:val="single" w:sz="4" w:space="0" w:color="auto"/>
              <w:bottom w:val="single" w:sz="4" w:space="0" w:color="auto"/>
              <w:right w:val="nil"/>
            </w:tcBorders>
            <w:shd w:val="clear" w:color="000000" w:fill="F2F2F2"/>
            <w:vAlign w:val="center"/>
            <w:hideMark/>
          </w:tcPr>
          <w:p w:rsidR="004937EF" w:rsidRPr="004937EF" w:rsidRDefault="004937EF" w:rsidP="004C26CE">
            <w:pPr>
              <w:spacing w:after="0" w:line="240" w:lineRule="auto"/>
              <w:rPr>
                <w:rFonts w:ascii="Times New Roman" w:hAnsi="Times New Roman"/>
                <w:b/>
                <w:bCs/>
                <w:color w:val="000000"/>
                <w:sz w:val="20"/>
                <w:szCs w:val="20"/>
              </w:rPr>
            </w:pPr>
            <w:r w:rsidRPr="004937EF">
              <w:rPr>
                <w:rFonts w:ascii="Times New Roman" w:hAnsi="Times New Roman"/>
                <w:b/>
                <w:bCs/>
                <w:color w:val="000000"/>
                <w:sz w:val="20"/>
                <w:szCs w:val="20"/>
              </w:rPr>
              <w:t>Total</w:t>
            </w:r>
          </w:p>
        </w:tc>
        <w:tc>
          <w:tcPr>
            <w:tcW w:w="689" w:type="pct"/>
            <w:tcBorders>
              <w:top w:val="nil"/>
              <w:left w:val="nil"/>
              <w:bottom w:val="single" w:sz="4" w:space="0" w:color="auto"/>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32</w:t>
            </w:r>
          </w:p>
        </w:tc>
        <w:tc>
          <w:tcPr>
            <w:tcW w:w="652" w:type="pct"/>
            <w:tcBorders>
              <w:top w:val="nil"/>
              <w:left w:val="nil"/>
              <w:bottom w:val="single" w:sz="4" w:space="0" w:color="auto"/>
              <w:right w:val="nil"/>
            </w:tcBorders>
            <w:shd w:val="clear" w:color="000000" w:fill="F2F2F2"/>
            <w:vAlign w:val="center"/>
            <w:hideMark/>
          </w:tcPr>
          <w:p w:rsidR="004937EF" w:rsidRPr="004937EF" w:rsidRDefault="004937EF" w:rsidP="004C26CE">
            <w:pPr>
              <w:spacing w:after="0" w:line="240" w:lineRule="auto"/>
              <w:jc w:val="center"/>
              <w:rPr>
                <w:rFonts w:ascii="Times New Roman" w:hAnsi="Times New Roman"/>
                <w:b/>
                <w:bCs/>
                <w:color w:val="000000"/>
                <w:sz w:val="20"/>
                <w:szCs w:val="20"/>
              </w:rPr>
            </w:pPr>
            <w:r w:rsidRPr="004937EF">
              <w:rPr>
                <w:rFonts w:ascii="Times New Roman" w:hAnsi="Times New Roman"/>
                <w:b/>
                <w:bCs/>
                <w:color w:val="000000"/>
                <w:sz w:val="20"/>
                <w:szCs w:val="20"/>
              </w:rPr>
              <w:t>100,00%</w:t>
            </w:r>
          </w:p>
        </w:tc>
      </w:tr>
    </w:tbl>
    <w:p w:rsidR="00CD703A" w:rsidRPr="000E5487" w:rsidRDefault="00CD703A" w:rsidP="00B747D7">
      <w:pPr>
        <w:spacing w:after="0" w:line="240" w:lineRule="auto"/>
        <w:ind w:firstLine="709"/>
        <w:jc w:val="both"/>
        <w:rPr>
          <w:rFonts w:ascii="Times New Roman" w:eastAsia="Calibri" w:hAnsi="Times New Roman"/>
          <w:color w:val="000000"/>
          <w:szCs w:val="24"/>
          <w:lang w:eastAsia="en-US"/>
        </w:rPr>
      </w:pPr>
    </w:p>
    <w:p w:rsidR="006F09CD" w:rsidRDefault="00660841"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O perfil preponderante dos respondentes </w:t>
      </w:r>
      <w:r w:rsidR="002B64CB" w:rsidRPr="000E5487">
        <w:rPr>
          <w:rFonts w:ascii="Times New Roman" w:eastAsia="Calibri" w:hAnsi="Times New Roman"/>
          <w:color w:val="000000"/>
          <w:szCs w:val="24"/>
          <w:lang w:eastAsia="en-US"/>
        </w:rPr>
        <w:t>possui idade entre 31 e 50 anos,</w:t>
      </w:r>
      <w:r w:rsidR="00864936">
        <w:rPr>
          <w:rFonts w:ascii="Times New Roman" w:eastAsia="Calibri" w:hAnsi="Times New Roman"/>
          <w:color w:val="000000"/>
          <w:szCs w:val="24"/>
          <w:lang w:eastAsia="en-US"/>
        </w:rPr>
        <w:t xml:space="preserve"> atuantes</w:t>
      </w:r>
      <w:r w:rsidR="00864936" w:rsidRPr="00864936">
        <w:rPr>
          <w:rFonts w:ascii="Times New Roman" w:eastAsia="Calibri" w:hAnsi="Times New Roman"/>
          <w:color w:val="000000"/>
          <w:szCs w:val="24"/>
          <w:lang w:eastAsia="en-US"/>
        </w:rPr>
        <w:t xml:space="preserve"> principalmente nos estados de São Paulo, Paraná e Mato Grosso do Sul</w:t>
      </w:r>
      <w:r w:rsidR="00864936">
        <w:rPr>
          <w:rFonts w:ascii="Times New Roman" w:eastAsia="Calibri" w:hAnsi="Times New Roman"/>
          <w:color w:val="000000"/>
          <w:szCs w:val="24"/>
          <w:lang w:eastAsia="en-US"/>
        </w:rPr>
        <w:t>,</w:t>
      </w:r>
      <w:r w:rsidR="002B64CB" w:rsidRPr="000E5487">
        <w:rPr>
          <w:rFonts w:ascii="Times New Roman" w:eastAsia="Calibri" w:hAnsi="Times New Roman"/>
          <w:color w:val="000000"/>
          <w:szCs w:val="24"/>
          <w:lang w:eastAsia="en-US"/>
        </w:rPr>
        <w:t xml:space="preserve"> com nível de qualificação </w:t>
      </w:r>
      <w:r w:rsidR="001E0058" w:rsidRPr="000E5487">
        <w:rPr>
          <w:rFonts w:ascii="Times New Roman" w:eastAsia="Calibri" w:hAnsi="Times New Roman"/>
          <w:color w:val="000000"/>
          <w:szCs w:val="24"/>
          <w:lang w:eastAsia="en-US"/>
        </w:rPr>
        <w:t xml:space="preserve">equivalente a </w:t>
      </w:r>
      <w:r w:rsidR="002B64CB" w:rsidRPr="000E5487">
        <w:rPr>
          <w:rFonts w:ascii="Times New Roman" w:eastAsia="Calibri" w:hAnsi="Times New Roman"/>
          <w:color w:val="000000"/>
          <w:szCs w:val="24"/>
          <w:lang w:eastAsia="en-US"/>
        </w:rPr>
        <w:t xml:space="preserve">especialização, tempo de experiência </w:t>
      </w:r>
      <w:r w:rsidR="00CA6A6B" w:rsidRPr="000E5487">
        <w:rPr>
          <w:rFonts w:ascii="Times New Roman" w:eastAsia="Calibri" w:hAnsi="Times New Roman"/>
          <w:color w:val="000000"/>
          <w:szCs w:val="24"/>
          <w:lang w:eastAsia="en-US"/>
        </w:rPr>
        <w:t>na área contábil</w:t>
      </w:r>
      <w:r w:rsidR="00E91FB0" w:rsidRPr="000E5487">
        <w:rPr>
          <w:rFonts w:ascii="Times New Roman" w:eastAsia="Calibri" w:hAnsi="Times New Roman"/>
          <w:color w:val="000000"/>
          <w:szCs w:val="24"/>
          <w:lang w:eastAsia="en-US"/>
        </w:rPr>
        <w:t xml:space="preserve"> </w:t>
      </w:r>
      <w:r w:rsidR="002B64CB" w:rsidRPr="000E5487">
        <w:rPr>
          <w:rFonts w:ascii="Times New Roman" w:eastAsia="Calibri" w:hAnsi="Times New Roman"/>
          <w:color w:val="000000"/>
          <w:szCs w:val="24"/>
          <w:lang w:eastAsia="en-US"/>
        </w:rPr>
        <w:t>acima de seis anos</w:t>
      </w:r>
      <w:r w:rsidR="001A72AC" w:rsidRPr="000E5487">
        <w:rPr>
          <w:rFonts w:ascii="Times New Roman" w:eastAsia="Calibri" w:hAnsi="Times New Roman"/>
          <w:color w:val="000000"/>
          <w:szCs w:val="24"/>
          <w:lang w:eastAsia="en-US"/>
        </w:rPr>
        <w:t>,</w:t>
      </w:r>
      <w:r w:rsidR="002B64CB" w:rsidRPr="000E5487">
        <w:rPr>
          <w:rFonts w:ascii="Times New Roman" w:eastAsia="Calibri" w:hAnsi="Times New Roman"/>
          <w:color w:val="000000"/>
          <w:szCs w:val="24"/>
          <w:lang w:eastAsia="en-US"/>
        </w:rPr>
        <w:t xml:space="preserve"> </w:t>
      </w:r>
      <w:r w:rsidR="001E0058" w:rsidRPr="000E5487">
        <w:rPr>
          <w:rFonts w:ascii="Times New Roman" w:eastAsia="Calibri" w:hAnsi="Times New Roman"/>
          <w:color w:val="000000"/>
          <w:szCs w:val="24"/>
          <w:lang w:eastAsia="en-US"/>
        </w:rPr>
        <w:t xml:space="preserve">com mais </w:t>
      </w:r>
      <w:r w:rsidR="002B64CB" w:rsidRPr="000E5487">
        <w:rPr>
          <w:rFonts w:ascii="Times New Roman" w:eastAsia="Calibri" w:hAnsi="Times New Roman"/>
          <w:color w:val="000000"/>
          <w:szCs w:val="24"/>
          <w:lang w:eastAsia="en-US"/>
        </w:rPr>
        <w:t xml:space="preserve">de três anos </w:t>
      </w:r>
      <w:r w:rsidR="00CA6A6B" w:rsidRPr="000E5487">
        <w:rPr>
          <w:rFonts w:ascii="Times New Roman" w:eastAsia="Calibri" w:hAnsi="Times New Roman"/>
          <w:color w:val="000000"/>
          <w:szCs w:val="24"/>
          <w:lang w:eastAsia="en-US"/>
        </w:rPr>
        <w:t xml:space="preserve">de experiência </w:t>
      </w:r>
      <w:r w:rsidR="002B64CB" w:rsidRPr="000E5487">
        <w:rPr>
          <w:rFonts w:ascii="Times New Roman" w:eastAsia="Calibri" w:hAnsi="Times New Roman"/>
          <w:color w:val="000000"/>
          <w:szCs w:val="24"/>
          <w:lang w:eastAsia="en-US"/>
        </w:rPr>
        <w:t xml:space="preserve">na </w:t>
      </w:r>
      <w:r w:rsidR="00CA6A6B" w:rsidRPr="000E5487">
        <w:rPr>
          <w:rFonts w:ascii="Times New Roman" w:eastAsia="Calibri" w:hAnsi="Times New Roman"/>
          <w:color w:val="000000"/>
          <w:szCs w:val="24"/>
          <w:lang w:eastAsia="en-US"/>
        </w:rPr>
        <w:t>mensuração de ativos biológicos</w:t>
      </w:r>
      <w:r w:rsidR="00864936">
        <w:rPr>
          <w:rFonts w:ascii="Times New Roman" w:eastAsia="Calibri" w:hAnsi="Times New Roman"/>
          <w:color w:val="000000"/>
          <w:szCs w:val="24"/>
          <w:lang w:eastAsia="en-US"/>
        </w:rPr>
        <w:t>.</w:t>
      </w:r>
    </w:p>
    <w:p w:rsidR="00C4669C" w:rsidRDefault="00C4669C" w:rsidP="006F09CD">
      <w:pPr>
        <w:spacing w:after="120" w:line="240" w:lineRule="auto"/>
        <w:jc w:val="both"/>
        <w:rPr>
          <w:rFonts w:ascii="Times New Roman" w:eastAsia="Calibri" w:hAnsi="Times New Roman"/>
          <w:b/>
          <w:color w:val="000000"/>
          <w:szCs w:val="24"/>
          <w:lang w:eastAsia="en-US"/>
        </w:rPr>
      </w:pPr>
    </w:p>
    <w:p w:rsidR="00E840BD" w:rsidRPr="000E5487" w:rsidRDefault="00B84C8D" w:rsidP="006F09CD">
      <w:pPr>
        <w:spacing w:after="120" w:line="240" w:lineRule="auto"/>
        <w:jc w:val="both"/>
        <w:rPr>
          <w:rFonts w:ascii="Times New Roman" w:hAnsi="Times New Roman"/>
          <w:b/>
          <w:szCs w:val="24"/>
        </w:rPr>
      </w:pPr>
      <w:r w:rsidRPr="000E5487">
        <w:rPr>
          <w:rFonts w:ascii="Times New Roman" w:eastAsia="Calibri" w:hAnsi="Times New Roman"/>
          <w:b/>
          <w:color w:val="000000"/>
          <w:szCs w:val="24"/>
          <w:lang w:eastAsia="en-US"/>
        </w:rPr>
        <w:t>4</w:t>
      </w:r>
      <w:r w:rsidR="009607DA" w:rsidRPr="000E5487">
        <w:rPr>
          <w:rFonts w:ascii="Times New Roman" w:eastAsia="Calibri" w:hAnsi="Times New Roman"/>
          <w:b/>
          <w:color w:val="000000"/>
          <w:szCs w:val="24"/>
          <w:lang w:eastAsia="en-US"/>
        </w:rPr>
        <w:t>.2</w:t>
      </w:r>
      <w:r w:rsidR="009607DA" w:rsidRPr="000E5487">
        <w:rPr>
          <w:rFonts w:ascii="Times New Roman" w:hAnsi="Times New Roman"/>
          <w:b/>
          <w:szCs w:val="24"/>
        </w:rPr>
        <w:t xml:space="preserve"> Escolhas Contábeis na Mensuração de Ativos Biológicos</w:t>
      </w:r>
    </w:p>
    <w:p w:rsidR="00D95716" w:rsidRPr="000E5487" w:rsidRDefault="00D95716"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 escolha do método de mensuração de ativos biológicos </w:t>
      </w:r>
      <w:r w:rsidR="00BA5DA3" w:rsidRPr="000E5487">
        <w:rPr>
          <w:rFonts w:ascii="Times New Roman" w:eastAsia="Calibri" w:hAnsi="Times New Roman"/>
          <w:color w:val="000000"/>
          <w:szCs w:val="24"/>
          <w:lang w:eastAsia="en-US"/>
        </w:rPr>
        <w:t>produz diferença</w:t>
      </w:r>
      <w:r w:rsidRPr="000E5487">
        <w:rPr>
          <w:rFonts w:ascii="Times New Roman" w:eastAsia="Calibri" w:hAnsi="Times New Roman"/>
          <w:color w:val="000000"/>
          <w:szCs w:val="24"/>
          <w:lang w:eastAsia="en-US"/>
        </w:rPr>
        <w:t xml:space="preserve"> significativa </w:t>
      </w:r>
      <w:r w:rsidR="001A72AC" w:rsidRPr="000E5487">
        <w:rPr>
          <w:rFonts w:ascii="Times New Roman" w:eastAsia="Calibri" w:hAnsi="Times New Roman"/>
          <w:color w:val="000000"/>
          <w:szCs w:val="24"/>
          <w:lang w:eastAsia="en-US"/>
        </w:rPr>
        <w:t>em seu valor</w:t>
      </w:r>
      <w:r w:rsidR="00BA5DA3" w:rsidRPr="000E5487">
        <w:rPr>
          <w:rFonts w:ascii="Times New Roman" w:eastAsia="Calibri" w:hAnsi="Times New Roman"/>
          <w:color w:val="000000"/>
          <w:szCs w:val="24"/>
          <w:lang w:eastAsia="en-US"/>
        </w:rPr>
        <w:t xml:space="preserve">, quando </w:t>
      </w:r>
      <w:r w:rsidRPr="000E5487">
        <w:rPr>
          <w:rFonts w:ascii="Times New Roman" w:eastAsia="Calibri" w:hAnsi="Times New Roman"/>
          <w:color w:val="000000"/>
          <w:szCs w:val="24"/>
          <w:lang w:eastAsia="en-US"/>
        </w:rPr>
        <w:t xml:space="preserve">reconhecido nas demonstrações financeiras. </w:t>
      </w:r>
      <w:r w:rsidR="00DC1B79">
        <w:rPr>
          <w:rFonts w:ascii="Times New Roman" w:eastAsia="Calibri" w:hAnsi="Times New Roman"/>
          <w:color w:val="000000"/>
          <w:szCs w:val="24"/>
          <w:lang w:eastAsia="en-US"/>
        </w:rPr>
        <w:fldChar w:fldCharType="begin" w:fldLock="1"/>
      </w:r>
      <w:r w:rsidR="0080040C">
        <w:rPr>
          <w:rFonts w:ascii="Times New Roman" w:eastAsia="Calibri" w:hAnsi="Times New Roman"/>
          <w:color w:val="000000"/>
          <w:szCs w:val="24"/>
          <w:lang w:eastAsia="en-US"/>
        </w:rPr>
        <w:instrText>ADDIN CSL_CITATION {"citationItems":[{"id":"ITEM-1","itemData":{"ISSN":"1808-2882","abstract":"Resumo A mensuração contábil pelo valor justo (fair value) tem sido, cada vez mais, exigida por órgãos reguladores em várias partes do mundo. No Brasil, o Pronunciamento Técnico – Ativos Biológicos e Produtos Agrícolas (CPC 29) emitiu regras que introduzem o valor justo para avaliação dos ativos biológicos, em detrimento do custo histórico. Assim, o foco deste trabalho é verificar, por meio de análise de regressão (pooling), se a mudança na base de mensuração dos ativos biológicos trouxe conteúdo informacional para o mercado de capitais brasileiro. Para tanto, analisou-se a questão do value-relevance dos ativos biológicos mensurados a Valor Justo (ABVJ) e a Custo Histórico (ABCH), para os exercícios de 2008 e 2009, das empresas brasileiras de capital aberto que exploram ativos biológicos. Os resultados empíricos suportam que a substituição do custo histórico pelo valor justo, na mensuração dos ativos biológicos, não se mostrou relevante para os usuários da informação contábil. Uma justificativa para esse achado é o fato de que a mensuração a Custo Histórico é mais verificável, objetiva e de fácil compreensão. Por outro lado, a valor justo, geralmente calculado com base em estimativas, principalmente através do Fluxo de Caixa Futuro Descontado, a mensuração se torna mais difícil de ser entendida e, consequentemente, pode ser menos relevante para os usuários das informações contábeis.","author":[{"dropping-particle":"","family":"Silva Filho","given":"Augusto Cezar da Cunha E","non-dropping-particle":"","parse-names":false,"suffix":""},{"dropping-particle":"","family":"Machado","given":"Márcio André Veras","non-dropping-particle":"","parse-names":false,"suffix":""},{"dropping-particle":"","family":"Machado","given":"Márcia Reis","non-dropping-particle":"","parse-names":false,"suffix":""}],"container-title":"Custos e @gronegócio on line","id":"ITEM-1","issue":"2","issued":{"date-parts":[["2013"]]},"page":"27-50","title":"Custo histórico X valor justo: qual informação é mais value relevant na mensuração dos ativos biológicos?","type":"article-journal","volume":"9"},"uris":["http://www.mendeley.com/documents/?uuid=a1fc4e2e-48a3-3cac-a10c-190e39ef369a"]}],"mendeley":{"formattedCitation":"(SILVA FILHO; MACHADO; MACHADO, 2013)","manualFormatting":"Silva Filho, Machado e Machado (2013)","plainTextFormattedCitation":"(SILVA FILHO; MACHADO; MACHADO, 2013)","previouslyFormattedCitation":"(SILVA FILHO; MACHADO; MACHADO, 2013)"},"properties":{"noteIndex":0},"schema":"https://github.com/citation-style-language/schema/raw/master/csl-citation.json"}</w:instrText>
      </w:r>
      <w:r w:rsidR="00DC1B79">
        <w:rPr>
          <w:rFonts w:ascii="Times New Roman" w:eastAsia="Calibri" w:hAnsi="Times New Roman"/>
          <w:color w:val="000000"/>
          <w:szCs w:val="24"/>
          <w:lang w:eastAsia="en-US"/>
        </w:rPr>
        <w:fldChar w:fldCharType="separate"/>
      </w:r>
      <w:r w:rsidR="00DC1B79" w:rsidRPr="00DC1B79">
        <w:rPr>
          <w:rFonts w:ascii="Times New Roman" w:eastAsia="Calibri" w:hAnsi="Times New Roman"/>
          <w:noProof/>
          <w:color w:val="000000"/>
          <w:szCs w:val="24"/>
          <w:lang w:eastAsia="en-US"/>
        </w:rPr>
        <w:t>Silva Filho</w:t>
      </w:r>
      <w:r w:rsidR="00DC1B79">
        <w:rPr>
          <w:rFonts w:ascii="Times New Roman" w:eastAsia="Calibri" w:hAnsi="Times New Roman"/>
          <w:noProof/>
          <w:color w:val="000000"/>
          <w:szCs w:val="24"/>
          <w:lang w:eastAsia="en-US"/>
        </w:rPr>
        <w:t>,</w:t>
      </w:r>
      <w:r w:rsidR="00DC1B79" w:rsidRPr="00DC1B79">
        <w:rPr>
          <w:rFonts w:ascii="Times New Roman" w:eastAsia="Calibri" w:hAnsi="Times New Roman"/>
          <w:noProof/>
          <w:color w:val="000000"/>
          <w:szCs w:val="24"/>
          <w:lang w:eastAsia="en-US"/>
        </w:rPr>
        <w:t xml:space="preserve"> Machado</w:t>
      </w:r>
      <w:r w:rsidR="00DC1B79">
        <w:rPr>
          <w:rFonts w:ascii="Times New Roman" w:eastAsia="Calibri" w:hAnsi="Times New Roman"/>
          <w:noProof/>
          <w:color w:val="000000"/>
          <w:szCs w:val="24"/>
          <w:lang w:eastAsia="en-US"/>
        </w:rPr>
        <w:t xml:space="preserve"> e</w:t>
      </w:r>
      <w:r w:rsidR="00DC1B79" w:rsidRPr="00DC1B79">
        <w:rPr>
          <w:rFonts w:ascii="Times New Roman" w:eastAsia="Calibri" w:hAnsi="Times New Roman"/>
          <w:noProof/>
          <w:color w:val="000000"/>
          <w:szCs w:val="24"/>
          <w:lang w:eastAsia="en-US"/>
        </w:rPr>
        <w:t xml:space="preserve"> Machado </w:t>
      </w:r>
      <w:r w:rsidR="00DC1B79">
        <w:rPr>
          <w:rFonts w:ascii="Times New Roman" w:eastAsia="Calibri" w:hAnsi="Times New Roman"/>
          <w:noProof/>
          <w:color w:val="000000"/>
          <w:szCs w:val="24"/>
          <w:lang w:eastAsia="en-US"/>
        </w:rPr>
        <w:t>(</w:t>
      </w:r>
      <w:r w:rsidR="00DC1B79" w:rsidRPr="00DC1B79">
        <w:rPr>
          <w:rFonts w:ascii="Times New Roman" w:eastAsia="Calibri" w:hAnsi="Times New Roman"/>
          <w:noProof/>
          <w:color w:val="000000"/>
          <w:szCs w:val="24"/>
          <w:lang w:eastAsia="en-US"/>
        </w:rPr>
        <w:t>2013)</w:t>
      </w:r>
      <w:r w:rsidR="00DC1B79">
        <w:rPr>
          <w:rFonts w:ascii="Times New Roman" w:eastAsia="Calibri" w:hAnsi="Times New Roman"/>
          <w:color w:val="000000"/>
          <w:szCs w:val="24"/>
          <w:lang w:eastAsia="en-US"/>
        </w:rPr>
        <w:fldChar w:fldCharType="end"/>
      </w:r>
      <w:r w:rsidRPr="000E5487">
        <w:rPr>
          <w:rFonts w:ascii="Times New Roman" w:eastAsia="Calibri" w:hAnsi="Times New Roman"/>
          <w:color w:val="000000"/>
          <w:szCs w:val="24"/>
          <w:lang w:eastAsia="en-US"/>
        </w:rPr>
        <w:t xml:space="preserve"> identificaram </w:t>
      </w:r>
      <w:r w:rsidR="00BA5DA3" w:rsidRPr="000E5487">
        <w:rPr>
          <w:rFonts w:ascii="Times New Roman" w:eastAsia="Calibri" w:hAnsi="Times New Roman"/>
          <w:color w:val="000000"/>
          <w:szCs w:val="24"/>
          <w:lang w:eastAsia="en-US"/>
        </w:rPr>
        <w:t xml:space="preserve">esta diferença, </w:t>
      </w:r>
      <w:r w:rsidRPr="000E5487">
        <w:rPr>
          <w:rFonts w:ascii="Times New Roman" w:eastAsia="Calibri" w:hAnsi="Times New Roman"/>
          <w:color w:val="000000"/>
          <w:szCs w:val="24"/>
          <w:lang w:eastAsia="en-US"/>
        </w:rPr>
        <w:t>quando tais ativos são avaliados pelo custo histórico</w:t>
      </w:r>
      <w:r w:rsidR="00BA5DA3" w:rsidRPr="000E5487">
        <w:rPr>
          <w:rFonts w:ascii="Times New Roman" w:eastAsia="Calibri" w:hAnsi="Times New Roman"/>
          <w:color w:val="000000"/>
          <w:szCs w:val="24"/>
          <w:lang w:eastAsia="en-US"/>
        </w:rPr>
        <w:t xml:space="preserve"> e pelo </w:t>
      </w:r>
      <w:r w:rsidR="00903C66" w:rsidRPr="00903C66">
        <w:rPr>
          <w:rFonts w:ascii="Times New Roman" w:eastAsia="Calibri" w:hAnsi="Times New Roman"/>
          <w:i/>
          <w:color w:val="000000"/>
          <w:szCs w:val="24"/>
          <w:lang w:eastAsia="en-US"/>
        </w:rPr>
        <w:t>fair value</w:t>
      </w:r>
      <w:r w:rsidR="00BA5DA3" w:rsidRPr="000E5487">
        <w:rPr>
          <w:rFonts w:ascii="Times New Roman" w:eastAsia="Calibri" w:hAnsi="Times New Roman"/>
          <w:color w:val="000000"/>
          <w:szCs w:val="24"/>
          <w:lang w:eastAsia="en-US"/>
        </w:rPr>
        <w:t>. No caso do custo histórico</w:t>
      </w:r>
      <w:r w:rsidR="00CD703A" w:rsidRPr="000E5487">
        <w:rPr>
          <w:rFonts w:ascii="Times New Roman" w:eastAsia="Calibri" w:hAnsi="Times New Roman"/>
          <w:color w:val="000000"/>
          <w:szCs w:val="24"/>
          <w:lang w:eastAsia="en-US"/>
        </w:rPr>
        <w:t>,</w:t>
      </w:r>
      <w:r w:rsidR="00BA5DA3" w:rsidRPr="000E5487">
        <w:rPr>
          <w:rFonts w:ascii="Times New Roman" w:eastAsia="Calibri" w:hAnsi="Times New Roman"/>
          <w:color w:val="000000"/>
          <w:szCs w:val="24"/>
          <w:lang w:eastAsia="en-US"/>
        </w:rPr>
        <w:t xml:space="preserve"> o </w:t>
      </w:r>
      <w:r w:rsidRPr="000E5487">
        <w:rPr>
          <w:rFonts w:ascii="Times New Roman" w:eastAsia="Calibri" w:hAnsi="Times New Roman"/>
          <w:color w:val="000000"/>
          <w:szCs w:val="24"/>
          <w:lang w:eastAsia="en-US"/>
        </w:rPr>
        <w:t>valor</w:t>
      </w:r>
      <w:r w:rsidR="00BA5DA3" w:rsidRPr="000E5487">
        <w:rPr>
          <w:rFonts w:ascii="Times New Roman" w:eastAsia="Calibri" w:hAnsi="Times New Roman"/>
          <w:color w:val="000000"/>
          <w:szCs w:val="24"/>
          <w:lang w:eastAsia="en-US"/>
        </w:rPr>
        <w:t xml:space="preserve"> do ativo biológivo </w:t>
      </w:r>
      <w:r w:rsidRPr="000E5487">
        <w:rPr>
          <w:rFonts w:ascii="Times New Roman" w:eastAsia="Calibri" w:hAnsi="Times New Roman"/>
          <w:color w:val="000000"/>
          <w:szCs w:val="24"/>
          <w:lang w:eastAsia="en-US"/>
        </w:rPr>
        <w:t xml:space="preserve">é subestimado, já </w:t>
      </w:r>
      <w:r w:rsidR="00BA5DA3" w:rsidRPr="000E5487">
        <w:rPr>
          <w:rFonts w:ascii="Times New Roman" w:eastAsia="Calibri" w:hAnsi="Times New Roman"/>
          <w:color w:val="000000"/>
          <w:szCs w:val="24"/>
          <w:lang w:eastAsia="en-US"/>
        </w:rPr>
        <w:t xml:space="preserve">pelo </w:t>
      </w:r>
      <w:r w:rsidR="001D52C3"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w:t>
      </w:r>
      <w:r w:rsidR="00BA5DA3" w:rsidRPr="000E5487">
        <w:rPr>
          <w:rFonts w:ascii="Times New Roman" w:eastAsia="Calibri" w:hAnsi="Times New Roman"/>
          <w:color w:val="000000"/>
          <w:szCs w:val="24"/>
          <w:lang w:eastAsia="en-US"/>
        </w:rPr>
        <w:t xml:space="preserve">ele é </w:t>
      </w:r>
      <w:r w:rsidR="003B23BF" w:rsidRPr="000E5487">
        <w:rPr>
          <w:rFonts w:ascii="Times New Roman" w:eastAsia="Calibri" w:hAnsi="Times New Roman"/>
          <w:color w:val="000000"/>
          <w:szCs w:val="24"/>
          <w:lang w:eastAsia="en-US"/>
        </w:rPr>
        <w:t xml:space="preserve">sobrestimado, ou seja, </w:t>
      </w:r>
      <w:r w:rsidRPr="000E5487">
        <w:rPr>
          <w:rFonts w:ascii="Times New Roman" w:eastAsia="Calibri" w:hAnsi="Times New Roman"/>
          <w:color w:val="000000"/>
          <w:szCs w:val="24"/>
          <w:lang w:eastAsia="en-US"/>
        </w:rPr>
        <w:t xml:space="preserve">apresenta </w:t>
      </w:r>
      <w:r w:rsidR="00CD703A" w:rsidRPr="000E5487">
        <w:rPr>
          <w:rFonts w:ascii="Times New Roman" w:eastAsia="Calibri" w:hAnsi="Times New Roman"/>
          <w:color w:val="000000"/>
          <w:szCs w:val="24"/>
          <w:lang w:eastAsia="en-US"/>
        </w:rPr>
        <w:t>benefícios</w:t>
      </w:r>
      <w:r w:rsidRPr="000E5487">
        <w:rPr>
          <w:rFonts w:ascii="Times New Roman" w:eastAsia="Calibri" w:hAnsi="Times New Roman"/>
          <w:color w:val="000000"/>
          <w:szCs w:val="24"/>
          <w:lang w:eastAsia="en-US"/>
        </w:rPr>
        <w:t>, por ser mais próxima da estimativa d</w:t>
      </w:r>
      <w:r w:rsidR="00BA5DA3" w:rsidRPr="000E5487">
        <w:rPr>
          <w:rFonts w:ascii="Times New Roman" w:eastAsia="Calibri" w:hAnsi="Times New Roman"/>
          <w:color w:val="000000"/>
          <w:szCs w:val="24"/>
          <w:lang w:eastAsia="en-US"/>
        </w:rPr>
        <w:t>e</w:t>
      </w:r>
      <w:r w:rsidRPr="000E5487">
        <w:rPr>
          <w:rFonts w:ascii="Times New Roman" w:eastAsia="Calibri" w:hAnsi="Times New Roman"/>
          <w:color w:val="000000"/>
          <w:szCs w:val="24"/>
          <w:lang w:eastAsia="en-US"/>
        </w:rPr>
        <w:t xml:space="preserve"> mercado. </w:t>
      </w:r>
    </w:p>
    <w:p w:rsidR="00792148" w:rsidRDefault="00D95716" w:rsidP="00B747D7">
      <w:pP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Dada a importância e implicações das escolhas contábeis relativas ao </w:t>
      </w:r>
      <w:r w:rsidR="00792148" w:rsidRPr="000E5487">
        <w:rPr>
          <w:rFonts w:ascii="Times New Roman" w:eastAsia="Calibri" w:hAnsi="Times New Roman"/>
          <w:color w:val="000000"/>
          <w:szCs w:val="24"/>
          <w:lang w:eastAsia="en-US"/>
        </w:rPr>
        <w:t xml:space="preserve">método </w:t>
      </w:r>
      <w:r w:rsidRPr="000E5487">
        <w:rPr>
          <w:rFonts w:ascii="Times New Roman" w:eastAsia="Calibri" w:hAnsi="Times New Roman"/>
          <w:color w:val="000000"/>
          <w:szCs w:val="24"/>
          <w:lang w:eastAsia="en-US"/>
        </w:rPr>
        <w:t>de mensuração d</w:t>
      </w:r>
      <w:r w:rsidR="00792148" w:rsidRPr="000E5487">
        <w:rPr>
          <w:rFonts w:ascii="Times New Roman" w:eastAsia="Calibri" w:hAnsi="Times New Roman"/>
          <w:color w:val="000000"/>
          <w:szCs w:val="24"/>
          <w:lang w:eastAsia="en-US"/>
        </w:rPr>
        <w:t>os ativos biológicos, foi verificado qual</w:t>
      </w:r>
      <w:r w:rsidRPr="000E5487">
        <w:rPr>
          <w:rFonts w:ascii="Times New Roman" w:eastAsia="Calibri" w:hAnsi="Times New Roman"/>
          <w:color w:val="000000"/>
          <w:szCs w:val="24"/>
          <w:lang w:eastAsia="en-US"/>
        </w:rPr>
        <w:t xml:space="preserve"> é a prática do setor sucro</w:t>
      </w:r>
      <w:r w:rsidR="00C4669C">
        <w:rPr>
          <w:rFonts w:ascii="Times New Roman" w:eastAsia="Calibri" w:hAnsi="Times New Roman"/>
          <w:color w:val="000000"/>
          <w:szCs w:val="24"/>
          <w:lang w:eastAsia="en-US"/>
        </w:rPr>
        <w:t>energético</w:t>
      </w:r>
      <w:r w:rsidRPr="000E5487">
        <w:rPr>
          <w:rFonts w:ascii="Times New Roman" w:eastAsia="Calibri" w:hAnsi="Times New Roman"/>
          <w:color w:val="000000"/>
          <w:szCs w:val="24"/>
          <w:lang w:eastAsia="en-US"/>
        </w:rPr>
        <w:t>,</w:t>
      </w:r>
      <w:r w:rsidR="00792148" w:rsidRPr="000E5487">
        <w:rPr>
          <w:rFonts w:ascii="Times New Roman" w:eastAsia="Calibri" w:hAnsi="Times New Roman"/>
          <w:color w:val="000000"/>
          <w:szCs w:val="24"/>
          <w:lang w:eastAsia="en-US"/>
        </w:rPr>
        <w:t xml:space="preserve"> </w:t>
      </w:r>
      <w:r w:rsidR="00D2166B" w:rsidRPr="000E5487">
        <w:rPr>
          <w:rFonts w:ascii="Times New Roman" w:eastAsia="Calibri" w:hAnsi="Times New Roman"/>
          <w:color w:val="000000"/>
          <w:szCs w:val="24"/>
          <w:lang w:eastAsia="en-US"/>
        </w:rPr>
        <w:t xml:space="preserve">cujos </w:t>
      </w:r>
      <w:r w:rsidR="00792148" w:rsidRPr="000E5487">
        <w:rPr>
          <w:rFonts w:ascii="Times New Roman" w:eastAsia="Calibri" w:hAnsi="Times New Roman"/>
          <w:color w:val="000000"/>
          <w:szCs w:val="24"/>
          <w:lang w:eastAsia="en-US"/>
        </w:rPr>
        <w:t>resultad</w:t>
      </w:r>
      <w:r w:rsidR="00080C06" w:rsidRPr="000E5487">
        <w:rPr>
          <w:rFonts w:ascii="Times New Roman" w:eastAsia="Calibri" w:hAnsi="Times New Roman"/>
          <w:color w:val="000000"/>
          <w:szCs w:val="24"/>
          <w:lang w:eastAsia="en-US"/>
        </w:rPr>
        <w:t xml:space="preserve">os são apresentados no </w:t>
      </w:r>
      <w:r w:rsidR="00024595" w:rsidRPr="000E5487">
        <w:rPr>
          <w:rFonts w:ascii="Times New Roman" w:eastAsia="Calibri" w:hAnsi="Times New Roman"/>
          <w:color w:val="000000"/>
          <w:szCs w:val="24"/>
          <w:lang w:eastAsia="en-US"/>
        </w:rPr>
        <w:t>Figura</w:t>
      </w:r>
      <w:r w:rsidR="00677C93">
        <w:rPr>
          <w:rFonts w:ascii="Times New Roman" w:eastAsia="Calibri" w:hAnsi="Times New Roman"/>
          <w:color w:val="000000"/>
          <w:szCs w:val="24"/>
          <w:lang w:eastAsia="en-US"/>
        </w:rPr>
        <w:t xml:space="preserve"> 1</w:t>
      </w:r>
      <w:r w:rsidR="00792148" w:rsidRPr="000E5487">
        <w:rPr>
          <w:rFonts w:ascii="Times New Roman" w:eastAsia="Calibri" w:hAnsi="Times New Roman"/>
          <w:color w:val="000000"/>
          <w:szCs w:val="24"/>
          <w:lang w:eastAsia="en-US"/>
        </w:rPr>
        <w:t>.</w:t>
      </w:r>
    </w:p>
    <w:p w:rsidR="002606A7" w:rsidRPr="000E5487" w:rsidRDefault="002606A7" w:rsidP="008C129D">
      <w:pPr>
        <w:spacing w:after="0" w:line="240" w:lineRule="auto"/>
        <w:ind w:firstLine="709"/>
        <w:jc w:val="center"/>
        <w:rPr>
          <w:rFonts w:ascii="Times New Roman" w:eastAsia="Calibri" w:hAnsi="Times New Roman"/>
          <w:color w:val="000000"/>
          <w:szCs w:val="24"/>
          <w:lang w:eastAsia="en-US"/>
        </w:rPr>
      </w:pPr>
    </w:p>
    <w:p w:rsidR="00F424EA" w:rsidRPr="000E5487" w:rsidRDefault="009C5821" w:rsidP="008C129D">
      <w:pPr>
        <w:spacing w:after="0" w:line="240" w:lineRule="auto"/>
        <w:jc w:val="center"/>
        <w:rPr>
          <w:rFonts w:ascii="Times New Roman" w:eastAsia="Calibri" w:hAnsi="Times New Roman"/>
          <w:color w:val="000000"/>
          <w:szCs w:val="24"/>
          <w:lang w:eastAsia="en-US"/>
        </w:rPr>
      </w:pPr>
      <w:r w:rsidRPr="000E5487">
        <w:rPr>
          <w:rFonts w:ascii="Times New Roman" w:hAnsi="Times New Roman"/>
          <w:noProof/>
          <w:color w:val="FFFFFF" w:themeColor="background1"/>
        </w:rPr>
        <w:drawing>
          <wp:inline distT="0" distB="0" distL="0" distR="0" wp14:anchorId="1DC9B7A8" wp14:editId="5E975CEE">
            <wp:extent cx="5753100" cy="1685925"/>
            <wp:effectExtent l="0" t="0" r="0"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11B2" w:rsidRPr="008C129D" w:rsidRDefault="00024595" w:rsidP="008C129D">
      <w:pPr>
        <w:spacing w:after="0" w:line="240" w:lineRule="auto"/>
        <w:jc w:val="center"/>
        <w:rPr>
          <w:rFonts w:ascii="Times New Roman" w:eastAsia="Calibri" w:hAnsi="Times New Roman"/>
          <w:color w:val="000000"/>
          <w:sz w:val="20"/>
          <w:szCs w:val="24"/>
          <w:lang w:eastAsia="en-US"/>
        </w:rPr>
      </w:pPr>
      <w:r w:rsidRPr="008C129D">
        <w:rPr>
          <w:rFonts w:ascii="Times New Roman" w:eastAsia="Calibri" w:hAnsi="Times New Roman"/>
          <w:color w:val="000000"/>
          <w:sz w:val="20"/>
          <w:szCs w:val="24"/>
          <w:lang w:eastAsia="en-US"/>
        </w:rPr>
        <w:t>Figura</w:t>
      </w:r>
      <w:r w:rsidR="00F011B2" w:rsidRPr="008C129D">
        <w:rPr>
          <w:rFonts w:ascii="Times New Roman" w:eastAsia="Calibri" w:hAnsi="Times New Roman"/>
          <w:color w:val="000000"/>
          <w:sz w:val="20"/>
          <w:szCs w:val="24"/>
          <w:lang w:eastAsia="en-US"/>
        </w:rPr>
        <w:t xml:space="preserve"> </w:t>
      </w:r>
      <w:r w:rsidR="00677C93" w:rsidRPr="008C129D">
        <w:rPr>
          <w:rFonts w:ascii="Times New Roman" w:eastAsia="Calibri" w:hAnsi="Times New Roman"/>
          <w:color w:val="000000"/>
          <w:sz w:val="20"/>
          <w:szCs w:val="24"/>
          <w:lang w:eastAsia="en-US"/>
        </w:rPr>
        <w:t>1</w:t>
      </w:r>
      <w:r w:rsidR="00F011B2" w:rsidRPr="008C129D">
        <w:rPr>
          <w:rFonts w:ascii="Times New Roman" w:eastAsia="Calibri" w:hAnsi="Times New Roman"/>
          <w:color w:val="000000"/>
          <w:sz w:val="20"/>
          <w:szCs w:val="24"/>
          <w:lang w:eastAsia="en-US"/>
        </w:rPr>
        <w:t xml:space="preserve"> – Método</w:t>
      </w:r>
      <w:r w:rsidR="007B3A33" w:rsidRPr="008C129D">
        <w:rPr>
          <w:rFonts w:ascii="Times New Roman" w:eastAsia="Calibri" w:hAnsi="Times New Roman"/>
          <w:color w:val="000000"/>
          <w:sz w:val="20"/>
          <w:szCs w:val="24"/>
          <w:lang w:eastAsia="en-US"/>
        </w:rPr>
        <w:t xml:space="preserve"> </w:t>
      </w:r>
      <w:r w:rsidR="00F011B2" w:rsidRPr="008C129D">
        <w:rPr>
          <w:rFonts w:ascii="Times New Roman" w:eastAsia="Calibri" w:hAnsi="Times New Roman"/>
          <w:color w:val="000000"/>
          <w:sz w:val="20"/>
          <w:szCs w:val="24"/>
          <w:lang w:eastAsia="en-US"/>
        </w:rPr>
        <w:t>de mensuração de ativos biológicos</w:t>
      </w:r>
    </w:p>
    <w:p w:rsidR="004A53A2" w:rsidRPr="000E5487" w:rsidRDefault="004A53A2" w:rsidP="004A53A2">
      <w:pPr>
        <w:spacing w:after="0" w:line="240" w:lineRule="auto"/>
        <w:rPr>
          <w:rFonts w:ascii="Times New Roman" w:eastAsia="Calibri" w:hAnsi="Times New Roman"/>
          <w:color w:val="000000"/>
          <w:szCs w:val="24"/>
          <w:lang w:eastAsia="en-US"/>
        </w:rPr>
      </w:pPr>
    </w:p>
    <w:p w:rsidR="00FE736B" w:rsidRDefault="00792148" w:rsidP="00FE736B">
      <w:pPr>
        <w:spacing w:after="0" w:line="240" w:lineRule="auto"/>
        <w:ind w:firstLine="709"/>
        <w:jc w:val="both"/>
        <w:rPr>
          <w:rFonts w:ascii="Times New Roman" w:hAnsi="Times New Roman"/>
          <w:noProof/>
          <w:szCs w:val="24"/>
        </w:rPr>
      </w:pPr>
      <w:r w:rsidRPr="000E5487">
        <w:rPr>
          <w:rFonts w:ascii="Times New Roman" w:eastAsia="Calibri" w:hAnsi="Times New Roman"/>
          <w:color w:val="000000"/>
          <w:szCs w:val="24"/>
          <w:lang w:eastAsia="en-US"/>
        </w:rPr>
        <w:t>Conforme apresentado</w:t>
      </w:r>
      <w:r w:rsidR="00D2166B" w:rsidRPr="000E5487">
        <w:rPr>
          <w:rFonts w:ascii="Times New Roman" w:eastAsia="Calibri" w:hAnsi="Times New Roman"/>
          <w:color w:val="000000"/>
          <w:szCs w:val="24"/>
          <w:lang w:eastAsia="en-US"/>
        </w:rPr>
        <w:t xml:space="preserve"> no </w:t>
      </w:r>
      <w:r w:rsidR="00024595" w:rsidRPr="000E5487">
        <w:rPr>
          <w:rFonts w:ascii="Times New Roman" w:eastAsia="Calibri" w:hAnsi="Times New Roman"/>
          <w:color w:val="000000"/>
          <w:szCs w:val="24"/>
          <w:lang w:eastAsia="en-US"/>
        </w:rPr>
        <w:t>Figura</w:t>
      </w:r>
      <w:r w:rsidR="00D2166B" w:rsidRPr="000E5487">
        <w:rPr>
          <w:rFonts w:ascii="Times New Roman" w:eastAsia="Calibri" w:hAnsi="Times New Roman"/>
          <w:color w:val="000000"/>
          <w:szCs w:val="24"/>
          <w:lang w:eastAsia="en-US"/>
        </w:rPr>
        <w:t xml:space="preserve"> </w:t>
      </w:r>
      <w:r w:rsidR="00677C93">
        <w:rPr>
          <w:rFonts w:ascii="Times New Roman" w:eastAsia="Calibri" w:hAnsi="Times New Roman"/>
          <w:color w:val="000000"/>
          <w:szCs w:val="24"/>
          <w:lang w:eastAsia="en-US"/>
        </w:rPr>
        <w:t>1</w:t>
      </w:r>
      <w:r w:rsidRPr="000E5487">
        <w:rPr>
          <w:rFonts w:ascii="Times New Roman" w:eastAsia="Calibri" w:hAnsi="Times New Roman"/>
          <w:color w:val="000000"/>
          <w:szCs w:val="24"/>
          <w:lang w:eastAsia="en-US"/>
        </w:rPr>
        <w:t xml:space="preserve">, a maioria dos respondentes mensuram os ativos biológicos a </w:t>
      </w:r>
      <w:r w:rsidRPr="000E5487">
        <w:rPr>
          <w:rFonts w:ascii="Times New Roman" w:eastAsia="Calibri" w:hAnsi="Times New Roman"/>
          <w:i/>
          <w:color w:val="000000"/>
          <w:szCs w:val="24"/>
          <w:lang w:eastAsia="en-US"/>
        </w:rPr>
        <w:t>fair value</w:t>
      </w:r>
      <w:r w:rsidRPr="000E5487">
        <w:rPr>
          <w:rFonts w:ascii="Times New Roman" w:eastAsia="Calibri" w:hAnsi="Times New Roman"/>
          <w:color w:val="000000"/>
          <w:szCs w:val="24"/>
          <w:lang w:eastAsia="en-US"/>
        </w:rPr>
        <w:t xml:space="preserve"> e utilizam como método de avaliação o Fluxo de Caixa Descontado (FCD)</w:t>
      </w:r>
      <w:r w:rsidR="00FE736B">
        <w:rPr>
          <w:rFonts w:ascii="Times New Roman" w:eastAsia="Calibri" w:hAnsi="Times New Roman"/>
          <w:color w:val="000000"/>
          <w:szCs w:val="24"/>
          <w:lang w:eastAsia="en-US"/>
        </w:rPr>
        <w:t xml:space="preserve">. </w:t>
      </w:r>
      <w:r w:rsidR="00FE736B" w:rsidRPr="000E5487">
        <w:rPr>
          <w:rFonts w:ascii="Times New Roman" w:hAnsi="Times New Roman"/>
          <w:noProof/>
          <w:szCs w:val="24"/>
        </w:rPr>
        <w:t xml:space="preserve">A mensuração de ativos biológicos a </w:t>
      </w:r>
      <w:r w:rsidR="00FE736B" w:rsidRPr="000E5487">
        <w:rPr>
          <w:rFonts w:ascii="Times New Roman" w:hAnsi="Times New Roman"/>
          <w:i/>
          <w:noProof/>
          <w:szCs w:val="24"/>
        </w:rPr>
        <w:t xml:space="preserve">fair value </w:t>
      </w:r>
      <w:r w:rsidR="00FE736B" w:rsidRPr="000E5487">
        <w:rPr>
          <w:rFonts w:ascii="Times New Roman" w:hAnsi="Times New Roman"/>
          <w:noProof/>
          <w:szCs w:val="24"/>
        </w:rPr>
        <w:t xml:space="preserve">no setor sucroenergético é, em sua maioria, feita no nível 3 da hierarquia de valor da IFRS 13, ou seja, são utilizados dados internos e não observáveis. Esse nível exige certo grau de julgamento por parte do profissional que elabora as demonstrações financeiras e pode impactar na confiabilidade e relevância da informação gerada </w:t>
      </w:r>
      <w:r w:rsidR="00FE736B" w:rsidRPr="000E5487">
        <w:rPr>
          <w:rFonts w:ascii="Times New Roman" w:hAnsi="Times New Roman"/>
          <w:noProof/>
          <w:szCs w:val="24"/>
        </w:rPr>
        <w:fldChar w:fldCharType="begin" w:fldLock="1"/>
      </w:r>
      <w:r w:rsidR="00FE736B">
        <w:rPr>
          <w:rFonts w:ascii="Times New Roman" w:hAnsi="Times New Roman"/>
          <w:noProof/>
          <w:szCs w:val="24"/>
        </w:rPr>
        <w:instrText>ADDIN CSL_CITATION {"citationItems":[{"id":"ITEM-1","itemData":{"DOI":"10.1111/j.1467-646X.2005.00117.x","ISBN":"09541314","ISSN":"0954-1314","PMID":"206676078","author":[{"dropping-particle":"","family":"Yang","given":"Ziyun","non-dropping-particle":"","parse-names":false,"suffix":""},{"dropping-particle":"","family":"Rohrbach","given":"Kermit","non-dropping-particle":"","parse-names":false,"suffix":""},{"dropping-particle":"","family":"Chen","given":"Shimin","non-dropping-particle":"","parse-names":false,"suffix":""}],"container-title":"Journal of International Financial Management and Accounting","id":"ITEM-1","issue":"3","issued":{"date-parts":[["2005","10"]]},"page":"194-228","title":"The Impact of Standard Setting on Relevance and Reliability of Accounting Information: Lower of Cost or Market Accounting Reforms in China","type":"article-journal","volume":"16"},"uris":["http://www.mendeley.com/documents/?uuid=2031ae40-1539-4a52-aa26-1a22ef3094d9"]}],"mendeley":{"formattedCitation":"(YANG; ROHRBACH; CHEN, 2005)","plainTextFormattedCitation":"(YANG; ROHRBACH; CHEN, 2005)","previouslyFormattedCitation":"(YANG; ROHRBACH; CHEN, 2005)"},"properties":{"noteIndex":0},"schema":"https://github.com/citation-style-language/schema/raw/master/csl-citation.json"}</w:instrText>
      </w:r>
      <w:r w:rsidR="00FE736B" w:rsidRPr="000E5487">
        <w:rPr>
          <w:rFonts w:ascii="Times New Roman" w:hAnsi="Times New Roman"/>
          <w:noProof/>
          <w:szCs w:val="24"/>
        </w:rPr>
        <w:fldChar w:fldCharType="separate"/>
      </w:r>
      <w:r w:rsidR="00FE736B" w:rsidRPr="00DE4E1B">
        <w:rPr>
          <w:rFonts w:ascii="Times New Roman" w:hAnsi="Times New Roman"/>
          <w:noProof/>
          <w:szCs w:val="24"/>
        </w:rPr>
        <w:t>(YANG; ROHRBACH; CHEN, 2005)</w:t>
      </w:r>
      <w:r w:rsidR="00FE736B" w:rsidRPr="000E5487">
        <w:rPr>
          <w:rFonts w:ascii="Times New Roman" w:hAnsi="Times New Roman"/>
          <w:noProof/>
          <w:szCs w:val="24"/>
        </w:rPr>
        <w:fldChar w:fldCharType="end"/>
      </w:r>
      <w:r w:rsidR="00FE736B" w:rsidRPr="000E5487">
        <w:rPr>
          <w:rFonts w:ascii="Times New Roman" w:hAnsi="Times New Roman"/>
          <w:noProof/>
          <w:szCs w:val="24"/>
        </w:rPr>
        <w:t xml:space="preserve">. </w:t>
      </w:r>
    </w:p>
    <w:p w:rsidR="00FE736B" w:rsidRPr="000E5487" w:rsidRDefault="00FE736B" w:rsidP="00FE736B">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Contudo, como não há um mercado ativo para a cana-de-açúcar em desenvolvimento biológico, a utilização de </w:t>
      </w:r>
      <w:r w:rsidRPr="000E5487">
        <w:rPr>
          <w:rFonts w:ascii="Times New Roman" w:hAnsi="Times New Roman"/>
          <w:i/>
          <w:noProof/>
          <w:szCs w:val="24"/>
        </w:rPr>
        <w:t>inputs</w:t>
      </w:r>
      <w:r w:rsidRPr="000E5487">
        <w:rPr>
          <w:rFonts w:ascii="Times New Roman" w:hAnsi="Times New Roman"/>
          <w:noProof/>
          <w:szCs w:val="24"/>
        </w:rPr>
        <w:t xml:space="preserve"> internos e de dados não observáveis, desde que desenvolvidos em conformidade com as orientações do Comitê de Pronunciamentos Contábeis (CPC), são considerados premissas válidas para a determinação do </w:t>
      </w:r>
      <w:r w:rsidRPr="000E5487">
        <w:rPr>
          <w:rFonts w:ascii="Times New Roman" w:hAnsi="Times New Roman"/>
          <w:i/>
          <w:iCs/>
          <w:noProof/>
          <w:szCs w:val="24"/>
        </w:rPr>
        <w:t xml:space="preserve">fair value </w:t>
      </w:r>
      <w:r w:rsidRPr="000E5487">
        <w:rPr>
          <w:rFonts w:ascii="Times New Roman" w:hAnsi="Times New Roman"/>
          <w:noProof/>
          <w:szCs w:val="24"/>
        </w:rPr>
        <w:t>e</w:t>
      </w:r>
      <w:r w:rsidRPr="000E5487">
        <w:rPr>
          <w:rFonts w:ascii="Times New Roman" w:hAnsi="Times New Roman"/>
          <w:i/>
          <w:iCs/>
          <w:noProof/>
          <w:szCs w:val="24"/>
        </w:rPr>
        <w:t xml:space="preserve"> </w:t>
      </w:r>
      <w:r w:rsidRPr="000E5487">
        <w:rPr>
          <w:rFonts w:ascii="Times New Roman" w:hAnsi="Times New Roman"/>
          <w:noProof/>
          <w:szCs w:val="24"/>
        </w:rPr>
        <w:t xml:space="preserve">cumprem o objetivo para sua mensuração </w:t>
      </w:r>
      <w:r w:rsidRPr="000E5487">
        <w:rPr>
          <w:rFonts w:ascii="Times New Roman" w:hAnsi="Times New Roman"/>
          <w:noProof/>
          <w:szCs w:val="24"/>
        </w:rPr>
        <w:fldChar w:fldCharType="begin" w:fldLock="1"/>
      </w:r>
      <w:r w:rsidRPr="000E5487">
        <w:rPr>
          <w:rFonts w:ascii="Times New Roman" w:hAnsi="Times New Roman"/>
          <w:noProof/>
          <w:szCs w:val="24"/>
        </w:rPr>
        <w:instrText>ADDIN CSL_CITATION {"citationItems":[{"id":"ITEM-1","itemData":{"URL":"http://www.cpc.org.br/CPC/Documentos-Emitidos/Pronunciamentos/Pronunciamento?Id=60","accessed":{"date-parts":[["2016","12","10"]]},"author":[{"dropping-particle":"","family":"CPC","given":"Comitê de Pronunciamentos Contábeis","non-dropping-particle":"","parse-names":false,"suffix":""}],"id":"ITEM-1","issued":{"date-parts":[["2009"]]},"page":"1-17","title":"CPC 29 - Ativo Biológico e Produto Agrícola","type":"webpage"},"uris":["http://www.mendeley.com/documents/?uuid=9c485e23-6d14-450f-93d4-df4e334c3473"]}],"mendeley":{"formattedCitation":"(CPC, 2009)","plainTextFormattedCitation":"(CPC, 2009)","previouslyFormattedCitation":"(CPC, 2009)"},"properties":{"noteIndex":0},"schema":"https://github.com/citation-style-language/schema/raw/master/csl-citation.json"}</w:instrText>
      </w:r>
      <w:r w:rsidRPr="000E5487">
        <w:rPr>
          <w:rFonts w:ascii="Times New Roman" w:hAnsi="Times New Roman"/>
          <w:noProof/>
          <w:szCs w:val="24"/>
        </w:rPr>
        <w:fldChar w:fldCharType="separate"/>
      </w:r>
      <w:r w:rsidRPr="000E5487">
        <w:rPr>
          <w:rFonts w:ascii="Times New Roman" w:hAnsi="Times New Roman"/>
          <w:noProof/>
          <w:szCs w:val="24"/>
        </w:rPr>
        <w:t>(CPC, 2009)</w:t>
      </w:r>
      <w:r w:rsidRPr="000E5487">
        <w:rPr>
          <w:rFonts w:ascii="Times New Roman" w:hAnsi="Times New Roman"/>
          <w:noProof/>
          <w:szCs w:val="24"/>
        </w:rPr>
        <w:fldChar w:fldCharType="end"/>
      </w:r>
      <w:r w:rsidRPr="000E5487">
        <w:rPr>
          <w:rFonts w:ascii="Times New Roman" w:hAnsi="Times New Roman"/>
          <w:noProof/>
          <w:szCs w:val="24"/>
        </w:rPr>
        <w:t>. Os respondentes que afirmam utilizar um mercado ativo registra</w:t>
      </w:r>
      <w:r>
        <w:rPr>
          <w:rFonts w:ascii="Times New Roman" w:hAnsi="Times New Roman"/>
          <w:noProof/>
          <w:szCs w:val="24"/>
        </w:rPr>
        <w:t>m</w:t>
      </w:r>
      <w:r w:rsidRPr="000E5487">
        <w:rPr>
          <w:rFonts w:ascii="Times New Roman" w:hAnsi="Times New Roman"/>
          <w:noProof/>
          <w:szCs w:val="24"/>
        </w:rPr>
        <w:t xml:space="preserve"> o valor desses ativos ao custo de formação da lavoura e, no momento da colheita,</w:t>
      </w:r>
      <w:r>
        <w:rPr>
          <w:rFonts w:ascii="Times New Roman" w:hAnsi="Times New Roman"/>
          <w:noProof/>
          <w:szCs w:val="24"/>
        </w:rPr>
        <w:t xml:space="preserve"> registram</w:t>
      </w:r>
      <w:r w:rsidRPr="000E5487">
        <w:rPr>
          <w:rFonts w:ascii="Times New Roman" w:hAnsi="Times New Roman"/>
          <w:noProof/>
          <w:szCs w:val="24"/>
        </w:rPr>
        <w:t xml:space="preserve"> o valor justo, conforme orienta a norma.</w:t>
      </w:r>
      <w:r>
        <w:rPr>
          <w:rFonts w:ascii="Times New Roman" w:hAnsi="Times New Roman"/>
          <w:noProof/>
          <w:szCs w:val="24"/>
        </w:rPr>
        <w:t xml:space="preserve"> Por sua vez, os que utilizam o custo histórico, são empresas de capital fechado, que não apuram resultados trimestralmente.</w:t>
      </w:r>
    </w:p>
    <w:p w:rsidR="00FE736B" w:rsidRPr="000E5487" w:rsidRDefault="00FE736B" w:rsidP="00FE736B">
      <w:pPr>
        <w:spacing w:after="0" w:line="240" w:lineRule="auto"/>
        <w:ind w:firstLine="709"/>
        <w:jc w:val="both"/>
        <w:rPr>
          <w:rFonts w:ascii="Times New Roman" w:hAnsi="Times New Roman"/>
          <w:noProof/>
          <w:szCs w:val="24"/>
        </w:rPr>
      </w:pPr>
      <w:r w:rsidRPr="000E5487">
        <w:rPr>
          <w:rFonts w:ascii="Times New Roman" w:hAnsi="Times New Roman"/>
          <w:noProof/>
          <w:szCs w:val="24"/>
        </w:rPr>
        <w:t>Os resultados do presente estudo são relevantes na medida que contribuem para explicitar que no se</w:t>
      </w:r>
      <w:r>
        <w:rPr>
          <w:rFonts w:ascii="Times New Roman" w:hAnsi="Times New Roman"/>
          <w:noProof/>
          <w:szCs w:val="24"/>
        </w:rPr>
        <w:t>tor sucroenergético</w:t>
      </w:r>
      <w:r w:rsidRPr="000E5487">
        <w:rPr>
          <w:rFonts w:ascii="Times New Roman" w:hAnsi="Times New Roman"/>
          <w:noProof/>
          <w:szCs w:val="24"/>
        </w:rPr>
        <w:t xml:space="preserve"> a técnica mais utilizada é a do Fluxo de Caixa Descontado (FCD). Esse resultado demonstra um cenário diferente do verificado por </w:t>
      </w:r>
      <w:r>
        <w:rPr>
          <w:rFonts w:ascii="Times New Roman" w:hAnsi="Times New Roman"/>
          <w:noProof/>
          <w:szCs w:val="24"/>
        </w:rPr>
        <w:fldChar w:fldCharType="begin" w:fldLock="1"/>
      </w:r>
      <w:r>
        <w:rPr>
          <w:rFonts w:ascii="Times New Roman" w:hAnsi="Times New Roman"/>
          <w:noProof/>
          <w:szCs w:val="24"/>
        </w:rPr>
        <w:instrText>ADDIN CSL_CITATION {"citationItems":[{"id":"ITEM-1","itemData":{"abstract":"A América do Sul é uma importante provedora de produtos agrícolas. Cabe à contabilidade reconhecer, mensurar e evidenciar os ativos biológicos das empresas deste continente. Este artigo se propõe fazer um levantamento das bases contábeis mais utilizadas para fins de mensuração de ativos biológicos na América do Sul, partindo do IAS 41. Foram coletadas demonstrações contábeis referentes a junho de 2014 de 309 empresas de capital aberto do Brasil, Chile, Peru e Argentina, das quais 57 divulgam ativos biológicos. Como a mesma empresa pode utilizar diferentes bases, foram identificados 82 usos de técnicas de mensuração, sendo 35% de custo histórico, 34% de Fluxo de Caixa Descontado e 22% tem como base informações de um mercado ativo. As empresas utilizaram essas bases de mensuração principalmente para Lavouras (43%), Florestas (28%), Cardumes (17%) e Rebanhos (9%). Uma minoria de empresas não divulga de maneira clara tanto a espécie de seus ativos biológicos quanto suas bases de mensuração. A contribuição da pesquisa foi fornecer subsídio para discussão sobre as práticas contábeis em questão, abrindo caminho para melhorias nesse processo e eventual redução dos custos de transação.","author":[{"dropping-particle":"","family":"Ganassin","given":"Eduardo Jezini Fernandes","non-dropping-particle":"","parse-names":false,"suffix":""},{"dropping-particle":"","family":"Rodrigues","given":"Fernanda Fernandes","non-dropping-particle":"","parse-names":false,"suffix":""},{"dropping-particle":"","family":"Borges","given":"Tiago Jose Gonzaga","non-dropping-particle":"","parse-names":false,"suffix":""}],"container-title":"Custos e @gronegócio on line","id":"ITEM-1","issue":"2","issued":{"date-parts":[["2016"]]},"page":"333-351","title":"Mensuração de Ativos Biológicos e a observância do IAS 41 na América do Sul","type":"article-journal","volume":"12"},"uris":["http://www.mendeley.com/documents/?uuid=3d631163-7768-4752-af61-971adce7a001"]}],"mendeley":{"formattedCitation":"(GANASSIN; RODRIGUES; BORGES, 2016)","manualFormatting":"Ganassin, Rodrigues e Borges (2016)","plainTextFormattedCitation":"(GANASSIN; RODRIGUES; BORGES, 2016)","previouslyFormattedCitation":"(GANASSIN; RODRIGUES; BORGES, 2016)"},"properties":{"noteIndex":0},"schema":"https://github.com/citation-style-language/schema/raw/master/csl-citation.json"}</w:instrText>
      </w:r>
      <w:r>
        <w:rPr>
          <w:rFonts w:ascii="Times New Roman" w:hAnsi="Times New Roman"/>
          <w:noProof/>
          <w:szCs w:val="24"/>
        </w:rPr>
        <w:fldChar w:fldCharType="separate"/>
      </w:r>
      <w:r w:rsidRPr="0080040C">
        <w:rPr>
          <w:rFonts w:ascii="Times New Roman" w:hAnsi="Times New Roman"/>
          <w:noProof/>
          <w:szCs w:val="24"/>
        </w:rPr>
        <w:t>Ganassin</w:t>
      </w:r>
      <w:r>
        <w:rPr>
          <w:rFonts w:ascii="Times New Roman" w:hAnsi="Times New Roman"/>
          <w:noProof/>
          <w:szCs w:val="24"/>
        </w:rPr>
        <w:t>,</w:t>
      </w:r>
      <w:r w:rsidRPr="0080040C">
        <w:rPr>
          <w:rFonts w:ascii="Times New Roman" w:hAnsi="Times New Roman"/>
          <w:noProof/>
          <w:szCs w:val="24"/>
        </w:rPr>
        <w:t xml:space="preserve"> Rodrigues</w:t>
      </w:r>
      <w:r>
        <w:rPr>
          <w:rFonts w:ascii="Times New Roman" w:hAnsi="Times New Roman"/>
          <w:noProof/>
          <w:szCs w:val="24"/>
        </w:rPr>
        <w:t xml:space="preserve"> e</w:t>
      </w:r>
      <w:r w:rsidRPr="0080040C">
        <w:rPr>
          <w:rFonts w:ascii="Times New Roman" w:hAnsi="Times New Roman"/>
          <w:noProof/>
          <w:szCs w:val="24"/>
        </w:rPr>
        <w:t xml:space="preserve"> Borges </w:t>
      </w:r>
      <w:r>
        <w:rPr>
          <w:rFonts w:ascii="Times New Roman" w:hAnsi="Times New Roman"/>
          <w:noProof/>
          <w:szCs w:val="24"/>
        </w:rPr>
        <w:t>(</w:t>
      </w:r>
      <w:r w:rsidRPr="0080040C">
        <w:rPr>
          <w:rFonts w:ascii="Times New Roman" w:hAnsi="Times New Roman"/>
          <w:noProof/>
          <w:szCs w:val="24"/>
        </w:rPr>
        <w:t>2016)</w:t>
      </w:r>
      <w:r>
        <w:rPr>
          <w:rFonts w:ascii="Times New Roman" w:hAnsi="Times New Roman"/>
          <w:noProof/>
          <w:szCs w:val="24"/>
        </w:rPr>
        <w:fldChar w:fldCharType="end"/>
      </w:r>
      <w:r w:rsidRPr="000E5487">
        <w:rPr>
          <w:rFonts w:ascii="Times New Roman" w:hAnsi="Times New Roman"/>
          <w:noProof/>
          <w:szCs w:val="24"/>
        </w:rPr>
        <w:t>, para empresas participantes do Ibovespa, porém corrobora os resultados verificados pelos mesmos autores na Bolsa de Lima, no Peru.</w:t>
      </w:r>
    </w:p>
    <w:p w:rsidR="00FE736B" w:rsidRPr="00FE736B" w:rsidRDefault="00FE736B" w:rsidP="00FE736B">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Considerando que a maioria dos profissionais opta pela utilização do FCD</w:t>
      </w:r>
      <w:r w:rsidRPr="00FE736B">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torna-se</w:t>
      </w:r>
      <w:r w:rsidRPr="00FE736B">
        <w:rPr>
          <w:rFonts w:ascii="Times New Roman" w:eastAsia="Calibri" w:hAnsi="Times New Roman"/>
          <w:color w:val="000000"/>
          <w:szCs w:val="24"/>
          <w:lang w:eastAsia="en-US"/>
        </w:rPr>
        <w:t xml:space="preserve"> relevante analisar as premissas adotadas para a aplicação deste método, quais sejam, a abordagem realizada na projeção do fluxo de caixa, as escolhas relativas a definição da taxa de desconto, o horizonte de projeção, bem como, as técnicas utilizadas na estimativa de preço e quantidade de cana-de-açúcar (ativo biológico, em questão).</w:t>
      </w:r>
    </w:p>
    <w:p w:rsidR="00792148" w:rsidRDefault="00FE736B" w:rsidP="00FE736B">
      <w:pPr>
        <w:spacing w:after="0" w:line="240" w:lineRule="auto"/>
        <w:ind w:firstLine="709"/>
        <w:jc w:val="both"/>
        <w:rPr>
          <w:rFonts w:ascii="Times New Roman" w:eastAsia="Calibri" w:hAnsi="Times New Roman"/>
          <w:color w:val="000000"/>
          <w:szCs w:val="24"/>
          <w:lang w:eastAsia="en-US"/>
        </w:rPr>
      </w:pPr>
      <w:r w:rsidRPr="00FE736B">
        <w:rPr>
          <w:rFonts w:ascii="Times New Roman" w:eastAsia="Calibri" w:hAnsi="Times New Roman"/>
          <w:color w:val="000000"/>
          <w:szCs w:val="24"/>
          <w:lang w:eastAsia="en-US"/>
        </w:rPr>
        <w:t>Primeiramente, buscou-se identificar qual a abordagem do fluxo de caixa escolhida pelos 23 profissionais contábeis que afirmam utilizar o FCD. Os resultados obtidos revelam que 91,30% utiliza o Fluxo de Caixa Livre para a Empresa (FCLE) e os 8,70% restante adotam o Fluxo de Caixa Livre para o Acionista (FCLA)</w:t>
      </w:r>
      <w:r>
        <w:rPr>
          <w:rFonts w:ascii="Times New Roman" w:eastAsia="Calibri" w:hAnsi="Times New Roman"/>
          <w:color w:val="000000"/>
          <w:szCs w:val="24"/>
          <w:lang w:eastAsia="en-US"/>
        </w:rPr>
        <w:t xml:space="preserve">, </w:t>
      </w:r>
      <w:r w:rsidRPr="000E5487">
        <w:rPr>
          <w:rFonts w:ascii="Times New Roman" w:hAnsi="Times New Roman"/>
          <w:noProof/>
          <w:szCs w:val="24"/>
        </w:rPr>
        <w:t xml:space="preserve">ou seja, </w:t>
      </w:r>
      <w:r>
        <w:rPr>
          <w:rFonts w:ascii="Times New Roman" w:hAnsi="Times New Roman"/>
          <w:noProof/>
          <w:szCs w:val="24"/>
        </w:rPr>
        <w:t xml:space="preserve">a grande maioria, </w:t>
      </w:r>
      <w:r w:rsidRPr="000E5487">
        <w:rPr>
          <w:rFonts w:ascii="Times New Roman" w:hAnsi="Times New Roman"/>
          <w:noProof/>
          <w:szCs w:val="24"/>
        </w:rPr>
        <w:t xml:space="preserve">considera a capacidade de geração de riqueza do ativo, independentemente de suas fontes de financiamento </w:t>
      </w:r>
      <w:r w:rsidRPr="000E5487">
        <w:rPr>
          <w:rFonts w:ascii="Times New Roman" w:hAnsi="Times New Roman"/>
          <w:noProof/>
          <w:szCs w:val="24"/>
        </w:rPr>
        <w:fldChar w:fldCharType="begin" w:fldLock="1"/>
      </w:r>
      <w:r>
        <w:rPr>
          <w:rFonts w:ascii="Times New Roman" w:hAnsi="Times New Roman"/>
          <w:noProof/>
          <w:szCs w:val="24"/>
        </w:rPr>
        <w:instrText>ADDIN CSL_CITATION {"citationItems":[{"id":"ITEM-1","itemData":{"author":[{"dropping-particle":"","family":"Martelanc","given":"R.","non-dropping-particle":"","parse-names":false,"suffix":""},{"dropping-particle":"","family":"Pasin","given":"R.","non-dropping-particle":"","parse-names":false,"suffix":""},{"dropping-particle":"","family":"Pereira","given":"F.","non-dropping-particle":"","parse-names":false,"suffix":""}],"id":"ITEM-1","issued":{"date-parts":[["2010"]]},"number-of-pages":"302","publisher":"Pearson Prentice Hall","publisher-place":"São Paulo","title":"Avaliação de empresas: um guia para fusões &amp; aquisições e private equity","type":"book"},"uris":["http://www.mendeley.com/documents/?uuid=c5554ae1-471f-4b65-b404-25fa43c6f6eb"]}],"mendeley":{"formattedCitation":"(MARTELANC; PASIN; PEREIRA, 2010)","plainTextFormattedCitation":"(MARTELANC; PASIN; PEREIRA, 2010)","previouslyFormattedCitation":"(MARTELANC; PASIN; PEREIRA, 2010)"},"properties":{"noteIndex":0},"schema":"https://github.com/citation-style-language/schema/raw/master/csl-citation.json"}</w:instrText>
      </w:r>
      <w:r w:rsidRPr="000E5487">
        <w:rPr>
          <w:rFonts w:ascii="Times New Roman" w:hAnsi="Times New Roman"/>
          <w:noProof/>
          <w:szCs w:val="24"/>
        </w:rPr>
        <w:fldChar w:fldCharType="separate"/>
      </w:r>
      <w:r w:rsidRPr="00DE4E1B">
        <w:rPr>
          <w:rFonts w:ascii="Times New Roman" w:hAnsi="Times New Roman"/>
          <w:noProof/>
          <w:szCs w:val="24"/>
        </w:rPr>
        <w:t>(MARTELANC; PASIN; PEREIRA, 2010)</w:t>
      </w:r>
      <w:r w:rsidRPr="000E5487">
        <w:rPr>
          <w:rFonts w:ascii="Times New Roman" w:hAnsi="Times New Roman"/>
          <w:noProof/>
          <w:szCs w:val="24"/>
        </w:rPr>
        <w:fldChar w:fldCharType="end"/>
      </w:r>
      <w:r w:rsidRPr="000E5487">
        <w:rPr>
          <w:rFonts w:ascii="Times New Roman" w:hAnsi="Times New Roman"/>
          <w:noProof/>
          <w:szCs w:val="24"/>
        </w:rPr>
        <w:t xml:space="preserve">. </w:t>
      </w:r>
      <w:r w:rsidR="00792148" w:rsidRPr="000E5487">
        <w:rPr>
          <w:rFonts w:ascii="Times New Roman" w:eastAsia="Calibri" w:hAnsi="Times New Roman"/>
          <w:color w:val="000000"/>
          <w:szCs w:val="24"/>
          <w:lang w:eastAsia="en-US"/>
        </w:rPr>
        <w:t xml:space="preserve">Na sequência, foram levantadas as informações relativas </w:t>
      </w:r>
      <w:r w:rsidR="00134F0D" w:rsidRPr="000E5487">
        <w:rPr>
          <w:rFonts w:ascii="Times New Roman" w:eastAsia="Calibri" w:hAnsi="Times New Roman"/>
          <w:color w:val="000000"/>
          <w:szCs w:val="24"/>
          <w:lang w:eastAsia="en-US"/>
        </w:rPr>
        <w:t>à</w:t>
      </w:r>
      <w:r w:rsidR="00792148" w:rsidRPr="000E5487">
        <w:rPr>
          <w:rFonts w:ascii="Times New Roman" w:eastAsia="Calibri" w:hAnsi="Times New Roman"/>
          <w:color w:val="000000"/>
          <w:szCs w:val="24"/>
          <w:lang w:eastAsia="en-US"/>
        </w:rPr>
        <w:t xml:space="preserve"> taxa de desconto, que devido as suas particularidades, são apresentadas no </w:t>
      </w:r>
      <w:r w:rsidR="00292DA1" w:rsidRPr="000E5487">
        <w:rPr>
          <w:rFonts w:ascii="Times New Roman" w:eastAsia="Calibri" w:hAnsi="Times New Roman"/>
          <w:color w:val="000000"/>
          <w:szCs w:val="24"/>
          <w:lang w:eastAsia="en-US"/>
        </w:rPr>
        <w:t xml:space="preserve">próximo </w:t>
      </w:r>
      <w:r w:rsidR="00792148" w:rsidRPr="000E5487">
        <w:rPr>
          <w:rFonts w:ascii="Times New Roman" w:eastAsia="Calibri" w:hAnsi="Times New Roman"/>
          <w:color w:val="000000"/>
          <w:szCs w:val="24"/>
          <w:lang w:eastAsia="en-US"/>
        </w:rPr>
        <w:t>sub tópico.</w:t>
      </w:r>
    </w:p>
    <w:p w:rsidR="00326A07" w:rsidRPr="000E5487" w:rsidRDefault="00326A07" w:rsidP="00B747D7">
      <w:pPr>
        <w:spacing w:after="0" w:line="240" w:lineRule="auto"/>
        <w:ind w:firstLine="709"/>
        <w:jc w:val="both"/>
        <w:rPr>
          <w:rFonts w:ascii="Times New Roman" w:eastAsia="Calibri" w:hAnsi="Times New Roman"/>
          <w:color w:val="000000"/>
          <w:szCs w:val="24"/>
          <w:lang w:eastAsia="en-US"/>
        </w:rPr>
      </w:pPr>
    </w:p>
    <w:p w:rsidR="00792148" w:rsidRPr="000E5487" w:rsidRDefault="008E740C" w:rsidP="00326A07">
      <w:pPr>
        <w:spacing w:after="120" w:line="240" w:lineRule="auto"/>
        <w:rPr>
          <w:rFonts w:ascii="Times New Roman" w:hAnsi="Times New Roman"/>
          <w:b/>
          <w:szCs w:val="24"/>
        </w:rPr>
      </w:pPr>
      <w:r w:rsidRPr="000E5487">
        <w:rPr>
          <w:rFonts w:ascii="Times New Roman" w:hAnsi="Times New Roman"/>
          <w:b/>
          <w:szCs w:val="24"/>
        </w:rPr>
        <w:t>3</w:t>
      </w:r>
      <w:r w:rsidR="00792148" w:rsidRPr="000E5487">
        <w:rPr>
          <w:rFonts w:ascii="Times New Roman" w:hAnsi="Times New Roman"/>
          <w:b/>
          <w:szCs w:val="24"/>
        </w:rPr>
        <w:t>.</w:t>
      </w:r>
      <w:r w:rsidR="008F338F" w:rsidRPr="000E5487">
        <w:rPr>
          <w:rFonts w:ascii="Times New Roman" w:hAnsi="Times New Roman"/>
          <w:b/>
          <w:szCs w:val="24"/>
        </w:rPr>
        <w:t>2</w:t>
      </w:r>
      <w:r w:rsidR="00792148" w:rsidRPr="000E5487">
        <w:rPr>
          <w:rFonts w:ascii="Times New Roman" w:hAnsi="Times New Roman"/>
          <w:b/>
          <w:szCs w:val="24"/>
        </w:rPr>
        <w:t xml:space="preserve">.1 </w:t>
      </w:r>
      <w:r w:rsidR="003A4FF7" w:rsidRPr="000E5487">
        <w:rPr>
          <w:rFonts w:ascii="Times New Roman" w:hAnsi="Times New Roman"/>
          <w:b/>
          <w:szCs w:val="24"/>
        </w:rPr>
        <w:t xml:space="preserve">Escolhas </w:t>
      </w:r>
      <w:r w:rsidR="00147C0E" w:rsidRPr="000E5487">
        <w:rPr>
          <w:rFonts w:ascii="Times New Roman" w:hAnsi="Times New Roman"/>
          <w:b/>
          <w:szCs w:val="24"/>
        </w:rPr>
        <w:t>Contábeis relativas à Taxa de Desconto</w:t>
      </w:r>
    </w:p>
    <w:p w:rsidR="007D11BB" w:rsidRPr="000E5487" w:rsidRDefault="00792148" w:rsidP="00B747D7">
      <w:pPr>
        <w:spacing w:after="0" w:line="240" w:lineRule="auto"/>
        <w:ind w:firstLine="709"/>
        <w:jc w:val="both"/>
        <w:rPr>
          <w:rFonts w:ascii="Times New Roman" w:hAnsi="Times New Roman"/>
          <w:szCs w:val="24"/>
        </w:rPr>
      </w:pPr>
      <w:r w:rsidRPr="000E5487">
        <w:rPr>
          <w:rFonts w:ascii="Times New Roman" w:hAnsi="Times New Roman"/>
          <w:szCs w:val="24"/>
        </w:rPr>
        <w:t xml:space="preserve">As taxas de desconto podem ser obtidas de diversas formas, sendo elas elaboradas com base nos números contábeis, nas teorias de precificação de ativos ou até mesmo obtidas diretamente de organismos externos à empresa. </w:t>
      </w:r>
      <w:r w:rsidR="007D11BB" w:rsidRPr="000E5487">
        <w:rPr>
          <w:rFonts w:ascii="Times New Roman" w:hAnsi="Times New Roman"/>
          <w:szCs w:val="24"/>
        </w:rPr>
        <w:t xml:space="preserve">Contudo, nota-se que não há uma padronização de parâmetros para determinação da taxa de desconto, possibilitando erros e manipulação na mensuração contábil, além de reduzir sua comparabilidade e aumentar o grau de julgamento por parte do </w:t>
      </w:r>
      <w:r w:rsidR="0006404B" w:rsidRPr="000E5487">
        <w:rPr>
          <w:rFonts w:ascii="Times New Roman" w:hAnsi="Times New Roman"/>
          <w:szCs w:val="24"/>
        </w:rPr>
        <w:t xml:space="preserve">profissional que elabora as </w:t>
      </w:r>
      <w:r w:rsidR="007D11BB" w:rsidRPr="000E5487">
        <w:rPr>
          <w:rFonts w:ascii="Times New Roman" w:hAnsi="Times New Roman"/>
          <w:szCs w:val="24"/>
        </w:rPr>
        <w:t xml:space="preserve">demonstrações financeiras </w:t>
      </w:r>
      <w:r w:rsidR="007D11BB" w:rsidRPr="000E5487">
        <w:rPr>
          <w:rFonts w:ascii="Times New Roman" w:hAnsi="Times New Roman"/>
          <w:szCs w:val="24"/>
        </w:rPr>
        <w:fldChar w:fldCharType="begin" w:fldLock="1"/>
      </w:r>
      <w:r w:rsidR="00DE4E1B">
        <w:rPr>
          <w:rFonts w:ascii="Times New Roman" w:hAnsi="Times New Roman"/>
          <w:szCs w:val="24"/>
        </w:rPr>
        <w:instrText>ADDIN CSL_CITATION {"citationItems":[{"id":"ITEM-1","itemData":{"DOI":"10.1016/j.intaccaudtax.2017.10.001","ISSN":"10619518","author":[{"dropping-particle":"","family":"Gonçalves","given":"Rute","non-dropping-particle":"","parse-names":false,"suffix":""},{"dropping-particle":"","family":"Lopes","given":"Patrícia","non-dropping-particle":"","parse-names":false,"suffix":""},{"dropping-particle":"","family":"Craig","given":"Russell","non-dropping-particle":"","parse-names":false,"suffix":""}],"container-title":"Journal of International Accounting, Auditing and Taxation","id":"ITEM-1","issue":"October","issued":{"date-parts":[["2017"]]},"page":"118-126","title":"Value relevance of biological assets under IFRS","type":"article-journal","volume":"29"},"uris":["http://www.mendeley.com/documents/?uuid=98c05584-9f49-42cb-876c-cab38579ca99"]}],"mendeley":{"formattedCitation":"(GONÇALVES; LOPES; CRAIG, 2017)","plainTextFormattedCitation":"(GONÇALVES; LOPES; CRAIG, 2017)","previouslyFormattedCitation":"(GONÇALVES; LOPES; CRAIG, 2017)"},"properties":{"noteIndex":0},"schema":"https://github.com/citation-style-language/schema/raw/master/csl-citation.json"}</w:instrText>
      </w:r>
      <w:r w:rsidR="007D11BB" w:rsidRPr="000E5487">
        <w:rPr>
          <w:rFonts w:ascii="Times New Roman" w:hAnsi="Times New Roman"/>
          <w:szCs w:val="24"/>
        </w:rPr>
        <w:fldChar w:fldCharType="separate"/>
      </w:r>
      <w:r w:rsidR="00DE4E1B" w:rsidRPr="00DE4E1B">
        <w:rPr>
          <w:rFonts w:ascii="Times New Roman" w:hAnsi="Times New Roman"/>
          <w:noProof/>
          <w:szCs w:val="24"/>
        </w:rPr>
        <w:t>(GONÇALVES; LOPES; CRAIG, 2017)</w:t>
      </w:r>
      <w:r w:rsidR="007D11BB" w:rsidRPr="000E5487">
        <w:rPr>
          <w:rFonts w:ascii="Times New Roman" w:hAnsi="Times New Roman"/>
          <w:szCs w:val="24"/>
        </w:rPr>
        <w:fldChar w:fldCharType="end"/>
      </w:r>
      <w:r w:rsidR="007D11BB" w:rsidRPr="000E5487">
        <w:rPr>
          <w:rFonts w:ascii="Times New Roman" w:hAnsi="Times New Roman"/>
          <w:szCs w:val="24"/>
        </w:rPr>
        <w:t>.</w:t>
      </w:r>
    </w:p>
    <w:p w:rsidR="008E63BF" w:rsidRDefault="00792148" w:rsidP="008E63BF">
      <w:pPr>
        <w:spacing w:after="0" w:line="240" w:lineRule="auto"/>
        <w:ind w:firstLine="709"/>
        <w:jc w:val="both"/>
        <w:rPr>
          <w:rFonts w:ascii="Times New Roman" w:hAnsi="Times New Roman"/>
          <w:noProof/>
          <w:szCs w:val="24"/>
        </w:rPr>
      </w:pPr>
      <w:r w:rsidRPr="000E5487">
        <w:rPr>
          <w:rFonts w:ascii="Times New Roman" w:hAnsi="Times New Roman"/>
          <w:szCs w:val="24"/>
        </w:rPr>
        <w:t xml:space="preserve">Neste estudo, evidenciou-se que 60,87% dos respondentes utilizam taxas de desconto obtidas dos números contábeis, pois afirmam utilizar </w:t>
      </w:r>
      <w:r w:rsidR="00901442" w:rsidRPr="000E5487">
        <w:rPr>
          <w:rFonts w:ascii="Times New Roman" w:hAnsi="Times New Roman"/>
          <w:szCs w:val="24"/>
        </w:rPr>
        <w:t xml:space="preserve">o </w:t>
      </w:r>
      <w:r w:rsidRPr="000E5487">
        <w:rPr>
          <w:rFonts w:ascii="Times New Roman" w:hAnsi="Times New Roman"/>
          <w:szCs w:val="24"/>
        </w:rPr>
        <w:t>Custo Médio Ponderado de Capital (</w:t>
      </w:r>
      <w:r w:rsidR="00303461" w:rsidRPr="000E5487">
        <w:rPr>
          <w:rFonts w:ascii="Times New Roman" w:hAnsi="Times New Roman"/>
          <w:szCs w:val="24"/>
        </w:rPr>
        <w:t>WACC</w:t>
      </w:r>
      <w:r w:rsidRPr="000E5487">
        <w:rPr>
          <w:rFonts w:ascii="Times New Roman" w:hAnsi="Times New Roman"/>
          <w:szCs w:val="24"/>
        </w:rPr>
        <w:t>)</w:t>
      </w:r>
      <w:r w:rsidR="00F0375E">
        <w:rPr>
          <w:rFonts w:ascii="Times New Roman" w:hAnsi="Times New Roman"/>
          <w:szCs w:val="24"/>
        </w:rPr>
        <w:t>,</w:t>
      </w:r>
      <w:r w:rsidR="00901442" w:rsidRPr="000E5487">
        <w:rPr>
          <w:rFonts w:ascii="Times New Roman" w:hAnsi="Times New Roman"/>
          <w:szCs w:val="24"/>
        </w:rPr>
        <w:t xml:space="preserve"> </w:t>
      </w:r>
      <w:r w:rsidRPr="000E5487">
        <w:rPr>
          <w:rFonts w:ascii="Times New Roman" w:hAnsi="Times New Roman"/>
          <w:szCs w:val="24"/>
        </w:rPr>
        <w:t xml:space="preserve">39,13% elaboram a taxa de desconto com base nas teorias de precificação de ativos utilizando o modelo </w:t>
      </w:r>
      <w:r w:rsidRPr="000E5487">
        <w:rPr>
          <w:rFonts w:ascii="Times New Roman" w:hAnsi="Times New Roman"/>
          <w:i/>
          <w:szCs w:val="24"/>
        </w:rPr>
        <w:t xml:space="preserve">Capital Asset Pricing Model </w:t>
      </w:r>
      <w:r w:rsidRPr="000E5487">
        <w:rPr>
          <w:rFonts w:ascii="Times New Roman" w:hAnsi="Times New Roman"/>
          <w:szCs w:val="24"/>
        </w:rPr>
        <w:t>(CAPM) e nenhum respondente utiliza taxas obtidas de organismos externos</w:t>
      </w:r>
      <w:r w:rsidR="008E63BF">
        <w:rPr>
          <w:rFonts w:ascii="Times New Roman" w:hAnsi="Times New Roman"/>
          <w:szCs w:val="24"/>
        </w:rPr>
        <w:t xml:space="preserve">, </w:t>
      </w:r>
      <w:r w:rsidR="008E63BF" w:rsidRPr="000E5487">
        <w:rPr>
          <w:rFonts w:ascii="Times New Roman" w:hAnsi="Times New Roman"/>
          <w:noProof/>
          <w:szCs w:val="24"/>
        </w:rPr>
        <w:t>demonstrando que tais técnicas podem representar um indício de padronização, conforme sugerido por</w:t>
      </w:r>
      <w:r w:rsidR="008E63BF">
        <w:rPr>
          <w:rFonts w:ascii="Times New Roman" w:hAnsi="Times New Roman"/>
          <w:noProof/>
          <w:szCs w:val="24"/>
        </w:rPr>
        <w:t xml:space="preserve"> </w:t>
      </w:r>
      <w:r w:rsidR="008E63BF">
        <w:rPr>
          <w:rFonts w:ascii="Times New Roman" w:hAnsi="Times New Roman"/>
          <w:noProof/>
          <w:szCs w:val="24"/>
        </w:rPr>
        <w:fldChar w:fldCharType="begin" w:fldLock="1"/>
      </w:r>
      <w:r w:rsidR="008E63BF">
        <w:rPr>
          <w:rFonts w:ascii="Times New Roman" w:hAnsi="Times New Roman"/>
          <w:noProof/>
          <w:szCs w:val="24"/>
        </w:rPr>
        <w:instrText>ADDIN CSL_CITATION {"citationItems":[{"id":"ITEM-1","itemData":{"author":[{"dropping-particle":"","family":"Eckel","given":"Leonard","non-dropping-particle":"","parse-names":false,"suffix":""},{"dropping-particle":"","family":"Fortin","given":"Steve","non-dropping-particle":"","parse-names":false,"suffix":""},{"dropping-particle":"","family":"Fisher","given":"Kathryn","non-dropping-particle":"","parse-names":false,"suffix":""}],"container-title":"Accounting Forum","id":"ITEM-1","issued":{"date-parts":[["2003"]]},"page":"28-59","title":"The Choice of Discount Rate for External Reporting Purposes: Considerations for Standard Setting","type":"article-journal","volume":"27"},"uris":["http://www.mendeley.com/documents/?uuid=7cab9892-b78e-4e32-9a3d-45e109eb591f"]}],"mendeley":{"formattedCitation":"(ECKEL; FORTIN; FISHER, 2003)","manualFormatting":"Eckel, Fortin e Fisher (2003)","plainTextFormattedCitation":"(ECKEL; FORTIN; FISHER, 2003)","previouslyFormattedCitation":"(ECKEL; FORTIN; FISHER, 2003)"},"properties":{"noteIndex":0},"schema":"https://github.com/citation-style-language/schema/raw/master/csl-citation.json"}</w:instrText>
      </w:r>
      <w:r w:rsidR="008E63BF">
        <w:rPr>
          <w:rFonts w:ascii="Times New Roman" w:hAnsi="Times New Roman"/>
          <w:noProof/>
          <w:szCs w:val="24"/>
        </w:rPr>
        <w:fldChar w:fldCharType="separate"/>
      </w:r>
      <w:r w:rsidR="008E63BF" w:rsidRPr="00BF33F5">
        <w:rPr>
          <w:rFonts w:ascii="Times New Roman" w:hAnsi="Times New Roman"/>
          <w:noProof/>
          <w:szCs w:val="24"/>
        </w:rPr>
        <w:t>Eckel</w:t>
      </w:r>
      <w:r w:rsidR="008E63BF">
        <w:rPr>
          <w:rFonts w:ascii="Times New Roman" w:hAnsi="Times New Roman"/>
          <w:noProof/>
          <w:szCs w:val="24"/>
        </w:rPr>
        <w:t>,</w:t>
      </w:r>
      <w:r w:rsidR="008E63BF" w:rsidRPr="00BF33F5">
        <w:rPr>
          <w:rFonts w:ascii="Times New Roman" w:hAnsi="Times New Roman"/>
          <w:noProof/>
          <w:szCs w:val="24"/>
        </w:rPr>
        <w:t xml:space="preserve"> Fortin</w:t>
      </w:r>
      <w:r w:rsidR="008E63BF">
        <w:rPr>
          <w:rFonts w:ascii="Times New Roman" w:hAnsi="Times New Roman"/>
          <w:noProof/>
          <w:szCs w:val="24"/>
        </w:rPr>
        <w:t xml:space="preserve"> e</w:t>
      </w:r>
      <w:r w:rsidR="008E63BF" w:rsidRPr="00BF33F5">
        <w:rPr>
          <w:rFonts w:ascii="Times New Roman" w:hAnsi="Times New Roman"/>
          <w:noProof/>
          <w:szCs w:val="24"/>
        </w:rPr>
        <w:t xml:space="preserve"> Fisher </w:t>
      </w:r>
      <w:r w:rsidR="008E63BF">
        <w:rPr>
          <w:rFonts w:ascii="Times New Roman" w:hAnsi="Times New Roman"/>
          <w:noProof/>
          <w:szCs w:val="24"/>
        </w:rPr>
        <w:t>(</w:t>
      </w:r>
      <w:r w:rsidR="008E63BF" w:rsidRPr="00BF33F5">
        <w:rPr>
          <w:rFonts w:ascii="Times New Roman" w:hAnsi="Times New Roman"/>
          <w:noProof/>
          <w:szCs w:val="24"/>
        </w:rPr>
        <w:t>2003)</w:t>
      </w:r>
      <w:r w:rsidR="008E63BF">
        <w:rPr>
          <w:rFonts w:ascii="Times New Roman" w:hAnsi="Times New Roman"/>
          <w:noProof/>
          <w:szCs w:val="24"/>
        </w:rPr>
        <w:fldChar w:fldCharType="end"/>
      </w:r>
      <w:r w:rsidR="008E63BF" w:rsidRPr="000E5487">
        <w:rPr>
          <w:rFonts w:ascii="Times New Roman" w:hAnsi="Times New Roman"/>
          <w:noProof/>
          <w:szCs w:val="24"/>
        </w:rPr>
        <w:t>.</w:t>
      </w:r>
    </w:p>
    <w:p w:rsidR="00792148" w:rsidRPr="000E5487" w:rsidRDefault="00792148" w:rsidP="00B747D7">
      <w:pPr>
        <w:spacing w:after="0" w:line="240" w:lineRule="auto"/>
        <w:ind w:firstLine="709"/>
        <w:jc w:val="both"/>
        <w:rPr>
          <w:rFonts w:ascii="Times New Roman" w:hAnsi="Times New Roman"/>
          <w:szCs w:val="24"/>
        </w:rPr>
      </w:pPr>
      <w:r w:rsidRPr="000E5487">
        <w:rPr>
          <w:rFonts w:ascii="Times New Roman" w:hAnsi="Times New Roman"/>
          <w:szCs w:val="24"/>
        </w:rPr>
        <w:t>A</w:t>
      </w:r>
      <w:r w:rsidR="00CD703A" w:rsidRPr="000E5487">
        <w:rPr>
          <w:rFonts w:ascii="Times New Roman" w:hAnsi="Times New Roman"/>
          <w:szCs w:val="24"/>
        </w:rPr>
        <w:t xml:space="preserve"> seguir são </w:t>
      </w:r>
      <w:r w:rsidRPr="000E5487">
        <w:rPr>
          <w:rFonts w:ascii="Times New Roman" w:hAnsi="Times New Roman"/>
          <w:szCs w:val="24"/>
        </w:rPr>
        <w:t>sintetizadas as informações e escolhas feitas</w:t>
      </w:r>
      <w:r w:rsidR="00820095" w:rsidRPr="000E5487">
        <w:rPr>
          <w:rFonts w:ascii="Times New Roman" w:hAnsi="Times New Roman"/>
          <w:szCs w:val="24"/>
        </w:rPr>
        <w:t xml:space="preserve"> pelos profissionais contábeis </w:t>
      </w:r>
      <w:r w:rsidRPr="000E5487">
        <w:rPr>
          <w:rFonts w:ascii="Times New Roman" w:hAnsi="Times New Roman"/>
          <w:szCs w:val="24"/>
        </w:rPr>
        <w:t xml:space="preserve">para explicitar as técnicas e premissas adotadas na </w:t>
      </w:r>
      <w:r w:rsidR="009C354C" w:rsidRPr="000E5487">
        <w:rPr>
          <w:rFonts w:ascii="Times New Roman" w:hAnsi="Times New Roman"/>
          <w:szCs w:val="24"/>
        </w:rPr>
        <w:t xml:space="preserve">determinação </w:t>
      </w:r>
      <w:r w:rsidRPr="000E5487">
        <w:rPr>
          <w:rFonts w:ascii="Times New Roman" w:hAnsi="Times New Roman"/>
          <w:szCs w:val="24"/>
        </w:rPr>
        <w:t xml:space="preserve">da </w:t>
      </w:r>
      <w:r w:rsidR="00901442" w:rsidRPr="000E5487">
        <w:rPr>
          <w:rFonts w:ascii="Times New Roman" w:hAnsi="Times New Roman"/>
          <w:szCs w:val="24"/>
        </w:rPr>
        <w:t>t</w:t>
      </w:r>
      <w:r w:rsidRPr="000E5487">
        <w:rPr>
          <w:rFonts w:ascii="Times New Roman" w:hAnsi="Times New Roman"/>
          <w:szCs w:val="24"/>
        </w:rPr>
        <w:t xml:space="preserve">axa de </w:t>
      </w:r>
      <w:r w:rsidR="00901442" w:rsidRPr="000E5487">
        <w:rPr>
          <w:rFonts w:ascii="Times New Roman" w:hAnsi="Times New Roman"/>
          <w:szCs w:val="24"/>
        </w:rPr>
        <w:t>d</w:t>
      </w:r>
      <w:r w:rsidRPr="000E5487">
        <w:rPr>
          <w:rFonts w:ascii="Times New Roman" w:hAnsi="Times New Roman"/>
          <w:szCs w:val="24"/>
        </w:rPr>
        <w:t>esconto.</w:t>
      </w:r>
    </w:p>
    <w:p w:rsidR="00086E90" w:rsidRDefault="00086E90" w:rsidP="00913571">
      <w:pPr>
        <w:spacing w:after="0" w:line="240" w:lineRule="auto"/>
        <w:jc w:val="center"/>
        <w:rPr>
          <w:rFonts w:ascii="Times New Roman" w:hAnsi="Times New Roman"/>
          <w:sz w:val="20"/>
          <w:szCs w:val="24"/>
        </w:rPr>
      </w:pPr>
    </w:p>
    <w:p w:rsidR="00792148" w:rsidRPr="00913571" w:rsidRDefault="008F338F" w:rsidP="00913571">
      <w:pPr>
        <w:spacing w:after="0" w:line="240" w:lineRule="auto"/>
        <w:jc w:val="center"/>
        <w:rPr>
          <w:rFonts w:ascii="Times New Roman" w:hAnsi="Times New Roman"/>
          <w:sz w:val="20"/>
          <w:szCs w:val="24"/>
        </w:rPr>
      </w:pPr>
      <w:r w:rsidRPr="00913571">
        <w:rPr>
          <w:rFonts w:ascii="Times New Roman" w:hAnsi="Times New Roman"/>
          <w:sz w:val="20"/>
          <w:szCs w:val="24"/>
        </w:rPr>
        <w:t xml:space="preserve">Tabela </w:t>
      </w:r>
      <w:r w:rsidR="00F0375E" w:rsidRPr="00913571">
        <w:rPr>
          <w:rFonts w:ascii="Times New Roman" w:hAnsi="Times New Roman"/>
          <w:sz w:val="20"/>
          <w:szCs w:val="24"/>
        </w:rPr>
        <w:t>2</w:t>
      </w:r>
      <w:r w:rsidR="00792148" w:rsidRPr="00913571">
        <w:rPr>
          <w:rFonts w:ascii="Times New Roman" w:hAnsi="Times New Roman"/>
          <w:sz w:val="20"/>
          <w:szCs w:val="24"/>
        </w:rPr>
        <w:t xml:space="preserve"> </w:t>
      </w:r>
      <w:r w:rsidR="006C54C9" w:rsidRPr="00913571">
        <w:rPr>
          <w:rFonts w:ascii="Times New Roman" w:hAnsi="Times New Roman"/>
          <w:sz w:val="20"/>
          <w:szCs w:val="24"/>
        </w:rPr>
        <w:t>–</w:t>
      </w:r>
      <w:r w:rsidR="003A4FF7" w:rsidRPr="00913571">
        <w:rPr>
          <w:rFonts w:ascii="Times New Roman" w:hAnsi="Times New Roman"/>
          <w:sz w:val="20"/>
          <w:szCs w:val="24"/>
        </w:rPr>
        <w:t xml:space="preserve"> </w:t>
      </w:r>
      <w:r w:rsidR="006C54C9" w:rsidRPr="00913571">
        <w:rPr>
          <w:rFonts w:ascii="Times New Roman" w:hAnsi="Times New Roman"/>
          <w:sz w:val="20"/>
          <w:szCs w:val="24"/>
        </w:rPr>
        <w:t>Escolhas contábeis</w:t>
      </w:r>
      <w:r w:rsidR="00792148" w:rsidRPr="00913571">
        <w:rPr>
          <w:rFonts w:ascii="Times New Roman" w:hAnsi="Times New Roman"/>
          <w:sz w:val="20"/>
          <w:szCs w:val="24"/>
        </w:rPr>
        <w:t xml:space="preserve"> na </w:t>
      </w:r>
      <w:r w:rsidR="009C354C" w:rsidRPr="00913571">
        <w:rPr>
          <w:rFonts w:ascii="Times New Roman" w:hAnsi="Times New Roman"/>
          <w:sz w:val="20"/>
          <w:szCs w:val="24"/>
        </w:rPr>
        <w:t xml:space="preserve">determinação </w:t>
      </w:r>
      <w:r w:rsidR="00792148" w:rsidRPr="00913571">
        <w:rPr>
          <w:rFonts w:ascii="Times New Roman" w:hAnsi="Times New Roman"/>
          <w:sz w:val="20"/>
          <w:szCs w:val="24"/>
        </w:rPr>
        <w:t xml:space="preserve">da </w:t>
      </w:r>
      <w:r w:rsidR="00A82F5A" w:rsidRPr="00913571">
        <w:rPr>
          <w:rFonts w:ascii="Times New Roman" w:hAnsi="Times New Roman"/>
          <w:sz w:val="20"/>
          <w:szCs w:val="24"/>
        </w:rPr>
        <w:t>t</w:t>
      </w:r>
      <w:r w:rsidR="00792148" w:rsidRPr="00913571">
        <w:rPr>
          <w:rFonts w:ascii="Times New Roman" w:hAnsi="Times New Roman"/>
          <w:sz w:val="20"/>
          <w:szCs w:val="24"/>
        </w:rPr>
        <w:t xml:space="preserve">axa de </w:t>
      </w:r>
      <w:r w:rsidR="00A82F5A" w:rsidRPr="00913571">
        <w:rPr>
          <w:rFonts w:ascii="Times New Roman" w:hAnsi="Times New Roman"/>
          <w:sz w:val="20"/>
          <w:szCs w:val="24"/>
        </w:rPr>
        <w:t>d</w:t>
      </w:r>
      <w:r w:rsidR="00792148" w:rsidRPr="00913571">
        <w:rPr>
          <w:rFonts w:ascii="Times New Roman" w:hAnsi="Times New Roman"/>
          <w:sz w:val="20"/>
          <w:szCs w:val="24"/>
        </w:rPr>
        <w:t>esconto</w:t>
      </w:r>
    </w:p>
    <w:tbl>
      <w:tblPr>
        <w:tblW w:w="4925" w:type="pct"/>
        <w:tblInd w:w="70" w:type="dxa"/>
        <w:tblLayout w:type="fixed"/>
        <w:tblCellMar>
          <w:left w:w="70" w:type="dxa"/>
          <w:right w:w="70" w:type="dxa"/>
        </w:tblCellMar>
        <w:tblLook w:val="04A0" w:firstRow="1" w:lastRow="0" w:firstColumn="1" w:lastColumn="0" w:noHBand="0" w:noVBand="1"/>
      </w:tblPr>
      <w:tblGrid>
        <w:gridCol w:w="1617"/>
        <w:gridCol w:w="4977"/>
        <w:gridCol w:w="1226"/>
        <w:gridCol w:w="1115"/>
      </w:tblGrid>
      <w:tr w:rsidR="008E64CA" w:rsidRPr="000E5487" w:rsidTr="00F0375E">
        <w:trPr>
          <w:trHeight w:val="332"/>
        </w:trPr>
        <w:tc>
          <w:tcPr>
            <w:tcW w:w="905" w:type="pct"/>
            <w:tcBorders>
              <w:top w:val="single" w:sz="4" w:space="0" w:color="auto"/>
              <w:left w:val="nil"/>
              <w:bottom w:val="single" w:sz="4" w:space="0" w:color="auto"/>
              <w:right w:val="nil"/>
            </w:tcBorders>
            <w:shd w:val="clear" w:color="auto" w:fill="auto"/>
            <w:noWrap/>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Componente</w:t>
            </w:r>
          </w:p>
        </w:tc>
        <w:tc>
          <w:tcPr>
            <w:tcW w:w="2785" w:type="pct"/>
            <w:tcBorders>
              <w:top w:val="single" w:sz="4" w:space="0" w:color="auto"/>
              <w:left w:val="nil"/>
              <w:bottom w:val="single" w:sz="4" w:space="0" w:color="auto"/>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Alternativas</w:t>
            </w:r>
          </w:p>
        </w:tc>
        <w:tc>
          <w:tcPr>
            <w:tcW w:w="686" w:type="pct"/>
            <w:tcBorders>
              <w:top w:val="single" w:sz="4" w:space="0" w:color="auto"/>
              <w:left w:val="nil"/>
              <w:bottom w:val="single" w:sz="4" w:space="0" w:color="auto"/>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Frequência Absoluta</w:t>
            </w:r>
          </w:p>
        </w:tc>
        <w:tc>
          <w:tcPr>
            <w:tcW w:w="624" w:type="pct"/>
            <w:tcBorders>
              <w:top w:val="single" w:sz="4" w:space="0" w:color="auto"/>
              <w:left w:val="nil"/>
              <w:bottom w:val="single" w:sz="4" w:space="0" w:color="auto"/>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Frequência Relativa</w:t>
            </w:r>
          </w:p>
        </w:tc>
      </w:tr>
      <w:tr w:rsidR="008E64CA" w:rsidRPr="000E5487" w:rsidTr="00F0375E">
        <w:trPr>
          <w:trHeight w:val="281"/>
        </w:trPr>
        <w:tc>
          <w:tcPr>
            <w:tcW w:w="905" w:type="pct"/>
            <w:vMerge w:val="restart"/>
            <w:tcBorders>
              <w:top w:val="nil"/>
              <w:left w:val="nil"/>
              <w:bottom w:val="nil"/>
              <w:right w:val="nil"/>
            </w:tcBorders>
            <w:shd w:val="clear" w:color="000000" w:fill="F2F2F2"/>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Custo do </w:t>
            </w:r>
            <w:r w:rsidR="006D5335" w:rsidRPr="000E5487">
              <w:rPr>
                <w:rFonts w:ascii="Times New Roman" w:hAnsi="Times New Roman"/>
                <w:b/>
                <w:bCs/>
                <w:color w:val="000000"/>
                <w:sz w:val="20"/>
                <w:szCs w:val="20"/>
              </w:rPr>
              <w:t>c</w:t>
            </w:r>
            <w:r w:rsidRPr="000E5487">
              <w:rPr>
                <w:rFonts w:ascii="Times New Roman" w:hAnsi="Times New Roman"/>
                <w:b/>
                <w:bCs/>
                <w:color w:val="000000"/>
                <w:sz w:val="20"/>
                <w:szCs w:val="20"/>
              </w:rPr>
              <w:t xml:space="preserve">apital </w:t>
            </w:r>
            <w:r w:rsidR="006D5335" w:rsidRPr="000E5487">
              <w:rPr>
                <w:rFonts w:ascii="Times New Roman" w:hAnsi="Times New Roman"/>
                <w:b/>
                <w:bCs/>
                <w:color w:val="000000"/>
                <w:sz w:val="20"/>
                <w:szCs w:val="20"/>
              </w:rPr>
              <w:t>p</w:t>
            </w:r>
            <w:r w:rsidRPr="000E5487">
              <w:rPr>
                <w:rFonts w:ascii="Times New Roman" w:hAnsi="Times New Roman"/>
                <w:b/>
                <w:bCs/>
                <w:color w:val="000000"/>
                <w:sz w:val="20"/>
                <w:szCs w:val="20"/>
              </w:rPr>
              <w:t>róprio</w:t>
            </w: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lang w:val="en-US"/>
              </w:rPr>
            </w:pPr>
            <w:r w:rsidRPr="000E5487">
              <w:rPr>
                <w:rFonts w:ascii="Times New Roman" w:hAnsi="Times New Roman"/>
                <w:sz w:val="20"/>
                <w:szCs w:val="20"/>
                <w:lang w:val="en-US"/>
              </w:rPr>
              <w:t xml:space="preserve">Modelo CAPM - </w:t>
            </w:r>
            <w:r w:rsidRPr="000E5487">
              <w:rPr>
                <w:rFonts w:ascii="Times New Roman" w:hAnsi="Times New Roman"/>
                <w:i/>
                <w:iCs/>
                <w:sz w:val="20"/>
                <w:szCs w:val="20"/>
                <w:lang w:val="en-US"/>
              </w:rPr>
              <w:t>Capital Asset Pricing Model</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20</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86,96%</w:t>
            </w:r>
          </w:p>
        </w:tc>
      </w:tr>
      <w:tr w:rsidR="008E64CA" w:rsidRPr="000E5487" w:rsidTr="00F0375E">
        <w:trPr>
          <w:trHeight w:val="147"/>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Modelo de Gordon - descontos dos fluxos de dividendos</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4,34%</w:t>
            </w:r>
          </w:p>
        </w:tc>
      </w:tr>
      <w:tr w:rsidR="008E64CA" w:rsidRPr="000E5487" w:rsidTr="00F0375E">
        <w:trPr>
          <w:trHeight w:val="210"/>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 xml:space="preserve">Método de </w:t>
            </w:r>
            <w:r w:rsidR="00901442" w:rsidRPr="000E5487">
              <w:rPr>
                <w:rFonts w:ascii="Times New Roman" w:hAnsi="Times New Roman"/>
                <w:sz w:val="20"/>
                <w:szCs w:val="20"/>
              </w:rPr>
              <w:t>P</w:t>
            </w:r>
            <w:r w:rsidRPr="000E5487">
              <w:rPr>
                <w:rFonts w:ascii="Times New Roman" w:hAnsi="Times New Roman"/>
                <w:sz w:val="20"/>
                <w:szCs w:val="20"/>
              </w:rPr>
              <w:t xml:space="preserve">recificação por </w:t>
            </w:r>
            <w:r w:rsidR="00901442" w:rsidRPr="000E5487">
              <w:rPr>
                <w:rFonts w:ascii="Times New Roman" w:hAnsi="Times New Roman"/>
                <w:sz w:val="20"/>
                <w:szCs w:val="20"/>
              </w:rPr>
              <w:t>A</w:t>
            </w:r>
            <w:r w:rsidRPr="000E5487">
              <w:rPr>
                <w:rFonts w:ascii="Times New Roman" w:hAnsi="Times New Roman"/>
                <w:sz w:val="20"/>
                <w:szCs w:val="20"/>
              </w:rPr>
              <w:t>rbitragem (APM)</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8,70%</w:t>
            </w:r>
          </w:p>
        </w:tc>
      </w:tr>
      <w:tr w:rsidR="008E64CA" w:rsidRPr="000E5487" w:rsidTr="00F0375E">
        <w:trPr>
          <w:trHeight w:val="109"/>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686" w:type="pct"/>
            <w:tcBorders>
              <w:top w:val="nil"/>
              <w:left w:val="nil"/>
              <w:bottom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8E64CA" w:rsidRPr="000E5487" w:rsidTr="00F0375E">
        <w:trPr>
          <w:trHeight w:val="69"/>
        </w:trPr>
        <w:tc>
          <w:tcPr>
            <w:tcW w:w="90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p>
        </w:tc>
        <w:tc>
          <w:tcPr>
            <w:tcW w:w="686" w:type="pct"/>
            <w:tcBorders>
              <w:top w:val="nil"/>
              <w:left w:val="nil"/>
              <w:bottom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p>
        </w:tc>
      </w:tr>
      <w:tr w:rsidR="008E64CA" w:rsidRPr="000E5487" w:rsidTr="00F0375E">
        <w:trPr>
          <w:trHeight w:val="517"/>
        </w:trPr>
        <w:tc>
          <w:tcPr>
            <w:tcW w:w="905" w:type="pct"/>
            <w:vMerge w:val="restar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Coeficiente </w:t>
            </w:r>
            <w:r w:rsidR="006D5335" w:rsidRPr="000E5487">
              <w:rPr>
                <w:rFonts w:ascii="Times New Roman" w:hAnsi="Times New Roman"/>
                <w:b/>
                <w:bCs/>
                <w:color w:val="000000"/>
                <w:sz w:val="20"/>
                <w:szCs w:val="20"/>
              </w:rPr>
              <w:t>b</w:t>
            </w:r>
            <w:r w:rsidRPr="000E5487">
              <w:rPr>
                <w:rFonts w:ascii="Times New Roman" w:hAnsi="Times New Roman"/>
                <w:b/>
                <w:bCs/>
                <w:color w:val="000000"/>
                <w:sz w:val="20"/>
                <w:szCs w:val="20"/>
              </w:rPr>
              <w:t>eta</w:t>
            </w: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Pelo cálculo da regressão dos retornos da empresa em relação a uma carteira de mercado</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13</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56,52%</w:t>
            </w:r>
          </w:p>
        </w:tc>
      </w:tr>
      <w:tr w:rsidR="008E64CA" w:rsidRPr="000E5487" w:rsidTr="00F0375E">
        <w:trPr>
          <w:trHeight w:val="302"/>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Pela desalavancagem de um beta de uma empresa comparável</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10</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43,48%</w:t>
            </w:r>
          </w:p>
        </w:tc>
      </w:tr>
      <w:tr w:rsidR="008E64CA" w:rsidRPr="000E5487" w:rsidTr="00F0375E">
        <w:trPr>
          <w:trHeight w:val="141"/>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Total</w:t>
            </w:r>
          </w:p>
        </w:tc>
        <w:tc>
          <w:tcPr>
            <w:tcW w:w="686" w:type="pct"/>
            <w:tcBorders>
              <w:top w:val="nil"/>
              <w:left w:val="nil"/>
              <w:bottom w:val="nil"/>
              <w:right w:val="nil"/>
            </w:tcBorders>
            <w:shd w:val="clear" w:color="000000" w:fill="F2F2F2"/>
            <w:noWrap/>
            <w:vAlign w:val="bottom"/>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8E64CA" w:rsidRPr="000E5487" w:rsidTr="00F0375E">
        <w:trPr>
          <w:trHeight w:val="205"/>
        </w:trPr>
        <w:tc>
          <w:tcPr>
            <w:tcW w:w="90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p>
        </w:tc>
        <w:tc>
          <w:tcPr>
            <w:tcW w:w="686" w:type="pct"/>
            <w:tcBorders>
              <w:top w:val="nil"/>
              <w:left w:val="nil"/>
              <w:bottom w:val="nil"/>
              <w:right w:val="nil"/>
            </w:tcBorders>
            <w:shd w:val="clear" w:color="auto" w:fill="auto"/>
            <w:noWrap/>
            <w:vAlign w:val="bottom"/>
            <w:hideMark/>
          </w:tcPr>
          <w:p w:rsidR="008E64CA" w:rsidRPr="000E5487" w:rsidRDefault="008E64CA" w:rsidP="00086E90">
            <w:pPr>
              <w:spacing w:after="0" w:line="240" w:lineRule="auto"/>
              <w:jc w:val="center"/>
              <w:rPr>
                <w:rFonts w:ascii="Times New Roman" w:hAnsi="Times New Roman"/>
                <w:b/>
                <w:bCs/>
                <w:color w:val="000000"/>
                <w:sz w:val="20"/>
                <w:szCs w:val="20"/>
              </w:rPr>
            </w:pP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p>
        </w:tc>
      </w:tr>
      <w:tr w:rsidR="008E64CA" w:rsidRPr="000E5487" w:rsidTr="00F0375E">
        <w:trPr>
          <w:trHeight w:val="105"/>
        </w:trPr>
        <w:tc>
          <w:tcPr>
            <w:tcW w:w="905" w:type="pct"/>
            <w:vMerge w:val="restart"/>
            <w:tcBorders>
              <w:top w:val="nil"/>
              <w:left w:val="nil"/>
              <w:bottom w:val="nil"/>
              <w:right w:val="nil"/>
            </w:tcBorders>
            <w:shd w:val="clear" w:color="000000" w:fill="F2F2F2"/>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Taxa </w:t>
            </w:r>
            <w:r w:rsidR="006D5335" w:rsidRPr="000E5487">
              <w:rPr>
                <w:rFonts w:ascii="Times New Roman" w:hAnsi="Times New Roman"/>
                <w:b/>
                <w:bCs/>
                <w:color w:val="000000"/>
                <w:sz w:val="20"/>
                <w:szCs w:val="20"/>
              </w:rPr>
              <w:t>l</w:t>
            </w:r>
            <w:r w:rsidRPr="000E5487">
              <w:rPr>
                <w:rFonts w:ascii="Times New Roman" w:hAnsi="Times New Roman"/>
                <w:b/>
                <w:bCs/>
                <w:color w:val="000000"/>
                <w:sz w:val="20"/>
                <w:szCs w:val="20"/>
              </w:rPr>
              <w:t xml:space="preserve">ivre de </w:t>
            </w:r>
            <w:r w:rsidR="006D5335" w:rsidRPr="000E5487">
              <w:rPr>
                <w:rFonts w:ascii="Times New Roman" w:hAnsi="Times New Roman"/>
                <w:b/>
                <w:bCs/>
                <w:color w:val="000000"/>
                <w:sz w:val="20"/>
                <w:szCs w:val="20"/>
              </w:rPr>
              <w:t>r</w:t>
            </w:r>
            <w:r w:rsidRPr="000E5487">
              <w:rPr>
                <w:rFonts w:ascii="Times New Roman" w:hAnsi="Times New Roman"/>
                <w:b/>
                <w:bCs/>
                <w:color w:val="000000"/>
                <w:sz w:val="20"/>
                <w:szCs w:val="20"/>
              </w:rPr>
              <w:t>isco</w:t>
            </w: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Valor histórico</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8,70%</w:t>
            </w:r>
          </w:p>
        </w:tc>
      </w:tr>
      <w:tr w:rsidR="008E64CA" w:rsidRPr="000E5487" w:rsidTr="00F0375E">
        <w:trPr>
          <w:trHeight w:val="167"/>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Valor de mercado</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7</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30,43%</w:t>
            </w:r>
          </w:p>
        </w:tc>
      </w:tr>
      <w:tr w:rsidR="008E64CA" w:rsidRPr="000E5487" w:rsidTr="00F0375E">
        <w:trPr>
          <w:trHeight w:val="82"/>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Títulos do tesouro americano (T-bonds)</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8,70%</w:t>
            </w:r>
          </w:p>
        </w:tc>
      </w:tr>
      <w:tr w:rsidR="008E64CA" w:rsidRPr="000E5487" w:rsidTr="00F0375E">
        <w:trPr>
          <w:trHeight w:val="144"/>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Taxa SELIC</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12</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52,17%</w:t>
            </w:r>
          </w:p>
        </w:tc>
      </w:tr>
      <w:tr w:rsidR="008E64CA" w:rsidRPr="000E5487" w:rsidTr="00F0375E">
        <w:trPr>
          <w:trHeight w:val="193"/>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686" w:type="pct"/>
            <w:tcBorders>
              <w:top w:val="nil"/>
              <w:left w:val="nil"/>
              <w:bottom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8E64CA" w:rsidRPr="000E5487" w:rsidTr="00F0375E">
        <w:trPr>
          <w:trHeight w:val="214"/>
        </w:trPr>
        <w:tc>
          <w:tcPr>
            <w:tcW w:w="90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p>
        </w:tc>
        <w:tc>
          <w:tcPr>
            <w:tcW w:w="686" w:type="pct"/>
            <w:tcBorders>
              <w:top w:val="nil"/>
              <w:left w:val="nil"/>
              <w:bottom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p>
        </w:tc>
      </w:tr>
      <w:tr w:rsidR="008E64CA" w:rsidRPr="000E5487" w:rsidTr="00F0375E">
        <w:trPr>
          <w:trHeight w:val="154"/>
        </w:trPr>
        <w:tc>
          <w:tcPr>
            <w:tcW w:w="905" w:type="pct"/>
            <w:vMerge w:val="restar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Risco </w:t>
            </w:r>
            <w:r w:rsidR="006D5335" w:rsidRPr="000E5487">
              <w:rPr>
                <w:rFonts w:ascii="Times New Roman" w:hAnsi="Times New Roman"/>
                <w:b/>
                <w:bCs/>
                <w:color w:val="000000"/>
                <w:sz w:val="20"/>
                <w:szCs w:val="20"/>
              </w:rPr>
              <w:t>p</w:t>
            </w:r>
            <w:r w:rsidRPr="000E5487">
              <w:rPr>
                <w:rFonts w:ascii="Times New Roman" w:hAnsi="Times New Roman"/>
                <w:b/>
                <w:bCs/>
                <w:color w:val="000000"/>
                <w:sz w:val="20"/>
                <w:szCs w:val="20"/>
              </w:rPr>
              <w:t>aís</w:t>
            </w:r>
          </w:p>
        </w:tc>
        <w:tc>
          <w:tcPr>
            <w:tcW w:w="2785" w:type="pct"/>
            <w:tcBorders>
              <w:top w:val="nil"/>
              <w:left w:val="nil"/>
              <w:bottom w:val="nil"/>
              <w:right w:val="nil"/>
            </w:tcBorders>
            <w:shd w:val="clear" w:color="000000" w:fill="F2F2F2"/>
            <w:vAlign w:val="bottom"/>
            <w:hideMark/>
          </w:tcPr>
          <w:p w:rsidR="008E64CA" w:rsidRPr="000E5487" w:rsidRDefault="008E64CA" w:rsidP="00086E90">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Sim</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9</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39,13%</w:t>
            </w:r>
          </w:p>
        </w:tc>
      </w:tr>
      <w:tr w:rsidR="008E64CA" w:rsidRPr="000E5487" w:rsidTr="00F0375E">
        <w:trPr>
          <w:trHeight w:val="218"/>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bottom"/>
            <w:hideMark/>
          </w:tcPr>
          <w:p w:rsidR="008E64CA" w:rsidRPr="000E5487" w:rsidRDefault="008E64CA" w:rsidP="00086E90">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Não</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14</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60,87%</w:t>
            </w:r>
          </w:p>
        </w:tc>
      </w:tr>
      <w:tr w:rsidR="008E64CA" w:rsidRPr="000E5487" w:rsidTr="00F0375E">
        <w:trPr>
          <w:trHeight w:val="117"/>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686" w:type="pct"/>
            <w:tcBorders>
              <w:top w:val="nil"/>
              <w:left w:val="nil"/>
              <w:bottom w:val="nil"/>
              <w:right w:val="nil"/>
            </w:tcBorders>
            <w:shd w:val="clear" w:color="000000" w:fill="F2F2F2"/>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8E64CA" w:rsidRPr="000E5487" w:rsidTr="00F0375E">
        <w:trPr>
          <w:trHeight w:val="69"/>
        </w:trPr>
        <w:tc>
          <w:tcPr>
            <w:tcW w:w="90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p>
        </w:tc>
        <w:tc>
          <w:tcPr>
            <w:tcW w:w="686" w:type="pct"/>
            <w:tcBorders>
              <w:top w:val="nil"/>
              <w:left w:val="nil"/>
              <w:bottom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p>
        </w:tc>
      </w:tr>
      <w:tr w:rsidR="008E64CA" w:rsidRPr="000E5487" w:rsidTr="00F0375E">
        <w:trPr>
          <w:trHeight w:val="228"/>
        </w:trPr>
        <w:tc>
          <w:tcPr>
            <w:tcW w:w="905" w:type="pct"/>
            <w:vMerge w:val="restart"/>
            <w:tcBorders>
              <w:top w:val="nil"/>
              <w:left w:val="nil"/>
              <w:bottom w:val="nil"/>
              <w:right w:val="nil"/>
            </w:tcBorders>
            <w:shd w:val="clear" w:color="000000" w:fill="F2F2F2"/>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Medida de </w:t>
            </w:r>
            <w:r w:rsidR="006D5335" w:rsidRPr="000E5487">
              <w:rPr>
                <w:rFonts w:ascii="Times New Roman" w:hAnsi="Times New Roman"/>
                <w:b/>
                <w:bCs/>
                <w:color w:val="000000"/>
                <w:sz w:val="20"/>
                <w:szCs w:val="20"/>
              </w:rPr>
              <w:t>r</w:t>
            </w:r>
            <w:r w:rsidRPr="000E5487">
              <w:rPr>
                <w:rFonts w:ascii="Times New Roman" w:hAnsi="Times New Roman"/>
                <w:b/>
                <w:bCs/>
                <w:color w:val="000000"/>
                <w:sz w:val="20"/>
                <w:szCs w:val="20"/>
              </w:rPr>
              <w:t xml:space="preserve">isco </w:t>
            </w:r>
            <w:r w:rsidR="006D5335" w:rsidRPr="000E5487">
              <w:rPr>
                <w:rFonts w:ascii="Times New Roman" w:hAnsi="Times New Roman"/>
                <w:b/>
                <w:bCs/>
                <w:color w:val="000000"/>
                <w:sz w:val="20"/>
                <w:szCs w:val="20"/>
              </w:rPr>
              <w:t>p</w:t>
            </w:r>
            <w:r w:rsidRPr="000E5487">
              <w:rPr>
                <w:rFonts w:ascii="Times New Roman" w:hAnsi="Times New Roman"/>
                <w:b/>
                <w:bCs/>
                <w:color w:val="000000"/>
                <w:sz w:val="20"/>
                <w:szCs w:val="20"/>
              </w:rPr>
              <w:t>aís</w:t>
            </w: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Embi+Br</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6</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66,67%</w:t>
            </w:r>
          </w:p>
        </w:tc>
      </w:tr>
      <w:tr w:rsidR="008E64CA" w:rsidRPr="000E5487" w:rsidTr="00F0375E">
        <w:trPr>
          <w:trHeight w:val="143"/>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Credit Default Swap (CDS) do Brasil</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22,22%</w:t>
            </w:r>
          </w:p>
        </w:tc>
      </w:tr>
      <w:tr w:rsidR="008E64CA" w:rsidRPr="000E5487" w:rsidTr="00F0375E">
        <w:trPr>
          <w:trHeight w:val="191"/>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Outros</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11,11%</w:t>
            </w:r>
          </w:p>
        </w:tc>
      </w:tr>
      <w:tr w:rsidR="008E64CA" w:rsidRPr="000E5487" w:rsidTr="00F0375E">
        <w:trPr>
          <w:trHeight w:val="105"/>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9</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8E64CA" w:rsidRPr="000E5487" w:rsidTr="00F0375E">
        <w:trPr>
          <w:trHeight w:val="153"/>
        </w:trPr>
        <w:tc>
          <w:tcPr>
            <w:tcW w:w="905" w:type="pct"/>
            <w:tcBorders>
              <w:top w:val="nil"/>
              <w:left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p>
        </w:tc>
        <w:tc>
          <w:tcPr>
            <w:tcW w:w="2785" w:type="pct"/>
            <w:tcBorders>
              <w:top w:val="nil"/>
              <w:left w:val="nil"/>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p>
        </w:tc>
        <w:tc>
          <w:tcPr>
            <w:tcW w:w="686" w:type="pct"/>
            <w:tcBorders>
              <w:top w:val="nil"/>
              <w:left w:val="nil"/>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p>
        </w:tc>
        <w:tc>
          <w:tcPr>
            <w:tcW w:w="624" w:type="pct"/>
            <w:tcBorders>
              <w:top w:val="nil"/>
              <w:left w:val="nil"/>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p>
        </w:tc>
      </w:tr>
      <w:tr w:rsidR="008E64CA" w:rsidRPr="000E5487" w:rsidTr="00F0375E">
        <w:trPr>
          <w:trHeight w:val="216"/>
        </w:trPr>
        <w:tc>
          <w:tcPr>
            <w:tcW w:w="905" w:type="pct"/>
            <w:vMerge w:val="restart"/>
            <w:tcBorders>
              <w:top w:val="nil"/>
              <w:left w:val="nil"/>
              <w:bottom w:val="nil"/>
              <w:right w:val="nil"/>
            </w:tcBorders>
            <w:shd w:val="clear" w:color="auto" w:fill="auto"/>
            <w:vAlign w:val="center"/>
            <w:hideMark/>
          </w:tcPr>
          <w:p w:rsidR="008E64CA" w:rsidRPr="000E5487" w:rsidRDefault="008E64CA"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Taxa de </w:t>
            </w:r>
            <w:r w:rsidR="006D5335" w:rsidRPr="000E5487">
              <w:rPr>
                <w:rFonts w:ascii="Times New Roman" w:hAnsi="Times New Roman"/>
                <w:b/>
                <w:bCs/>
                <w:color w:val="000000"/>
                <w:sz w:val="20"/>
                <w:szCs w:val="20"/>
              </w:rPr>
              <w:t>r</w:t>
            </w:r>
            <w:r w:rsidRPr="000E5487">
              <w:rPr>
                <w:rFonts w:ascii="Times New Roman" w:hAnsi="Times New Roman"/>
                <w:b/>
                <w:bCs/>
                <w:color w:val="000000"/>
                <w:sz w:val="20"/>
                <w:szCs w:val="20"/>
              </w:rPr>
              <w:t xml:space="preserve">etorno da </w:t>
            </w:r>
            <w:r w:rsidR="006D5335" w:rsidRPr="000E5487">
              <w:rPr>
                <w:rFonts w:ascii="Times New Roman" w:hAnsi="Times New Roman"/>
                <w:b/>
                <w:bCs/>
                <w:color w:val="000000"/>
                <w:sz w:val="20"/>
                <w:szCs w:val="20"/>
              </w:rPr>
              <w:t>c</w:t>
            </w:r>
            <w:r w:rsidRPr="000E5487">
              <w:rPr>
                <w:rFonts w:ascii="Times New Roman" w:hAnsi="Times New Roman"/>
                <w:b/>
                <w:bCs/>
                <w:color w:val="000000"/>
                <w:sz w:val="20"/>
                <w:szCs w:val="20"/>
              </w:rPr>
              <w:t xml:space="preserve">arteira de </w:t>
            </w:r>
            <w:r w:rsidR="006D5335" w:rsidRPr="000E5487">
              <w:rPr>
                <w:rFonts w:ascii="Times New Roman" w:hAnsi="Times New Roman"/>
                <w:b/>
                <w:bCs/>
                <w:color w:val="000000"/>
                <w:sz w:val="20"/>
                <w:szCs w:val="20"/>
              </w:rPr>
              <w:t>m</w:t>
            </w:r>
            <w:r w:rsidRPr="000E5487">
              <w:rPr>
                <w:rFonts w:ascii="Times New Roman" w:hAnsi="Times New Roman"/>
                <w:b/>
                <w:bCs/>
                <w:color w:val="000000"/>
                <w:sz w:val="20"/>
                <w:szCs w:val="20"/>
              </w:rPr>
              <w:t>ercado</w:t>
            </w: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Ibovespa</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14</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60,87%</w:t>
            </w:r>
          </w:p>
        </w:tc>
      </w:tr>
      <w:tr w:rsidR="008E64CA" w:rsidRPr="000E5487" w:rsidTr="00F0375E">
        <w:trPr>
          <w:trHeight w:val="115"/>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auto" w:fill="auto"/>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IBrX</w:t>
            </w:r>
          </w:p>
        </w:tc>
        <w:tc>
          <w:tcPr>
            <w:tcW w:w="686" w:type="pct"/>
            <w:tcBorders>
              <w:top w:val="nil"/>
              <w:left w:val="nil"/>
              <w:bottom w:val="nil"/>
              <w:right w:val="nil"/>
            </w:tcBorders>
            <w:shd w:val="clear" w:color="auto" w:fill="auto"/>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7</w:t>
            </w:r>
          </w:p>
        </w:tc>
        <w:tc>
          <w:tcPr>
            <w:tcW w:w="624" w:type="pct"/>
            <w:tcBorders>
              <w:top w:val="nil"/>
              <w:left w:val="nil"/>
              <w:bottom w:val="nil"/>
              <w:right w:val="nil"/>
            </w:tcBorders>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30,43%</w:t>
            </w:r>
          </w:p>
        </w:tc>
      </w:tr>
      <w:tr w:rsidR="008E64CA" w:rsidRPr="000E5487" w:rsidTr="00F0375E">
        <w:trPr>
          <w:trHeight w:val="178"/>
        </w:trPr>
        <w:tc>
          <w:tcPr>
            <w:tcW w:w="905" w:type="pct"/>
            <w:vMerge/>
            <w:tcBorders>
              <w:top w:val="nil"/>
              <w:left w:val="nil"/>
              <w:bottom w:val="nil"/>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rPr>
                <w:rFonts w:ascii="Times New Roman" w:hAnsi="Times New Roman"/>
                <w:sz w:val="20"/>
                <w:szCs w:val="20"/>
              </w:rPr>
            </w:pPr>
            <w:r w:rsidRPr="000E5487">
              <w:rPr>
                <w:rFonts w:ascii="Times New Roman" w:hAnsi="Times New Roman"/>
                <w:sz w:val="20"/>
                <w:szCs w:val="20"/>
              </w:rPr>
              <w:t>Outros</w:t>
            </w:r>
          </w:p>
        </w:tc>
        <w:tc>
          <w:tcPr>
            <w:tcW w:w="686" w:type="pct"/>
            <w:tcBorders>
              <w:top w:val="nil"/>
              <w:left w:val="nil"/>
              <w:bottom w:val="nil"/>
              <w:right w:val="nil"/>
            </w:tcBorders>
            <w:shd w:val="clear" w:color="000000" w:fill="F2F2F2"/>
            <w:vAlign w:val="center"/>
            <w:hideMark/>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2</w:t>
            </w:r>
          </w:p>
        </w:tc>
        <w:tc>
          <w:tcPr>
            <w:tcW w:w="624" w:type="pct"/>
            <w:tcBorders>
              <w:top w:val="nil"/>
              <w:left w:val="nil"/>
              <w:bottom w:val="nil"/>
              <w:right w:val="nil"/>
            </w:tcBorders>
            <w:shd w:val="clear" w:color="000000" w:fill="F2F2F2"/>
            <w:vAlign w:val="center"/>
          </w:tcPr>
          <w:p w:rsidR="008E64CA" w:rsidRPr="000E5487" w:rsidRDefault="008E64CA" w:rsidP="00086E90">
            <w:pPr>
              <w:spacing w:after="0" w:line="240" w:lineRule="auto"/>
              <w:jc w:val="center"/>
              <w:rPr>
                <w:rFonts w:ascii="Times New Roman" w:hAnsi="Times New Roman"/>
                <w:bCs/>
                <w:color w:val="000000"/>
                <w:sz w:val="20"/>
                <w:szCs w:val="20"/>
              </w:rPr>
            </w:pPr>
            <w:r w:rsidRPr="000E5487">
              <w:rPr>
                <w:rFonts w:ascii="Times New Roman" w:hAnsi="Times New Roman"/>
                <w:bCs/>
                <w:color w:val="000000"/>
                <w:sz w:val="20"/>
                <w:szCs w:val="20"/>
              </w:rPr>
              <w:t>8,70%</w:t>
            </w:r>
          </w:p>
        </w:tc>
      </w:tr>
      <w:tr w:rsidR="008E64CA" w:rsidRPr="000E5487" w:rsidTr="00F0375E">
        <w:trPr>
          <w:trHeight w:val="77"/>
        </w:trPr>
        <w:tc>
          <w:tcPr>
            <w:tcW w:w="905" w:type="pct"/>
            <w:vMerge/>
            <w:tcBorders>
              <w:top w:val="nil"/>
              <w:left w:val="nil"/>
              <w:bottom w:val="single" w:sz="4" w:space="0" w:color="auto"/>
              <w:right w:val="nil"/>
            </w:tcBorders>
            <w:vAlign w:val="center"/>
            <w:hideMark/>
          </w:tcPr>
          <w:p w:rsidR="008E64CA" w:rsidRPr="000E5487" w:rsidRDefault="008E64CA" w:rsidP="00086E90">
            <w:pPr>
              <w:spacing w:after="0" w:line="240" w:lineRule="auto"/>
              <w:ind w:firstLine="2"/>
              <w:rPr>
                <w:rFonts w:ascii="Times New Roman" w:hAnsi="Times New Roman"/>
                <w:b/>
                <w:bCs/>
                <w:color w:val="000000"/>
                <w:sz w:val="20"/>
                <w:szCs w:val="20"/>
              </w:rPr>
            </w:pPr>
          </w:p>
        </w:tc>
        <w:tc>
          <w:tcPr>
            <w:tcW w:w="2785" w:type="pct"/>
            <w:tcBorders>
              <w:top w:val="nil"/>
              <w:left w:val="nil"/>
              <w:bottom w:val="single" w:sz="4" w:space="0" w:color="auto"/>
              <w:right w:val="nil"/>
            </w:tcBorders>
            <w:shd w:val="clear" w:color="auto" w:fill="auto"/>
            <w:vAlign w:val="center"/>
            <w:hideMark/>
          </w:tcPr>
          <w:p w:rsidR="008E64CA" w:rsidRPr="000E5487" w:rsidRDefault="008E64CA"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686" w:type="pct"/>
            <w:tcBorders>
              <w:top w:val="nil"/>
              <w:left w:val="nil"/>
              <w:bottom w:val="single" w:sz="4" w:space="0" w:color="auto"/>
              <w:right w:val="nil"/>
            </w:tcBorders>
            <w:shd w:val="clear" w:color="auto" w:fill="auto"/>
            <w:noWrap/>
            <w:vAlign w:val="center"/>
            <w:hideMark/>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24" w:type="pct"/>
            <w:tcBorders>
              <w:top w:val="nil"/>
              <w:left w:val="nil"/>
              <w:bottom w:val="single" w:sz="4" w:space="0" w:color="auto"/>
              <w:right w:val="nil"/>
            </w:tcBorders>
            <w:vAlign w:val="center"/>
          </w:tcPr>
          <w:p w:rsidR="008E64CA" w:rsidRPr="000E5487" w:rsidRDefault="008E64CA"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bl>
    <w:p w:rsidR="00F0375E" w:rsidRDefault="00F0375E" w:rsidP="00B747D7">
      <w:pPr>
        <w:spacing w:after="0" w:line="240" w:lineRule="auto"/>
        <w:ind w:firstLine="709"/>
        <w:jc w:val="both"/>
        <w:rPr>
          <w:rFonts w:ascii="Times New Roman" w:hAnsi="Times New Roman"/>
          <w:szCs w:val="24"/>
        </w:rPr>
      </w:pPr>
    </w:p>
    <w:p w:rsidR="00C727C6" w:rsidRDefault="00C168B5" w:rsidP="00B747D7">
      <w:pPr>
        <w:spacing w:after="0" w:line="240" w:lineRule="auto"/>
        <w:ind w:firstLine="709"/>
        <w:jc w:val="both"/>
        <w:rPr>
          <w:rFonts w:ascii="Times New Roman" w:hAnsi="Times New Roman"/>
          <w:szCs w:val="24"/>
        </w:rPr>
      </w:pPr>
      <w:r w:rsidRPr="000E5487">
        <w:rPr>
          <w:rFonts w:ascii="Times New Roman" w:hAnsi="Times New Roman"/>
          <w:szCs w:val="24"/>
        </w:rPr>
        <w:t xml:space="preserve">Observa-se que o Modelo CAPM é o mais utilizado na estimativa do </w:t>
      </w:r>
      <w:r w:rsidR="00CB3055" w:rsidRPr="000E5487">
        <w:rPr>
          <w:rFonts w:ascii="Times New Roman" w:hAnsi="Times New Roman"/>
          <w:szCs w:val="24"/>
        </w:rPr>
        <w:t>c</w:t>
      </w:r>
      <w:r w:rsidRPr="000E5487">
        <w:rPr>
          <w:rFonts w:ascii="Times New Roman" w:hAnsi="Times New Roman"/>
          <w:szCs w:val="24"/>
        </w:rPr>
        <w:t xml:space="preserve">usto do </w:t>
      </w:r>
      <w:r w:rsidR="00CB3055" w:rsidRPr="000E5487">
        <w:rPr>
          <w:rFonts w:ascii="Times New Roman" w:hAnsi="Times New Roman"/>
          <w:szCs w:val="24"/>
        </w:rPr>
        <w:t>c</w:t>
      </w:r>
      <w:r w:rsidRPr="000E5487">
        <w:rPr>
          <w:rFonts w:ascii="Times New Roman" w:hAnsi="Times New Roman"/>
          <w:szCs w:val="24"/>
        </w:rPr>
        <w:t xml:space="preserve">apital </w:t>
      </w:r>
      <w:r w:rsidR="00CB3055" w:rsidRPr="000E5487">
        <w:rPr>
          <w:rFonts w:ascii="Times New Roman" w:hAnsi="Times New Roman"/>
          <w:szCs w:val="24"/>
        </w:rPr>
        <w:t>p</w:t>
      </w:r>
      <w:r w:rsidRPr="000E5487">
        <w:rPr>
          <w:rFonts w:ascii="Times New Roman" w:hAnsi="Times New Roman"/>
          <w:szCs w:val="24"/>
        </w:rPr>
        <w:t xml:space="preserve">róprio das empresas </w:t>
      </w:r>
      <w:r w:rsidR="00390949" w:rsidRPr="000E5487">
        <w:rPr>
          <w:rFonts w:ascii="Times New Roman" w:hAnsi="Times New Roman"/>
          <w:szCs w:val="24"/>
        </w:rPr>
        <w:t>pesquisadas.</w:t>
      </w:r>
      <w:r w:rsidRPr="000E5487">
        <w:rPr>
          <w:rFonts w:ascii="Times New Roman" w:hAnsi="Times New Roman"/>
          <w:szCs w:val="24"/>
        </w:rPr>
        <w:t xml:space="preserve"> O coeficiente beta é obtido pelo cálculo da regressão dos retornos da empresa em relação a uma carteira de mercado e</w:t>
      </w:r>
      <w:r w:rsidR="00705E3D" w:rsidRPr="000E5487">
        <w:rPr>
          <w:rFonts w:ascii="Times New Roman" w:hAnsi="Times New Roman"/>
          <w:szCs w:val="24"/>
        </w:rPr>
        <w:t>,</w:t>
      </w:r>
      <w:r w:rsidRPr="000E5487">
        <w:rPr>
          <w:rFonts w:ascii="Times New Roman" w:hAnsi="Times New Roman"/>
          <w:szCs w:val="24"/>
        </w:rPr>
        <w:t xml:space="preserve"> também pela desalavancagem de um beta de uma empresa comparável. </w:t>
      </w:r>
      <w:r w:rsidR="009D70CE" w:rsidRPr="000E5487">
        <w:rPr>
          <w:rFonts w:ascii="Times New Roman" w:hAnsi="Times New Roman"/>
          <w:szCs w:val="24"/>
        </w:rPr>
        <w:t xml:space="preserve">Quanto </w:t>
      </w:r>
      <w:r w:rsidR="00F42BA2" w:rsidRPr="000E5487">
        <w:rPr>
          <w:rFonts w:ascii="Times New Roman" w:hAnsi="Times New Roman"/>
          <w:szCs w:val="24"/>
        </w:rPr>
        <w:t>à</w:t>
      </w:r>
      <w:r w:rsidR="009D70CE" w:rsidRPr="000E5487">
        <w:rPr>
          <w:rFonts w:ascii="Times New Roman" w:hAnsi="Times New Roman"/>
          <w:szCs w:val="24"/>
        </w:rPr>
        <w:t xml:space="preserve"> taxa livre de risco</w:t>
      </w:r>
      <w:r w:rsidR="00705E3D" w:rsidRPr="000E5487">
        <w:rPr>
          <w:rFonts w:ascii="Times New Roman" w:hAnsi="Times New Roman"/>
          <w:szCs w:val="24"/>
        </w:rPr>
        <w:t>,</w:t>
      </w:r>
      <w:r w:rsidR="009D70CE" w:rsidRPr="000E5487">
        <w:rPr>
          <w:rFonts w:ascii="Times New Roman" w:hAnsi="Times New Roman"/>
          <w:szCs w:val="24"/>
        </w:rPr>
        <w:t xml:space="preserve"> a maioria dos respondentes utiliza a </w:t>
      </w:r>
      <w:r w:rsidR="00CB3055" w:rsidRPr="000E5487">
        <w:rPr>
          <w:rFonts w:ascii="Times New Roman" w:hAnsi="Times New Roman"/>
          <w:szCs w:val="24"/>
        </w:rPr>
        <w:t>t</w:t>
      </w:r>
      <w:r w:rsidR="009D70CE" w:rsidRPr="000E5487">
        <w:rPr>
          <w:rFonts w:ascii="Times New Roman" w:hAnsi="Times New Roman"/>
          <w:szCs w:val="24"/>
        </w:rPr>
        <w:t>axa Selic.</w:t>
      </w:r>
      <w:r w:rsidR="00943CE5" w:rsidRPr="000E5487">
        <w:rPr>
          <w:rFonts w:ascii="Times New Roman" w:hAnsi="Times New Roman"/>
          <w:szCs w:val="24"/>
        </w:rPr>
        <w:t xml:space="preserve"> A</w:t>
      </w:r>
      <w:r w:rsidR="00705E3D" w:rsidRPr="000E5487">
        <w:rPr>
          <w:rFonts w:ascii="Times New Roman" w:hAnsi="Times New Roman"/>
          <w:szCs w:val="24"/>
        </w:rPr>
        <w:t>o mesmo tempo essa</w:t>
      </w:r>
      <w:r w:rsidR="00943CE5" w:rsidRPr="000E5487">
        <w:rPr>
          <w:rFonts w:ascii="Times New Roman" w:hAnsi="Times New Roman"/>
          <w:szCs w:val="24"/>
        </w:rPr>
        <w:t xml:space="preserve"> maioria não utiliza o risco país na estimativa do custo do capital próprio, e os que </w:t>
      </w:r>
      <w:r w:rsidR="00F42BA2" w:rsidRPr="000E5487">
        <w:rPr>
          <w:rFonts w:ascii="Times New Roman" w:hAnsi="Times New Roman"/>
          <w:szCs w:val="24"/>
        </w:rPr>
        <w:t xml:space="preserve">o </w:t>
      </w:r>
      <w:r w:rsidR="00943CE5" w:rsidRPr="000E5487">
        <w:rPr>
          <w:rFonts w:ascii="Times New Roman" w:hAnsi="Times New Roman"/>
          <w:szCs w:val="24"/>
        </w:rPr>
        <w:t>utilizam</w:t>
      </w:r>
      <w:r w:rsidR="00F42BA2" w:rsidRPr="000E5487">
        <w:rPr>
          <w:rFonts w:ascii="Times New Roman" w:hAnsi="Times New Roman"/>
          <w:szCs w:val="24"/>
        </w:rPr>
        <w:t>,</w:t>
      </w:r>
      <w:r w:rsidR="00943CE5" w:rsidRPr="000E5487">
        <w:rPr>
          <w:rFonts w:ascii="Times New Roman" w:hAnsi="Times New Roman"/>
          <w:szCs w:val="24"/>
        </w:rPr>
        <w:t xml:space="preserve"> adotam o Embi+Br calculado pelo Banco J.P. Morgan.</w:t>
      </w:r>
      <w:r w:rsidR="00DF7BA3" w:rsidRPr="000E5487">
        <w:rPr>
          <w:rFonts w:ascii="Times New Roman" w:hAnsi="Times New Roman"/>
          <w:szCs w:val="24"/>
        </w:rPr>
        <w:t xml:space="preserve"> Com relação </w:t>
      </w:r>
      <w:r w:rsidR="00AB773B" w:rsidRPr="000E5487">
        <w:rPr>
          <w:rFonts w:ascii="Times New Roman" w:hAnsi="Times New Roman"/>
          <w:szCs w:val="24"/>
        </w:rPr>
        <w:t>à</w:t>
      </w:r>
      <w:r w:rsidR="00DF7BA3" w:rsidRPr="000E5487">
        <w:rPr>
          <w:rFonts w:ascii="Times New Roman" w:hAnsi="Times New Roman"/>
          <w:szCs w:val="24"/>
        </w:rPr>
        <w:t xml:space="preserve"> </w:t>
      </w:r>
      <w:r w:rsidR="00CB3055" w:rsidRPr="000E5487">
        <w:rPr>
          <w:rFonts w:ascii="Times New Roman" w:hAnsi="Times New Roman"/>
          <w:szCs w:val="24"/>
        </w:rPr>
        <w:t>t</w:t>
      </w:r>
      <w:r w:rsidR="00DF7BA3" w:rsidRPr="000E5487">
        <w:rPr>
          <w:rFonts w:ascii="Times New Roman" w:hAnsi="Times New Roman"/>
          <w:szCs w:val="24"/>
        </w:rPr>
        <w:t xml:space="preserve">axa de </w:t>
      </w:r>
      <w:r w:rsidR="00CB3055" w:rsidRPr="000E5487">
        <w:rPr>
          <w:rFonts w:ascii="Times New Roman" w:hAnsi="Times New Roman"/>
          <w:szCs w:val="24"/>
        </w:rPr>
        <w:t>r</w:t>
      </w:r>
      <w:r w:rsidR="00DF7BA3" w:rsidRPr="000E5487">
        <w:rPr>
          <w:rFonts w:ascii="Times New Roman" w:hAnsi="Times New Roman"/>
          <w:szCs w:val="24"/>
        </w:rPr>
        <w:t xml:space="preserve">etorno da </w:t>
      </w:r>
      <w:r w:rsidR="00CB3055" w:rsidRPr="000E5487">
        <w:rPr>
          <w:rFonts w:ascii="Times New Roman" w:hAnsi="Times New Roman"/>
          <w:szCs w:val="24"/>
        </w:rPr>
        <w:t>c</w:t>
      </w:r>
      <w:r w:rsidR="00DF7BA3" w:rsidRPr="000E5487">
        <w:rPr>
          <w:rFonts w:ascii="Times New Roman" w:hAnsi="Times New Roman"/>
          <w:szCs w:val="24"/>
        </w:rPr>
        <w:t xml:space="preserve">arteira de </w:t>
      </w:r>
      <w:r w:rsidR="00CB3055" w:rsidRPr="000E5487">
        <w:rPr>
          <w:rFonts w:ascii="Times New Roman" w:hAnsi="Times New Roman"/>
          <w:szCs w:val="24"/>
        </w:rPr>
        <w:t>m</w:t>
      </w:r>
      <w:r w:rsidR="00DF7BA3" w:rsidRPr="000E5487">
        <w:rPr>
          <w:rFonts w:ascii="Times New Roman" w:hAnsi="Times New Roman"/>
          <w:szCs w:val="24"/>
        </w:rPr>
        <w:t xml:space="preserve">ercado predomina a utilização do Índice Ibovespa. </w:t>
      </w:r>
    </w:p>
    <w:p w:rsidR="008E63BF" w:rsidRPr="000E5487" w:rsidRDefault="008E63BF" w:rsidP="008E63BF">
      <w:pPr>
        <w:spacing w:after="0" w:line="240" w:lineRule="auto"/>
        <w:ind w:firstLine="709"/>
        <w:jc w:val="both"/>
        <w:rPr>
          <w:rFonts w:ascii="Times New Roman" w:hAnsi="Times New Roman"/>
          <w:szCs w:val="24"/>
        </w:rPr>
      </w:pPr>
      <w:r w:rsidRPr="000E5487">
        <w:rPr>
          <w:rFonts w:ascii="Times New Roman" w:hAnsi="Times New Roman"/>
          <w:noProof/>
          <w:szCs w:val="24"/>
        </w:rPr>
        <w:t xml:space="preserve">Ao analisar os detalhes das escolhas contábeis na construção das taxas de desconto, nota-se que para estimar o custo do capital próprio, o modelo CAPM é o mais utilizado, inclusive pelos profissionais que utilizam o WACC, corroborando os estudos de </w:t>
      </w:r>
      <w:r>
        <w:rPr>
          <w:rFonts w:ascii="Times New Roman" w:hAnsi="Times New Roman"/>
          <w:noProof/>
          <w:szCs w:val="24"/>
        </w:rPr>
        <w:fldChar w:fldCharType="begin" w:fldLock="1"/>
      </w:r>
      <w:r>
        <w:rPr>
          <w:rFonts w:ascii="Times New Roman" w:hAnsi="Times New Roman"/>
          <w:noProof/>
          <w:szCs w:val="24"/>
        </w:rPr>
        <w:instrText>ADDIN CSL_CITATION {"citationItems":[{"id":"ITEM-1","itemData":{"ISBN":"3058322070","author":[{"dropping-particle":"","family":"Blank","given":"Frances Fischberg","non-dropping-particle":"","parse-names":false,"suffix":""},{"dropping-particle":"","family":"Samanez","given":"Carlos Patricio","non-dropping-particle":"","parse-names":false,"suffix":""},{"dropping-particle":"","family":"Baidya","given":"Tara Keshar Nanda","non-dropping-particle":"","parse-names":false,"suffix":""},{"dropping-particle":"","family":"Aiube","given":"Fernando Antonio Lucena","non-dropping-particle":"","parse-names":false,"suffix":""}],"container-title":"Revista Brasileira de Finanças","id":"ITEM-1","issue":"2","issued":{"date-parts":[["2014"]]},"page":"163-199","title":"CAPM Condicional: Betas Variantes no Tempo no Mercado Brasileiro","type":"article-journal","volume":"12"},"uris":["http://www.mendeley.com/documents/?uuid=53c961ee-86e7-4313-9dc5-145da359b8d4"]}],"mendeley":{"formattedCitation":"(BLANK et al., 2014)","manualFormatting":"Blank et al. (2014)","plainTextFormattedCitation":"(BLANK et al., 2014)","previouslyFormattedCitation":"(BLANK et al., 2014)"},"properties":{"noteIndex":0},"schema":"https://github.com/citation-style-language/schema/raw/master/csl-citation.json"}</w:instrText>
      </w:r>
      <w:r>
        <w:rPr>
          <w:rFonts w:ascii="Times New Roman" w:hAnsi="Times New Roman"/>
          <w:noProof/>
          <w:szCs w:val="24"/>
        </w:rPr>
        <w:fldChar w:fldCharType="separate"/>
      </w:r>
      <w:r w:rsidRPr="005F29B6">
        <w:rPr>
          <w:rFonts w:ascii="Times New Roman" w:hAnsi="Times New Roman"/>
          <w:noProof/>
          <w:szCs w:val="24"/>
        </w:rPr>
        <w:t xml:space="preserve">Blank </w:t>
      </w:r>
      <w:r>
        <w:rPr>
          <w:rFonts w:ascii="Times New Roman" w:hAnsi="Times New Roman"/>
          <w:noProof/>
          <w:szCs w:val="24"/>
        </w:rPr>
        <w:t>et al.</w:t>
      </w:r>
      <w:r w:rsidRPr="005F29B6">
        <w:rPr>
          <w:rFonts w:ascii="Times New Roman" w:hAnsi="Times New Roman"/>
          <w:noProof/>
          <w:szCs w:val="24"/>
        </w:rPr>
        <w:t xml:space="preserve"> </w:t>
      </w:r>
      <w:r>
        <w:rPr>
          <w:rFonts w:ascii="Times New Roman" w:hAnsi="Times New Roman"/>
          <w:noProof/>
          <w:szCs w:val="24"/>
        </w:rPr>
        <w:t>(</w:t>
      </w:r>
      <w:r w:rsidRPr="005F29B6">
        <w:rPr>
          <w:rFonts w:ascii="Times New Roman" w:hAnsi="Times New Roman"/>
          <w:noProof/>
          <w:szCs w:val="24"/>
        </w:rPr>
        <w:t>2014)</w:t>
      </w:r>
      <w:r>
        <w:rPr>
          <w:rFonts w:ascii="Times New Roman" w:hAnsi="Times New Roman"/>
          <w:noProof/>
          <w:szCs w:val="24"/>
        </w:rPr>
        <w:fldChar w:fldCharType="end"/>
      </w:r>
      <w:r>
        <w:rPr>
          <w:rFonts w:ascii="Times New Roman" w:hAnsi="Times New Roman"/>
          <w:noProof/>
          <w:szCs w:val="24"/>
        </w:rPr>
        <w:t xml:space="preserve"> </w:t>
      </w:r>
      <w:r w:rsidRPr="000E5487">
        <w:rPr>
          <w:rFonts w:ascii="Times New Roman" w:hAnsi="Times New Roman"/>
          <w:noProof/>
          <w:szCs w:val="24"/>
        </w:rPr>
        <w:t xml:space="preserve">e </w:t>
      </w:r>
      <w:r>
        <w:rPr>
          <w:rFonts w:ascii="Times New Roman" w:hAnsi="Times New Roman"/>
          <w:noProof/>
          <w:szCs w:val="24"/>
        </w:rPr>
        <w:fldChar w:fldCharType="begin" w:fldLock="1"/>
      </w:r>
      <w:r>
        <w:rPr>
          <w:rFonts w:ascii="Times New Roman" w:hAnsi="Times New Roman"/>
          <w:noProof/>
          <w:szCs w:val="24"/>
        </w:rPr>
        <w:instrText>ADDIN CSL_CITATION {"citationItems":[{"id":"ITEM-1","itemData":{"DOI":"10.1016/S0304-405X(01)00044-7","ISBN":"0304405X","ISSN":"0304405X","PMID":"59332686","abstract":"We survey 392 CFOs about the cost of capital, capital budgeting, and capital structure. Large firms rely heavily on present value techniques and the capital asset pricing model, while small firms are relatively likely to use the payback criterion. A surprising number of firms use firm risk rather than project risk in evaluating new investments. Firms are concerned about financial flexibility and credit ratings when issuing debt, and earnings per share dilution and recent stock price appreciation when issuing equity. We find some support for the pecking-order and trade-off capital structure hypotheses but little evidence that executives are concerned about asset substitution, asymmetric information, transactions costs, free cash flows, or personal taxes.","author":[{"dropping-particle":"","family":"Graham","given":"John R.","non-dropping-particle":"","parse-names":false,"suffix":""},{"dropping-particle":"","family":"Harvey","given":"Campbell R.","non-dropping-particle":"","parse-names":false,"suffix":""}],"container-title":"Journal of Financial Economics","id":"ITEM-1","issue":"2-3","issued":{"date-parts":[["2001","5"]]},"page":"187-243","title":"The theory and practice of corporate finance: evidence from the field","type":"article-journal","volume":"60"},"uris":["http://www.mendeley.com/documents/?uuid=3089ac42-fc0d-4f75-8971-82e01ef70819"]}],"mendeley":{"formattedCitation":"(GRAHAM; HARVEY, 2001)","manualFormatting":"Graham e Harvey (2001)","plainTextFormattedCitation":"(GRAHAM; HARVEY, 2001)","previouslyFormattedCitation":"(GRAHAM; HARVEY, 2001)"},"properties":{"noteIndex":0},"schema":"https://github.com/citation-style-language/schema/raw/master/csl-citation.json"}</w:instrText>
      </w:r>
      <w:r>
        <w:rPr>
          <w:rFonts w:ascii="Times New Roman" w:hAnsi="Times New Roman"/>
          <w:noProof/>
          <w:szCs w:val="24"/>
        </w:rPr>
        <w:fldChar w:fldCharType="separate"/>
      </w:r>
      <w:r>
        <w:rPr>
          <w:rFonts w:ascii="Times New Roman" w:hAnsi="Times New Roman"/>
          <w:noProof/>
          <w:szCs w:val="24"/>
        </w:rPr>
        <w:t>Graham e</w:t>
      </w:r>
      <w:r w:rsidRPr="005F29B6">
        <w:rPr>
          <w:rFonts w:ascii="Times New Roman" w:hAnsi="Times New Roman"/>
          <w:noProof/>
          <w:szCs w:val="24"/>
        </w:rPr>
        <w:t xml:space="preserve"> Harvey </w:t>
      </w:r>
      <w:r>
        <w:rPr>
          <w:rFonts w:ascii="Times New Roman" w:hAnsi="Times New Roman"/>
          <w:noProof/>
          <w:szCs w:val="24"/>
        </w:rPr>
        <w:t>(</w:t>
      </w:r>
      <w:r w:rsidRPr="005F29B6">
        <w:rPr>
          <w:rFonts w:ascii="Times New Roman" w:hAnsi="Times New Roman"/>
          <w:noProof/>
          <w:szCs w:val="24"/>
        </w:rPr>
        <w:t>2001)</w:t>
      </w:r>
      <w:r>
        <w:rPr>
          <w:rFonts w:ascii="Times New Roman" w:hAnsi="Times New Roman"/>
          <w:noProof/>
          <w:szCs w:val="24"/>
        </w:rPr>
        <w:fldChar w:fldCharType="end"/>
      </w:r>
      <w:r w:rsidRPr="000E5487">
        <w:rPr>
          <w:rFonts w:ascii="Times New Roman" w:hAnsi="Times New Roman"/>
          <w:noProof/>
          <w:szCs w:val="24"/>
        </w:rPr>
        <w:t xml:space="preserve">. Com relação ao risco sistemático representado pelo beta, </w:t>
      </w:r>
      <w:r w:rsidRPr="000E5487">
        <w:rPr>
          <w:rFonts w:ascii="Times New Roman" w:hAnsi="Times New Roman"/>
          <w:szCs w:val="24"/>
        </w:rPr>
        <w:t>há duas escolhas contábeis significativas; na primeira, determina-se o beta pelo cálculo da regressão dos retornos da empresa em relação a uma carteira de mercado; na segunda, o coeficiente é obtido pela desalavancagem de um beta de uma empresa comparável e, posterior alavancagem na empresa onde se dá a mensuração do ativo biológico; ambas são adequadas desde que sejam divulgadas as bases pelos quais os cálculos são elaborados, conforme orientado pel</w:t>
      </w:r>
      <w:r>
        <w:rPr>
          <w:rFonts w:ascii="Times New Roman" w:hAnsi="Times New Roman"/>
          <w:szCs w:val="24"/>
        </w:rPr>
        <w:t>a</w:t>
      </w:r>
      <w:r w:rsidRPr="000E5487">
        <w:rPr>
          <w:rFonts w:ascii="Times New Roman" w:hAnsi="Times New Roman"/>
          <w:szCs w:val="24"/>
        </w:rPr>
        <w:t xml:space="preserve"> </w:t>
      </w:r>
      <w:r>
        <w:rPr>
          <w:rFonts w:ascii="Times New Roman" w:hAnsi="Times New Roman"/>
          <w:szCs w:val="24"/>
        </w:rPr>
        <w:t>IAS 41</w:t>
      </w:r>
      <w:r w:rsidRPr="000E5487">
        <w:rPr>
          <w:rFonts w:ascii="Times New Roman" w:hAnsi="Times New Roman"/>
          <w:szCs w:val="24"/>
        </w:rPr>
        <w:t xml:space="preserve">. </w:t>
      </w:r>
    </w:p>
    <w:p w:rsidR="008E63BF" w:rsidRPr="000E5487" w:rsidRDefault="008E63BF" w:rsidP="008E63BF">
      <w:pPr>
        <w:spacing w:after="0" w:line="240" w:lineRule="auto"/>
        <w:ind w:firstLine="709"/>
        <w:jc w:val="both"/>
        <w:rPr>
          <w:rFonts w:ascii="Times New Roman" w:hAnsi="Times New Roman"/>
          <w:noProof/>
          <w:szCs w:val="24"/>
        </w:rPr>
      </w:pPr>
      <w:r w:rsidRPr="000E5487">
        <w:rPr>
          <w:rFonts w:ascii="Times New Roman" w:hAnsi="Times New Roman"/>
          <w:szCs w:val="24"/>
        </w:rPr>
        <w:t>Na estimativa do prêmio pelo risco de mercado, a taxa livre de risco mais utilizada é a taxa Selic, entretanto, muitas críticas são feitas a utilização dessa taxa na prática contábil brasileira, por entender-se que os títulos emitidos pelo governo possuem um prêmio pelo risco embutido, além de que “esses títulos soberanos não são efetivamente aceitos como livres de risco pelos mercados financeiros”</w:t>
      </w:r>
      <w:r>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{"citationItems":[{"id":"ITEM-1","itemData":{"abstract":"O Capital Asset Princig Model (CAPM) oferece conceitos válidos e aceitos na definição do risco dos ativos. Essa metodologia de cálculo é medida pela relação entre a covariância dos retornos de mercado e da companhia e a variância dos retornos da empresa. Por tratar-se de uma metodologia aplicada em mercados estáveis, as conclusões favoráveis ao CAPM precisam, no entanto, ser reavaliadas em mercados emergentes, como o brasileiro. São discutidos os principais indicadores financeiros do mercado brasileiro e justificada, por meio de fundamentos estatísticos, a inconsistência dos resultados. No estudo, mostrou-se a necessidade de apurar o custo de oportunidade dos investidores brasileiros utilizando o benchmark de uma economia mais estável. O objetivo neste trabalho é sugerir um modelo que utiliza padrões de benchmark, sendo descritos os diversos ajustes necessários ao cálculo do custo de oportunidade dos acionistas das companhias brasileiras. De forma original, o modelo sugerido do custo de capital incorpora, além do risco-país, a volatilidade do mercado acionário brasileiro, demonstrando, portanto, a compatibilidade no desenvolvimento de uma metodologia de cálculo do custo do capital no Brasil.","author":[{"dropping-particle":"","family":"Assaf Neto","given":"Alexandre","non-dropping-particle":"","parse-names":false,"suffix":""},{"dropping-particle":"","family":"Lima","given":"Fabiano Guasti","non-dropping-particle":"","parse-names":false,"suffix":""},{"dropping-particle":"de","family":"Araújo","given":"Adriana Maria Procópio","non-dropping-particle":"","parse-names":false,"suffix":""}],"container-title":"RAUSP – Revista de Administração","id":"ITEM-1","issue":"1","issued":{"date-parts":[["2008"]]},"page":"72-83","title":"Uma proposta metodológica para o cálculo do custo de capital no Brasil","type":"article-journal","volume":"43"},"uris":["http://www.mendeley.com/documents/?uuid=7d16470d-9f62-4954-90cc-98b03c9f8041"]}],"mendeley":{"formattedCitation":"(ASSAF NETO; LIMA; ARAÚJO, 2008)","manualFormatting":"(ASSAF NETO; LIMA; ARAÚJO, 2008, p. 76)","plainTextFormattedCitation":"(ASSAF NETO; LIMA; ARAÚJO, 2008)","previouslyFormattedCitation":"(ASSAF NETO; LIMA; ARAÚJO, 2008)"},"properties":{"noteIndex":0},"schema":"https://github.com/citation-style-language/schema/raw/master/csl-citation.json"}</w:instrText>
      </w:r>
      <w:r>
        <w:rPr>
          <w:rFonts w:ascii="Times New Roman" w:hAnsi="Times New Roman"/>
          <w:szCs w:val="24"/>
        </w:rPr>
        <w:fldChar w:fldCharType="separate"/>
      </w:r>
      <w:r w:rsidRPr="008E1D33">
        <w:rPr>
          <w:rFonts w:ascii="Times New Roman" w:hAnsi="Times New Roman"/>
          <w:noProof/>
          <w:szCs w:val="24"/>
        </w:rPr>
        <w:t>(ASSAF NETO; LIMA; ARAÚJO, 2008</w:t>
      </w:r>
      <w:r>
        <w:rPr>
          <w:rFonts w:ascii="Times New Roman" w:hAnsi="Times New Roman"/>
          <w:noProof/>
          <w:szCs w:val="24"/>
        </w:rPr>
        <w:t>, p. 76</w:t>
      </w:r>
      <w:r w:rsidRPr="008E1D33">
        <w:rPr>
          <w:rFonts w:ascii="Times New Roman" w:hAnsi="Times New Roman"/>
          <w:noProof/>
          <w:szCs w:val="24"/>
        </w:rPr>
        <w:t>)</w:t>
      </w:r>
      <w:r>
        <w:rPr>
          <w:rFonts w:ascii="Times New Roman" w:hAnsi="Times New Roman"/>
          <w:szCs w:val="24"/>
        </w:rPr>
        <w:fldChar w:fldCharType="end"/>
      </w:r>
      <w:r w:rsidRPr="000E5487">
        <w:rPr>
          <w:rFonts w:ascii="Times New Roman" w:hAnsi="Times New Roman"/>
          <w:szCs w:val="24"/>
        </w:rPr>
        <w:t>. Nota-se que apenas dois profissionais afirmam utilizar os papéis emitidos pelo Tesouro do Governo dos Estados Unidos (</w:t>
      </w:r>
      <w:r w:rsidRPr="000E5487">
        <w:rPr>
          <w:rFonts w:ascii="Times New Roman" w:hAnsi="Times New Roman"/>
          <w:i/>
          <w:iCs/>
          <w:szCs w:val="24"/>
        </w:rPr>
        <w:t>T-bond</w:t>
      </w:r>
      <w:r w:rsidRPr="000E5487">
        <w:rPr>
          <w:rFonts w:ascii="Times New Roman" w:hAnsi="Times New Roman"/>
          <w:szCs w:val="24"/>
        </w:rPr>
        <w:t xml:space="preserve">), considerados como de risco zero, conforme sugerido por </w:t>
      </w:r>
      <w:r w:rsidRPr="000E5487">
        <w:rPr>
          <w:rFonts w:ascii="Times New Roman" w:hAnsi="Times New Roman"/>
          <w:szCs w:val="24"/>
        </w:rPr>
        <w:fldChar w:fldCharType="begin" w:fldLock="1"/>
      </w:r>
      <w:r>
        <w:rPr>
          <w:rFonts w:ascii="Times New Roman" w:hAnsi="Times New Roman"/>
          <w:szCs w:val="24"/>
        </w:rPr>
        <w:instrText>ADDIN CSL_CITATION {"citationItems":[{"id":"ITEM-1","itemData":{"abstract":"O Capital Asset Princig Model (CAPM) oferece conceitos válidos e aceitos na definição do risco dos ativos. Essa metodologia de cálculo é medida pela relação entre a covariância dos retornos de mercado e da companhia e a variância dos retornos da empresa. Por tratar-se de uma metodologia aplicada em mercados estáveis, as conclusões favoráveis ao CAPM precisam, no entanto, ser reavaliadas em mercados emergentes, como o brasileiro. São discutidos os principais indicadores financeiros do mercado brasileiro e justificada, por meio de fundamentos estatísticos, a inconsistência dos resultados. No estudo, mostrou-se a necessidade de apurar o custo de oportunidade dos investidores brasileiros utilizando o benchmark de uma economia mais estável. O objetivo neste trabalho é sugerir um modelo que utiliza padrões de benchmark, sendo descritos os diversos ajustes necessários ao cálculo do custo de oportunidade dos acionistas das companhias brasileiras. De forma original, o modelo sugerido do custo de capital incorpora, além do risco-país, a volatilidade do mercado acionário brasileiro, demonstrando, portanto, a compatibilidade no desenvolvimento de uma metodologia de cálculo do custo do capital no Brasil.","author":[{"dropping-particle":"","family":"Assaf Neto","given":"Alexandre","non-dropping-particle":"","parse-names":false,"suffix":""},{"dropping-particle":"","family":"Lima","given":"Fabiano Guasti","non-dropping-particle":"","parse-names":false,"suffix":""},{"dropping-particle":"de","family":"Araújo","given":"Adriana Maria Procópio","non-dropping-particle":"","parse-names":false,"suffix":""}],"container-title":"RAUSP – Revista de Administração","id":"ITEM-1","issue":"1","issued":{"date-parts":[["2008"]]},"page":"72-83","title":"Uma proposta metodológica para o cálculo do custo de capital no Brasil","type":"article-journal","volume":"43"},"uris":["http://www.mendeley.com/documents/?uuid=7d16470d-9f62-4954-90cc-98b03c9f8041"]}],"mendeley":{"formattedCitation":"(ASSAF NETO; LIMA; ARAÚJO, 2008)","manualFormatting":"Assaf Neto, Lima e Araújo (2008)","plainTextFormattedCitation":"(ASSAF NETO; LIMA; ARAÚJO, 2008)","previouslyFormattedCitation":"(ASSAF NETO; LIMA; ARAÚJO, 2008)"},"properties":{"noteIndex":0},"schema":"https://github.com/citation-style-language/schema/raw/master/csl-citation.json"}</w:instrText>
      </w:r>
      <w:r w:rsidRPr="000E5487">
        <w:rPr>
          <w:rFonts w:ascii="Times New Roman" w:hAnsi="Times New Roman"/>
          <w:szCs w:val="24"/>
        </w:rPr>
        <w:fldChar w:fldCharType="separate"/>
      </w:r>
      <w:r w:rsidRPr="00DE4E1B">
        <w:rPr>
          <w:rFonts w:ascii="Times New Roman" w:hAnsi="Times New Roman"/>
          <w:noProof/>
          <w:szCs w:val="24"/>
        </w:rPr>
        <w:t>Assaf Neto</w:t>
      </w:r>
      <w:r>
        <w:rPr>
          <w:rFonts w:ascii="Times New Roman" w:hAnsi="Times New Roman"/>
          <w:noProof/>
          <w:szCs w:val="24"/>
        </w:rPr>
        <w:t>,</w:t>
      </w:r>
      <w:r w:rsidRPr="00DE4E1B">
        <w:rPr>
          <w:rFonts w:ascii="Times New Roman" w:hAnsi="Times New Roman"/>
          <w:noProof/>
          <w:szCs w:val="24"/>
        </w:rPr>
        <w:t xml:space="preserve"> Lima</w:t>
      </w:r>
      <w:r>
        <w:rPr>
          <w:rFonts w:ascii="Times New Roman" w:hAnsi="Times New Roman"/>
          <w:noProof/>
          <w:szCs w:val="24"/>
        </w:rPr>
        <w:t xml:space="preserve"> e</w:t>
      </w:r>
      <w:r w:rsidRPr="00DE4E1B">
        <w:rPr>
          <w:rFonts w:ascii="Times New Roman" w:hAnsi="Times New Roman"/>
          <w:noProof/>
          <w:szCs w:val="24"/>
        </w:rPr>
        <w:t xml:space="preserve"> Araújo </w:t>
      </w:r>
      <w:r>
        <w:rPr>
          <w:rFonts w:ascii="Times New Roman" w:hAnsi="Times New Roman"/>
          <w:noProof/>
          <w:szCs w:val="24"/>
        </w:rPr>
        <w:t>(</w:t>
      </w:r>
      <w:r w:rsidRPr="00DE4E1B">
        <w:rPr>
          <w:rFonts w:ascii="Times New Roman" w:hAnsi="Times New Roman"/>
          <w:noProof/>
          <w:szCs w:val="24"/>
        </w:rPr>
        <w:t>2008)</w:t>
      </w:r>
      <w:r w:rsidRPr="000E5487">
        <w:rPr>
          <w:rFonts w:ascii="Times New Roman" w:hAnsi="Times New Roman"/>
          <w:szCs w:val="24"/>
        </w:rPr>
        <w:fldChar w:fldCharType="end"/>
      </w:r>
      <w:r w:rsidRPr="000E5487">
        <w:rPr>
          <w:rFonts w:ascii="Times New Roman" w:hAnsi="Times New Roman"/>
          <w:szCs w:val="24"/>
        </w:rPr>
        <w:t xml:space="preserve">. Com relação à taxa de retorno da carteira de mercado, </w:t>
      </w:r>
      <w:r>
        <w:rPr>
          <w:rFonts w:ascii="Times New Roman" w:hAnsi="Times New Roman"/>
          <w:szCs w:val="24"/>
        </w:rPr>
        <w:t>a maioria d</w:t>
      </w:r>
      <w:r w:rsidRPr="000E5487">
        <w:rPr>
          <w:rFonts w:ascii="Times New Roman" w:hAnsi="Times New Roman"/>
          <w:szCs w:val="24"/>
        </w:rPr>
        <w:t xml:space="preserve">os respondentes afirmam utilizar o Ibovespa, contudo, de acordo com </w:t>
      </w:r>
      <w:r w:rsidRPr="000E5487">
        <w:rPr>
          <w:rFonts w:ascii="Times New Roman" w:hAnsi="Times New Roman"/>
          <w:szCs w:val="24"/>
        </w:rPr>
        <w:fldChar w:fldCharType="begin" w:fldLock="1"/>
      </w:r>
      <w:r>
        <w:rPr>
          <w:rFonts w:ascii="Times New Roman" w:hAnsi="Times New Roman"/>
          <w:szCs w:val="24"/>
        </w:rPr>
        <w:instrText>ADDIN CSL_CITATION {"citationItems":[{"id":"ITEM-1","itemData":{"abstract":"O Capital Asset Princig Model (CAPM) oferece conceitos válidos e aceitos na definição do risco dos ativos. Essa metodologia de cálculo é medida pela relação entre a covariância dos retornos de mercado e da companhia e a variância dos retornos da empresa. Por tratar-se de uma metodologia aplicada em mercados estáveis, as conclusões favoráveis ao CAPM precisam, no entanto, ser reavaliadas em mercados emergentes, como o brasileiro. São discutidos os principais indicadores financeiros do mercado brasileiro e justificada, por meio de fundamentos estatísticos, a inconsistência dos resultados. No estudo, mostrou-se a necessidade de apurar o custo de oportunidade dos investidores brasileiros utilizando o benchmark de uma economia mais estável. O objetivo neste trabalho é sugerir um modelo que utiliza padrões de benchmark, sendo descritos os diversos ajustes necessários ao cálculo do custo de oportunidade dos acionistas das companhias brasileiras. De forma original, o modelo sugerido do custo de capital incorpora, além do risco-país, a volatilidade do mercado acionário brasileiro, demonstrando, portanto, a compatibilidade no desenvolvimento de uma metodologia de cálculo do custo do capital no Brasil.","author":[{"dropping-particle":"","family":"Assaf Neto","given":"Alexandre","non-dropping-particle":"","parse-names":false,"suffix":""},{"dropping-particle":"","family":"Lima","given":"Fabiano Guasti","non-dropping-particle":"","parse-names":false,"suffix":""},{"dropping-particle":"de","family":"Araújo","given":"Adriana Maria Procópio","non-dropping-particle":"","parse-names":false,"suffix":""}],"container-title":"RAUSP – Revista de Administração","id":"ITEM-1","issue":"1","issued":{"date-parts":[["2008"]]},"page":"72-83","title":"Uma proposta metodológica para o cálculo do custo de capital no Brasil","type":"article-journal","volume":"43"},"uris":["http://www.mendeley.com/documents/?uuid=7d16470d-9f62-4954-90cc-98b03c9f8041"]}],"mendeley":{"formattedCitation":"(ASSAF NETO; LIMA; ARAÚJO, 2008)","manualFormatting":"Assaf Neto, Lima e Araújo (2008)","plainTextFormattedCitation":"(ASSAF NETO; LIMA; ARAÚJO, 2008)","previouslyFormattedCitation":"(ASSAF NETO; LIMA; ARAÚJO, 2008)"},"properties":{"noteIndex":0},"schema":"https://github.com/citation-style-language/schema/raw/master/csl-citation.json"}</w:instrText>
      </w:r>
      <w:r w:rsidRPr="000E5487">
        <w:rPr>
          <w:rFonts w:ascii="Times New Roman" w:hAnsi="Times New Roman"/>
          <w:szCs w:val="24"/>
        </w:rPr>
        <w:fldChar w:fldCharType="separate"/>
      </w:r>
      <w:r w:rsidRPr="00DE4E1B">
        <w:rPr>
          <w:rFonts w:ascii="Times New Roman" w:hAnsi="Times New Roman"/>
          <w:noProof/>
          <w:szCs w:val="24"/>
        </w:rPr>
        <w:t>Assaf Neto</w:t>
      </w:r>
      <w:r>
        <w:rPr>
          <w:rFonts w:ascii="Times New Roman" w:hAnsi="Times New Roman"/>
          <w:noProof/>
          <w:szCs w:val="24"/>
        </w:rPr>
        <w:t>, Lima e</w:t>
      </w:r>
      <w:r w:rsidRPr="00DE4E1B">
        <w:rPr>
          <w:rFonts w:ascii="Times New Roman" w:hAnsi="Times New Roman"/>
          <w:noProof/>
          <w:szCs w:val="24"/>
        </w:rPr>
        <w:t xml:space="preserve"> Araújo </w:t>
      </w:r>
      <w:r>
        <w:rPr>
          <w:rFonts w:ascii="Times New Roman" w:hAnsi="Times New Roman"/>
          <w:noProof/>
          <w:szCs w:val="24"/>
        </w:rPr>
        <w:t>(</w:t>
      </w:r>
      <w:r w:rsidRPr="00DE4E1B">
        <w:rPr>
          <w:rFonts w:ascii="Times New Roman" w:hAnsi="Times New Roman"/>
          <w:noProof/>
          <w:szCs w:val="24"/>
        </w:rPr>
        <w:t>2008)</w:t>
      </w:r>
      <w:r w:rsidRPr="000E5487">
        <w:rPr>
          <w:rFonts w:ascii="Times New Roman" w:hAnsi="Times New Roman"/>
          <w:szCs w:val="24"/>
        </w:rPr>
        <w:fldChar w:fldCharType="end"/>
      </w:r>
      <w:r w:rsidRPr="000E5487">
        <w:rPr>
          <w:rFonts w:ascii="Times New Roman" w:hAnsi="Times New Roman"/>
          <w:szCs w:val="24"/>
        </w:rPr>
        <w:t>, o valor de mercado de uma ação no mercado acionário brasileiro pode ser considerado significativamente defasado, pois há uma forte dispersão em relação aos valores centrais do Ibovespa, além do histórico desajuste do mercado acionário nacional.</w:t>
      </w:r>
    </w:p>
    <w:p w:rsidR="00086E90" w:rsidRDefault="00086E90" w:rsidP="00B747D7">
      <w:pPr>
        <w:spacing w:after="0" w:line="240" w:lineRule="auto"/>
        <w:ind w:firstLine="709"/>
        <w:jc w:val="both"/>
        <w:rPr>
          <w:rFonts w:ascii="Times New Roman" w:hAnsi="Times New Roman"/>
          <w:b/>
          <w:szCs w:val="24"/>
        </w:rPr>
      </w:pPr>
    </w:p>
    <w:p w:rsidR="00792148" w:rsidRPr="000E5487" w:rsidRDefault="008E740C" w:rsidP="00086E90">
      <w:pPr>
        <w:spacing w:after="120" w:line="240" w:lineRule="auto"/>
        <w:jc w:val="both"/>
        <w:rPr>
          <w:rFonts w:ascii="Times New Roman" w:hAnsi="Times New Roman"/>
          <w:b/>
          <w:szCs w:val="24"/>
        </w:rPr>
      </w:pPr>
      <w:r w:rsidRPr="000E5487">
        <w:rPr>
          <w:rFonts w:ascii="Times New Roman" w:hAnsi="Times New Roman"/>
          <w:b/>
          <w:szCs w:val="24"/>
        </w:rPr>
        <w:t>3</w:t>
      </w:r>
      <w:r w:rsidR="00792148" w:rsidRPr="000E5487">
        <w:rPr>
          <w:rFonts w:ascii="Times New Roman" w:hAnsi="Times New Roman"/>
          <w:b/>
          <w:szCs w:val="24"/>
        </w:rPr>
        <w:t>.</w:t>
      </w:r>
      <w:r w:rsidR="008F338F" w:rsidRPr="000E5487">
        <w:rPr>
          <w:rFonts w:ascii="Times New Roman" w:hAnsi="Times New Roman"/>
          <w:b/>
          <w:szCs w:val="24"/>
        </w:rPr>
        <w:t>2</w:t>
      </w:r>
      <w:r w:rsidR="00792148" w:rsidRPr="000E5487">
        <w:rPr>
          <w:rFonts w:ascii="Times New Roman" w:hAnsi="Times New Roman"/>
          <w:b/>
          <w:szCs w:val="24"/>
        </w:rPr>
        <w:t xml:space="preserve">.2 </w:t>
      </w:r>
      <w:r w:rsidR="00147C0E" w:rsidRPr="000E5487">
        <w:rPr>
          <w:rFonts w:ascii="Times New Roman" w:hAnsi="Times New Roman"/>
          <w:b/>
          <w:szCs w:val="24"/>
        </w:rPr>
        <w:t>Escolhas Contábeis relativas à</w:t>
      </w:r>
      <w:r w:rsidR="00903C66">
        <w:rPr>
          <w:rFonts w:ascii="Times New Roman" w:hAnsi="Times New Roman"/>
          <w:b/>
          <w:szCs w:val="24"/>
        </w:rPr>
        <w:t xml:space="preserve"> Quantidade, Preço</w:t>
      </w:r>
      <w:r w:rsidR="00903C66" w:rsidRPr="00903C66">
        <w:rPr>
          <w:rFonts w:ascii="Times New Roman" w:hAnsi="Times New Roman"/>
          <w:b/>
          <w:szCs w:val="24"/>
        </w:rPr>
        <w:t xml:space="preserve"> </w:t>
      </w:r>
      <w:r w:rsidR="00903C66">
        <w:rPr>
          <w:rFonts w:ascii="Times New Roman" w:hAnsi="Times New Roman"/>
          <w:b/>
          <w:szCs w:val="24"/>
        </w:rPr>
        <w:t>e</w:t>
      </w:r>
      <w:r w:rsidR="00147C0E" w:rsidRPr="000E5487">
        <w:rPr>
          <w:rFonts w:ascii="Times New Roman" w:hAnsi="Times New Roman"/>
          <w:b/>
          <w:szCs w:val="24"/>
        </w:rPr>
        <w:t xml:space="preserve"> Horizonte de Projeção </w:t>
      </w:r>
      <w:r w:rsidR="00903C66">
        <w:rPr>
          <w:rFonts w:ascii="Times New Roman" w:hAnsi="Times New Roman"/>
          <w:b/>
          <w:szCs w:val="24"/>
        </w:rPr>
        <w:t>dos</w:t>
      </w:r>
      <w:r w:rsidR="00903C66" w:rsidRPr="00903C66">
        <w:rPr>
          <w:rFonts w:ascii="Times New Roman" w:hAnsi="Times New Roman"/>
          <w:b/>
          <w:szCs w:val="24"/>
        </w:rPr>
        <w:t xml:space="preserve"> </w:t>
      </w:r>
      <w:r w:rsidR="00903C66">
        <w:rPr>
          <w:rFonts w:ascii="Times New Roman" w:hAnsi="Times New Roman"/>
          <w:b/>
          <w:szCs w:val="24"/>
        </w:rPr>
        <w:t>Fluxos</w:t>
      </w:r>
      <w:r w:rsidR="00903C66" w:rsidRPr="00903C66">
        <w:rPr>
          <w:rFonts w:ascii="Times New Roman" w:hAnsi="Times New Roman"/>
          <w:b/>
          <w:szCs w:val="24"/>
        </w:rPr>
        <w:t xml:space="preserve"> </w:t>
      </w:r>
      <w:r w:rsidR="00903C66">
        <w:rPr>
          <w:rFonts w:ascii="Times New Roman" w:hAnsi="Times New Roman"/>
          <w:b/>
          <w:szCs w:val="24"/>
        </w:rPr>
        <w:t>de</w:t>
      </w:r>
      <w:r w:rsidR="00903C66" w:rsidRPr="00903C66">
        <w:rPr>
          <w:rFonts w:ascii="Times New Roman" w:hAnsi="Times New Roman"/>
          <w:b/>
          <w:szCs w:val="24"/>
        </w:rPr>
        <w:t xml:space="preserve"> </w:t>
      </w:r>
      <w:r w:rsidR="00903C66">
        <w:rPr>
          <w:rFonts w:ascii="Times New Roman" w:hAnsi="Times New Roman"/>
          <w:b/>
          <w:szCs w:val="24"/>
        </w:rPr>
        <w:t>Caixa</w:t>
      </w:r>
    </w:p>
    <w:p w:rsidR="00792148" w:rsidRDefault="00792148" w:rsidP="00B747D7">
      <w:pPr>
        <w:spacing w:after="0" w:line="240" w:lineRule="auto"/>
        <w:ind w:firstLine="709"/>
        <w:jc w:val="both"/>
        <w:rPr>
          <w:rFonts w:ascii="Times New Roman" w:hAnsi="Times New Roman"/>
          <w:szCs w:val="24"/>
        </w:rPr>
      </w:pPr>
      <w:r w:rsidRPr="000E5487">
        <w:rPr>
          <w:rFonts w:ascii="Times New Roman" w:hAnsi="Times New Roman"/>
          <w:szCs w:val="24"/>
        </w:rPr>
        <w:t xml:space="preserve">Foram verificadas quais técnicas são utilizadas pelos </w:t>
      </w:r>
      <w:r w:rsidR="008C41DD" w:rsidRPr="000E5487">
        <w:rPr>
          <w:rFonts w:ascii="Times New Roman" w:hAnsi="Times New Roman"/>
          <w:szCs w:val="24"/>
        </w:rPr>
        <w:t xml:space="preserve">respondentes </w:t>
      </w:r>
      <w:r w:rsidRPr="000E5487">
        <w:rPr>
          <w:rFonts w:ascii="Times New Roman" w:hAnsi="Times New Roman"/>
          <w:szCs w:val="24"/>
        </w:rPr>
        <w:t xml:space="preserve">na estimativa da quantidade e preço </w:t>
      </w:r>
      <w:r w:rsidR="00AF23E0" w:rsidRPr="000E5487">
        <w:rPr>
          <w:rFonts w:ascii="Times New Roman" w:hAnsi="Times New Roman"/>
          <w:szCs w:val="24"/>
        </w:rPr>
        <w:t xml:space="preserve">da tonelada da cana-de-açúcar </w:t>
      </w:r>
      <w:r w:rsidRPr="000E5487">
        <w:rPr>
          <w:rFonts w:ascii="Times New Roman" w:hAnsi="Times New Roman"/>
          <w:szCs w:val="24"/>
        </w:rPr>
        <w:t>no cálculo da receita do FCD</w:t>
      </w:r>
      <w:r w:rsidR="00903C66" w:rsidRPr="00903C66">
        <w:rPr>
          <w:rFonts w:ascii="Times New Roman" w:hAnsi="Times New Roman"/>
          <w:szCs w:val="24"/>
        </w:rPr>
        <w:t xml:space="preserve"> </w:t>
      </w:r>
      <w:r w:rsidR="00903C66">
        <w:rPr>
          <w:rFonts w:ascii="Times New Roman" w:hAnsi="Times New Roman"/>
          <w:szCs w:val="24"/>
        </w:rPr>
        <w:t>e</w:t>
      </w:r>
      <w:r w:rsidRPr="000E5487">
        <w:rPr>
          <w:rFonts w:ascii="Times New Roman" w:hAnsi="Times New Roman"/>
          <w:szCs w:val="24"/>
        </w:rPr>
        <w:t xml:space="preserve"> o horizonte de </w:t>
      </w:r>
      <w:r w:rsidR="005C7DA2" w:rsidRPr="000E5487">
        <w:rPr>
          <w:rFonts w:ascii="Times New Roman" w:hAnsi="Times New Roman"/>
          <w:szCs w:val="24"/>
        </w:rPr>
        <w:t xml:space="preserve">projeção </w:t>
      </w:r>
      <w:r w:rsidRPr="000E5487">
        <w:rPr>
          <w:rFonts w:ascii="Times New Roman" w:hAnsi="Times New Roman"/>
          <w:szCs w:val="24"/>
        </w:rPr>
        <w:t xml:space="preserve">dos fluxos de caixa </w:t>
      </w:r>
      <w:r w:rsidR="00A16548" w:rsidRPr="000E5487">
        <w:rPr>
          <w:rFonts w:ascii="Times New Roman" w:hAnsi="Times New Roman"/>
          <w:szCs w:val="24"/>
        </w:rPr>
        <w:t xml:space="preserve">adotado. </w:t>
      </w:r>
      <w:r w:rsidRPr="000E5487">
        <w:rPr>
          <w:rFonts w:ascii="Times New Roman" w:hAnsi="Times New Roman"/>
          <w:szCs w:val="24"/>
        </w:rPr>
        <w:t>Os resulta</w:t>
      </w:r>
      <w:r w:rsidR="008F338F" w:rsidRPr="000E5487">
        <w:rPr>
          <w:rFonts w:ascii="Times New Roman" w:hAnsi="Times New Roman"/>
          <w:szCs w:val="24"/>
        </w:rPr>
        <w:t xml:space="preserve">dos são apresentados na Tabela </w:t>
      </w:r>
      <w:r w:rsidR="00F0375E">
        <w:rPr>
          <w:rFonts w:ascii="Times New Roman" w:hAnsi="Times New Roman"/>
          <w:szCs w:val="24"/>
        </w:rPr>
        <w:t>3</w:t>
      </w:r>
      <w:r w:rsidRPr="000E5487">
        <w:rPr>
          <w:rFonts w:ascii="Times New Roman" w:hAnsi="Times New Roman"/>
          <w:szCs w:val="24"/>
        </w:rPr>
        <w:t>.</w:t>
      </w:r>
    </w:p>
    <w:p w:rsidR="00086E90" w:rsidRPr="000E5487" w:rsidRDefault="00086E90" w:rsidP="00B747D7">
      <w:pPr>
        <w:spacing w:after="0" w:line="240" w:lineRule="auto"/>
        <w:ind w:firstLine="709"/>
        <w:jc w:val="both"/>
        <w:rPr>
          <w:rFonts w:ascii="Times New Roman" w:hAnsi="Times New Roman"/>
          <w:szCs w:val="24"/>
        </w:rPr>
      </w:pPr>
    </w:p>
    <w:p w:rsidR="00792148" w:rsidRPr="00086E90" w:rsidRDefault="00792148" w:rsidP="00086E90">
      <w:pPr>
        <w:spacing w:after="0" w:line="240" w:lineRule="auto"/>
        <w:jc w:val="center"/>
        <w:rPr>
          <w:rFonts w:ascii="Times New Roman" w:hAnsi="Times New Roman"/>
          <w:sz w:val="20"/>
          <w:szCs w:val="24"/>
        </w:rPr>
      </w:pPr>
      <w:r w:rsidRPr="00086E90">
        <w:rPr>
          <w:rFonts w:ascii="Times New Roman" w:hAnsi="Times New Roman"/>
          <w:sz w:val="20"/>
          <w:szCs w:val="24"/>
        </w:rPr>
        <w:t xml:space="preserve">Tabela </w:t>
      </w:r>
      <w:r w:rsidR="00F0375E" w:rsidRPr="00086E90">
        <w:rPr>
          <w:rFonts w:ascii="Times New Roman" w:hAnsi="Times New Roman"/>
          <w:sz w:val="20"/>
          <w:szCs w:val="24"/>
        </w:rPr>
        <w:t>3</w:t>
      </w:r>
      <w:r w:rsidRPr="00086E90">
        <w:rPr>
          <w:rFonts w:ascii="Times New Roman" w:hAnsi="Times New Roman"/>
          <w:sz w:val="20"/>
          <w:szCs w:val="24"/>
        </w:rPr>
        <w:t xml:space="preserve"> </w:t>
      </w:r>
      <w:r w:rsidR="003A4FF7" w:rsidRPr="00086E90">
        <w:rPr>
          <w:rFonts w:ascii="Times New Roman" w:hAnsi="Times New Roman"/>
          <w:sz w:val="20"/>
          <w:szCs w:val="24"/>
        </w:rPr>
        <w:t xml:space="preserve">- </w:t>
      </w:r>
      <w:r w:rsidRPr="00086E90">
        <w:rPr>
          <w:rFonts w:ascii="Times New Roman" w:hAnsi="Times New Roman"/>
          <w:sz w:val="20"/>
          <w:szCs w:val="24"/>
        </w:rPr>
        <w:t xml:space="preserve">Práticas na </w:t>
      </w:r>
      <w:r w:rsidR="00677C93" w:rsidRPr="00086E90">
        <w:rPr>
          <w:rFonts w:ascii="Times New Roman" w:hAnsi="Times New Roman"/>
          <w:sz w:val="20"/>
          <w:szCs w:val="24"/>
        </w:rPr>
        <w:t>estimativa de quantidade, preço e</w:t>
      </w:r>
      <w:r w:rsidRPr="00086E90">
        <w:rPr>
          <w:rFonts w:ascii="Times New Roman" w:hAnsi="Times New Roman"/>
          <w:sz w:val="20"/>
          <w:szCs w:val="24"/>
        </w:rPr>
        <w:t xml:space="preserve"> horizonte de </w:t>
      </w:r>
      <w:r w:rsidR="005C7DA2" w:rsidRPr="00086E90">
        <w:rPr>
          <w:rFonts w:ascii="Times New Roman" w:hAnsi="Times New Roman"/>
          <w:sz w:val="20"/>
          <w:szCs w:val="24"/>
        </w:rPr>
        <w:t xml:space="preserve">projeção </w:t>
      </w:r>
      <w:r w:rsidR="00677C93" w:rsidRPr="00086E90">
        <w:rPr>
          <w:rFonts w:ascii="Times New Roman" w:hAnsi="Times New Roman"/>
          <w:sz w:val="20"/>
          <w:szCs w:val="24"/>
        </w:rPr>
        <w:t>dos fluxos de caixa</w:t>
      </w:r>
    </w:p>
    <w:tbl>
      <w:tblPr>
        <w:tblW w:w="4925" w:type="pct"/>
        <w:tblInd w:w="70" w:type="dxa"/>
        <w:tblLayout w:type="fixed"/>
        <w:tblCellMar>
          <w:left w:w="70" w:type="dxa"/>
          <w:right w:w="70" w:type="dxa"/>
        </w:tblCellMar>
        <w:tblLook w:val="04A0" w:firstRow="1" w:lastRow="0" w:firstColumn="1" w:lastColumn="0" w:noHBand="0" w:noVBand="1"/>
      </w:tblPr>
      <w:tblGrid>
        <w:gridCol w:w="2094"/>
        <w:gridCol w:w="4187"/>
        <w:gridCol w:w="1396"/>
        <w:gridCol w:w="1258"/>
      </w:tblGrid>
      <w:tr w:rsidR="00792148" w:rsidRPr="000E5487" w:rsidTr="005D3924">
        <w:trPr>
          <w:trHeight w:val="259"/>
        </w:trPr>
        <w:tc>
          <w:tcPr>
            <w:tcW w:w="1172" w:type="pct"/>
            <w:tcBorders>
              <w:top w:val="single" w:sz="4" w:space="0" w:color="auto"/>
              <w:left w:val="nil"/>
              <w:bottom w:val="single" w:sz="4" w:space="0" w:color="auto"/>
              <w:right w:val="nil"/>
            </w:tcBorders>
            <w:shd w:val="clear" w:color="auto" w:fill="auto"/>
            <w:noWrap/>
            <w:vAlign w:val="center"/>
            <w:hideMark/>
          </w:tcPr>
          <w:p w:rsidR="00792148" w:rsidRPr="000E5487" w:rsidRDefault="00792148"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Componente</w:t>
            </w:r>
          </w:p>
        </w:tc>
        <w:tc>
          <w:tcPr>
            <w:tcW w:w="2343"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Alternativa</w:t>
            </w:r>
          </w:p>
        </w:tc>
        <w:tc>
          <w:tcPr>
            <w:tcW w:w="781"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Frequência Absoluta</w:t>
            </w:r>
          </w:p>
        </w:tc>
        <w:tc>
          <w:tcPr>
            <w:tcW w:w="704"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Frequência Relativa</w:t>
            </w:r>
          </w:p>
        </w:tc>
      </w:tr>
      <w:tr w:rsidR="00792148" w:rsidRPr="000E5487" w:rsidTr="005D3924">
        <w:trPr>
          <w:trHeight w:val="168"/>
        </w:trPr>
        <w:tc>
          <w:tcPr>
            <w:tcW w:w="1172" w:type="pct"/>
            <w:vMerge w:val="restart"/>
            <w:tcBorders>
              <w:top w:val="nil"/>
              <w:left w:val="nil"/>
              <w:bottom w:val="nil"/>
              <w:right w:val="nil"/>
            </w:tcBorders>
            <w:shd w:val="clear" w:color="000000" w:fill="F2F2F2"/>
            <w:vAlign w:val="center"/>
            <w:hideMark/>
          </w:tcPr>
          <w:p w:rsidR="00792148" w:rsidRPr="000E5487" w:rsidRDefault="009E5183"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Q</w:t>
            </w:r>
            <w:r w:rsidR="00792148" w:rsidRPr="000E5487">
              <w:rPr>
                <w:rFonts w:ascii="Times New Roman" w:hAnsi="Times New Roman"/>
                <w:b/>
                <w:bCs/>
                <w:color w:val="000000"/>
                <w:sz w:val="20"/>
                <w:szCs w:val="20"/>
              </w:rPr>
              <w:t>uantidade</w:t>
            </w:r>
          </w:p>
        </w:tc>
        <w:tc>
          <w:tcPr>
            <w:tcW w:w="2343"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Quantidade já negociada em contrato futuro</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3</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13,04%</w:t>
            </w:r>
          </w:p>
        </w:tc>
      </w:tr>
      <w:tr w:rsidR="00792148" w:rsidRPr="000E5487" w:rsidTr="005D3924">
        <w:trPr>
          <w:trHeight w:val="138"/>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Média histórica de produção</w:t>
            </w: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20</w:t>
            </w: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86,96%</w:t>
            </w:r>
          </w:p>
        </w:tc>
      </w:tr>
      <w:tr w:rsidR="00792148" w:rsidRPr="000E5487" w:rsidTr="005D3924">
        <w:trPr>
          <w:trHeight w:val="198"/>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000000" w:fill="F2F2F2"/>
            <w:vAlign w:val="center"/>
            <w:hideMark/>
          </w:tcPr>
          <w:p w:rsidR="00792148" w:rsidRPr="000E5487" w:rsidRDefault="00792148"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23</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5D3924">
        <w:trPr>
          <w:trHeight w:val="88"/>
        </w:trPr>
        <w:tc>
          <w:tcPr>
            <w:tcW w:w="1172"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ind w:firstLine="2"/>
              <w:rPr>
                <w:rFonts w:ascii="Times New Roman" w:hAnsi="Times New Roman"/>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color w:val="000000"/>
                <w:sz w:val="20"/>
                <w:szCs w:val="20"/>
              </w:rPr>
            </w:pP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r>
      <w:tr w:rsidR="00792148" w:rsidRPr="000E5487" w:rsidTr="005D3924">
        <w:trPr>
          <w:trHeight w:val="146"/>
        </w:trPr>
        <w:tc>
          <w:tcPr>
            <w:tcW w:w="1172" w:type="pct"/>
            <w:vMerge w:val="restart"/>
            <w:tcBorders>
              <w:top w:val="nil"/>
              <w:left w:val="nil"/>
              <w:bottom w:val="nil"/>
              <w:right w:val="nil"/>
            </w:tcBorders>
            <w:shd w:val="clear" w:color="auto" w:fill="auto"/>
            <w:vAlign w:val="center"/>
            <w:hideMark/>
          </w:tcPr>
          <w:p w:rsidR="00792148" w:rsidRPr="000E5487" w:rsidRDefault="009E5183"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P</w:t>
            </w:r>
            <w:r w:rsidR="00792148" w:rsidRPr="000E5487">
              <w:rPr>
                <w:rFonts w:ascii="Times New Roman" w:hAnsi="Times New Roman"/>
                <w:b/>
                <w:bCs/>
                <w:color w:val="000000"/>
                <w:sz w:val="20"/>
                <w:szCs w:val="20"/>
              </w:rPr>
              <w:t xml:space="preserve">reço de </w:t>
            </w:r>
            <w:r w:rsidR="006D5335" w:rsidRPr="000E5487">
              <w:rPr>
                <w:rFonts w:ascii="Times New Roman" w:hAnsi="Times New Roman"/>
                <w:b/>
                <w:bCs/>
                <w:color w:val="000000"/>
                <w:sz w:val="20"/>
                <w:szCs w:val="20"/>
              </w:rPr>
              <w:t>v</w:t>
            </w:r>
            <w:r w:rsidR="00792148" w:rsidRPr="000E5487">
              <w:rPr>
                <w:rFonts w:ascii="Times New Roman" w:hAnsi="Times New Roman"/>
                <w:b/>
                <w:bCs/>
                <w:color w:val="000000"/>
                <w:sz w:val="20"/>
                <w:szCs w:val="20"/>
              </w:rPr>
              <w:t>enda</w:t>
            </w:r>
          </w:p>
        </w:tc>
        <w:tc>
          <w:tcPr>
            <w:tcW w:w="2343"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Preço definido em contrato futuro</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5</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21,74%</w:t>
            </w:r>
          </w:p>
        </w:tc>
      </w:tr>
      <w:tr w:rsidR="00792148" w:rsidRPr="000E5487" w:rsidTr="005D3924">
        <w:trPr>
          <w:trHeight w:val="192"/>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Média histórica de preço</w:t>
            </w: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16</w:t>
            </w: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69,57%</w:t>
            </w:r>
          </w:p>
        </w:tc>
      </w:tr>
      <w:tr w:rsidR="00792148" w:rsidRPr="000E5487" w:rsidTr="005D3924">
        <w:trPr>
          <w:trHeight w:val="109"/>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000000" w:fill="F2F2F2"/>
            <w:vAlign w:val="center"/>
            <w:hideMark/>
          </w:tcPr>
          <w:p w:rsidR="00792148" w:rsidRPr="000E5487" w:rsidRDefault="00792148" w:rsidP="00086E90">
            <w:pPr>
              <w:spacing w:after="0" w:line="240" w:lineRule="auto"/>
              <w:jc w:val="both"/>
              <w:rPr>
                <w:rFonts w:ascii="Times New Roman" w:hAnsi="Times New Roman"/>
                <w:sz w:val="20"/>
                <w:szCs w:val="20"/>
              </w:rPr>
            </w:pPr>
            <w:r w:rsidRPr="000E5487">
              <w:rPr>
                <w:rFonts w:ascii="Times New Roman" w:hAnsi="Times New Roman"/>
                <w:sz w:val="20"/>
                <w:szCs w:val="20"/>
              </w:rPr>
              <w:t>Outros</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2</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8,70%</w:t>
            </w:r>
          </w:p>
        </w:tc>
      </w:tr>
      <w:tr w:rsidR="00792148" w:rsidRPr="000E5487" w:rsidTr="005D3924">
        <w:trPr>
          <w:trHeight w:val="156"/>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auto" w:fill="auto"/>
            <w:vAlign w:val="center"/>
            <w:hideMark/>
          </w:tcPr>
          <w:p w:rsidR="00792148" w:rsidRPr="000E5487" w:rsidRDefault="00792148"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23</w:t>
            </w: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5D3924">
        <w:trPr>
          <w:trHeight w:val="74"/>
        </w:trPr>
        <w:tc>
          <w:tcPr>
            <w:tcW w:w="1172"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ind w:firstLine="2"/>
              <w:rPr>
                <w:rFonts w:ascii="Times New Roman" w:hAnsi="Times New Roman"/>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color w:val="000000"/>
                <w:sz w:val="20"/>
                <w:szCs w:val="20"/>
              </w:rPr>
            </w:pP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r>
      <w:tr w:rsidR="00792148" w:rsidRPr="000E5487" w:rsidTr="005D3924">
        <w:trPr>
          <w:trHeight w:val="287"/>
        </w:trPr>
        <w:tc>
          <w:tcPr>
            <w:tcW w:w="1172" w:type="pct"/>
            <w:vMerge w:val="restart"/>
            <w:tcBorders>
              <w:top w:val="nil"/>
              <w:left w:val="nil"/>
              <w:bottom w:val="nil"/>
              <w:right w:val="nil"/>
            </w:tcBorders>
            <w:shd w:val="clear" w:color="000000" w:fill="F2F2F2"/>
            <w:vAlign w:val="center"/>
            <w:hideMark/>
          </w:tcPr>
          <w:p w:rsidR="00792148" w:rsidRPr="000E5487" w:rsidRDefault="009E5183"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S</w:t>
            </w:r>
            <w:r w:rsidR="00792148" w:rsidRPr="000E5487">
              <w:rPr>
                <w:rFonts w:ascii="Times New Roman" w:hAnsi="Times New Roman"/>
                <w:b/>
                <w:bCs/>
                <w:color w:val="000000"/>
                <w:sz w:val="20"/>
                <w:szCs w:val="20"/>
              </w:rPr>
              <w:t xml:space="preserve">azonalidade </w:t>
            </w:r>
          </w:p>
        </w:tc>
        <w:tc>
          <w:tcPr>
            <w:tcW w:w="2343"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Sim</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1</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6,25%</w:t>
            </w:r>
          </w:p>
        </w:tc>
      </w:tr>
      <w:tr w:rsidR="00792148" w:rsidRPr="000E5487" w:rsidTr="005D3924">
        <w:trPr>
          <w:trHeight w:val="278"/>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Não</w:t>
            </w: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15</w:t>
            </w: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93,75%</w:t>
            </w:r>
          </w:p>
        </w:tc>
      </w:tr>
      <w:tr w:rsidR="00792148" w:rsidRPr="000E5487" w:rsidTr="005D3924">
        <w:trPr>
          <w:trHeight w:val="66"/>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000000" w:fill="F2F2F2"/>
            <w:vAlign w:val="center"/>
            <w:hideMark/>
          </w:tcPr>
          <w:p w:rsidR="00792148" w:rsidRPr="000E5487" w:rsidRDefault="00792148"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16</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5D3924">
        <w:trPr>
          <w:trHeight w:val="88"/>
        </w:trPr>
        <w:tc>
          <w:tcPr>
            <w:tcW w:w="1172"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ind w:firstLine="2"/>
              <w:rPr>
                <w:rFonts w:ascii="Times New Roman" w:hAnsi="Times New Roman"/>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color w:val="000000"/>
                <w:sz w:val="20"/>
                <w:szCs w:val="20"/>
              </w:rPr>
            </w:pP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r>
      <w:tr w:rsidR="00792148" w:rsidRPr="000E5487" w:rsidTr="005D3924">
        <w:trPr>
          <w:trHeight w:val="255"/>
        </w:trPr>
        <w:tc>
          <w:tcPr>
            <w:tcW w:w="1172" w:type="pct"/>
            <w:vMerge w:val="restart"/>
            <w:tcBorders>
              <w:top w:val="nil"/>
              <w:left w:val="nil"/>
              <w:bottom w:val="nil"/>
              <w:right w:val="nil"/>
            </w:tcBorders>
            <w:shd w:val="clear" w:color="auto" w:fill="auto"/>
            <w:vAlign w:val="center"/>
            <w:hideMark/>
          </w:tcPr>
          <w:p w:rsidR="00792148" w:rsidRPr="000E5487" w:rsidRDefault="009E5183" w:rsidP="00086E90">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H</w:t>
            </w:r>
            <w:r w:rsidR="00792148" w:rsidRPr="000E5487">
              <w:rPr>
                <w:rFonts w:ascii="Times New Roman" w:hAnsi="Times New Roman"/>
                <w:b/>
                <w:bCs/>
                <w:color w:val="000000"/>
                <w:sz w:val="20"/>
                <w:szCs w:val="20"/>
              </w:rPr>
              <w:t xml:space="preserve">orizonte de </w:t>
            </w:r>
            <w:r w:rsidR="006D5335" w:rsidRPr="000E5487">
              <w:rPr>
                <w:rFonts w:ascii="Times New Roman" w:hAnsi="Times New Roman"/>
                <w:b/>
                <w:bCs/>
                <w:color w:val="000000"/>
                <w:sz w:val="20"/>
                <w:szCs w:val="20"/>
              </w:rPr>
              <w:t>p</w:t>
            </w:r>
            <w:r w:rsidR="005C7DA2" w:rsidRPr="000E5487">
              <w:rPr>
                <w:rFonts w:ascii="Times New Roman" w:hAnsi="Times New Roman"/>
                <w:b/>
                <w:bCs/>
                <w:color w:val="000000"/>
                <w:sz w:val="20"/>
                <w:szCs w:val="20"/>
              </w:rPr>
              <w:t>rojeção</w:t>
            </w:r>
            <w:r w:rsidR="00792148" w:rsidRPr="000E5487">
              <w:rPr>
                <w:rFonts w:ascii="Times New Roman" w:hAnsi="Times New Roman"/>
                <w:b/>
                <w:bCs/>
                <w:color w:val="000000"/>
                <w:sz w:val="20"/>
                <w:szCs w:val="20"/>
              </w:rPr>
              <w:t xml:space="preserve"> </w:t>
            </w:r>
          </w:p>
        </w:tc>
        <w:tc>
          <w:tcPr>
            <w:tcW w:w="2343"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Média histórica do ciclo de vida da planta</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21</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91,30%</w:t>
            </w:r>
          </w:p>
        </w:tc>
      </w:tr>
      <w:tr w:rsidR="00792148" w:rsidRPr="000E5487" w:rsidTr="005D3924">
        <w:trPr>
          <w:trHeight w:val="255"/>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sz w:val="20"/>
                <w:szCs w:val="20"/>
              </w:rPr>
            </w:pPr>
            <w:r w:rsidRPr="000E5487">
              <w:rPr>
                <w:rFonts w:ascii="Times New Roman" w:hAnsi="Times New Roman"/>
                <w:sz w:val="20"/>
                <w:szCs w:val="20"/>
              </w:rPr>
              <w:t>Tempo para plantio, desenvolvimento e colheita estimado</w:t>
            </w:r>
          </w:p>
        </w:tc>
        <w:tc>
          <w:tcPr>
            <w:tcW w:w="781"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sz w:val="20"/>
                <w:szCs w:val="20"/>
              </w:rPr>
            </w:pPr>
            <w:r w:rsidRPr="000E5487">
              <w:rPr>
                <w:rFonts w:ascii="Times New Roman" w:hAnsi="Times New Roman"/>
                <w:sz w:val="20"/>
                <w:szCs w:val="20"/>
              </w:rPr>
              <w:t>2</w:t>
            </w:r>
          </w:p>
        </w:tc>
        <w:tc>
          <w:tcPr>
            <w:tcW w:w="704" w:type="pct"/>
            <w:tcBorders>
              <w:top w:val="nil"/>
              <w:left w:val="nil"/>
              <w:bottom w:val="nil"/>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8,70%</w:t>
            </w:r>
          </w:p>
        </w:tc>
      </w:tr>
      <w:tr w:rsidR="00792148" w:rsidRPr="000E5487" w:rsidTr="005D3924">
        <w:trPr>
          <w:trHeight w:val="255"/>
        </w:trPr>
        <w:tc>
          <w:tcPr>
            <w:tcW w:w="1172" w:type="pct"/>
            <w:vMerge/>
            <w:tcBorders>
              <w:top w:val="nil"/>
              <w:left w:val="nil"/>
              <w:bottom w:val="nil"/>
              <w:right w:val="nil"/>
            </w:tcBorders>
            <w:vAlign w:val="center"/>
            <w:hideMark/>
          </w:tcPr>
          <w:p w:rsidR="00792148" w:rsidRPr="000E5487" w:rsidRDefault="00792148" w:rsidP="00086E90">
            <w:pPr>
              <w:spacing w:after="0" w:line="240" w:lineRule="auto"/>
              <w:ind w:firstLine="2"/>
              <w:rPr>
                <w:rFonts w:ascii="Times New Roman" w:hAnsi="Times New Roman"/>
                <w:b/>
                <w:bCs/>
                <w:color w:val="000000"/>
                <w:sz w:val="20"/>
                <w:szCs w:val="20"/>
              </w:rPr>
            </w:pPr>
          </w:p>
        </w:tc>
        <w:tc>
          <w:tcPr>
            <w:tcW w:w="2343" w:type="pct"/>
            <w:tcBorders>
              <w:top w:val="nil"/>
              <w:left w:val="nil"/>
              <w:bottom w:val="nil"/>
              <w:right w:val="nil"/>
            </w:tcBorders>
            <w:shd w:val="clear" w:color="000000" w:fill="F2F2F2"/>
            <w:vAlign w:val="center"/>
            <w:hideMark/>
          </w:tcPr>
          <w:p w:rsidR="00792148" w:rsidRPr="000E5487" w:rsidRDefault="00792148" w:rsidP="00086E90">
            <w:pPr>
              <w:spacing w:after="0" w:line="240" w:lineRule="auto"/>
              <w:jc w:val="right"/>
              <w:rPr>
                <w:rFonts w:ascii="Times New Roman" w:hAnsi="Times New Roman"/>
                <w:b/>
                <w:bCs/>
                <w:sz w:val="20"/>
                <w:szCs w:val="20"/>
              </w:rPr>
            </w:pPr>
            <w:r w:rsidRPr="000E5487">
              <w:rPr>
                <w:rFonts w:ascii="Times New Roman" w:hAnsi="Times New Roman"/>
                <w:b/>
                <w:bCs/>
                <w:sz w:val="20"/>
                <w:szCs w:val="20"/>
              </w:rPr>
              <w:t>Total</w:t>
            </w:r>
          </w:p>
        </w:tc>
        <w:tc>
          <w:tcPr>
            <w:tcW w:w="781"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sz w:val="20"/>
                <w:szCs w:val="20"/>
              </w:rPr>
            </w:pPr>
            <w:r w:rsidRPr="000E5487">
              <w:rPr>
                <w:rFonts w:ascii="Times New Roman" w:hAnsi="Times New Roman"/>
                <w:b/>
                <w:bCs/>
                <w:sz w:val="20"/>
                <w:szCs w:val="20"/>
              </w:rPr>
              <w:t>23</w:t>
            </w:r>
          </w:p>
        </w:tc>
        <w:tc>
          <w:tcPr>
            <w:tcW w:w="704" w:type="pct"/>
            <w:tcBorders>
              <w:top w:val="nil"/>
              <w:left w:val="nil"/>
              <w:bottom w:val="nil"/>
              <w:right w:val="nil"/>
            </w:tcBorders>
            <w:shd w:val="clear" w:color="000000" w:fill="F2F2F2"/>
            <w:noWrap/>
            <w:vAlign w:val="center"/>
            <w:hideMark/>
          </w:tcPr>
          <w:p w:rsidR="00792148" w:rsidRPr="000E5487" w:rsidRDefault="00792148" w:rsidP="00086E90">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5E1968">
        <w:trPr>
          <w:trHeight w:val="66"/>
        </w:trPr>
        <w:tc>
          <w:tcPr>
            <w:tcW w:w="1172" w:type="pct"/>
            <w:tcBorders>
              <w:top w:val="nil"/>
              <w:left w:val="nil"/>
              <w:bottom w:val="single" w:sz="4" w:space="0" w:color="auto"/>
              <w:right w:val="nil"/>
            </w:tcBorders>
            <w:shd w:val="clear" w:color="auto" w:fill="auto"/>
            <w:noWrap/>
            <w:vAlign w:val="center"/>
            <w:hideMark/>
          </w:tcPr>
          <w:p w:rsidR="00792148" w:rsidRPr="000E5487" w:rsidRDefault="00792148" w:rsidP="00086E90">
            <w:pPr>
              <w:spacing w:after="0" w:line="240" w:lineRule="auto"/>
              <w:ind w:firstLine="2"/>
              <w:rPr>
                <w:rFonts w:ascii="Times New Roman" w:hAnsi="Times New Roman"/>
                <w:color w:val="000000"/>
                <w:sz w:val="20"/>
                <w:szCs w:val="20"/>
              </w:rPr>
            </w:pPr>
          </w:p>
        </w:tc>
        <w:tc>
          <w:tcPr>
            <w:tcW w:w="2343" w:type="pct"/>
            <w:tcBorders>
              <w:top w:val="nil"/>
              <w:left w:val="nil"/>
              <w:bottom w:val="single" w:sz="4" w:space="0" w:color="auto"/>
              <w:right w:val="nil"/>
            </w:tcBorders>
            <w:shd w:val="clear" w:color="auto" w:fill="auto"/>
            <w:noWrap/>
            <w:vAlign w:val="center"/>
            <w:hideMark/>
          </w:tcPr>
          <w:p w:rsidR="00792148" w:rsidRPr="000E5487" w:rsidRDefault="00792148" w:rsidP="00086E90">
            <w:pPr>
              <w:spacing w:after="0" w:line="240" w:lineRule="auto"/>
              <w:rPr>
                <w:rFonts w:ascii="Times New Roman" w:hAnsi="Times New Roman"/>
                <w:color w:val="000000"/>
                <w:sz w:val="20"/>
                <w:szCs w:val="20"/>
              </w:rPr>
            </w:pPr>
          </w:p>
        </w:tc>
        <w:tc>
          <w:tcPr>
            <w:tcW w:w="781" w:type="pct"/>
            <w:tcBorders>
              <w:top w:val="nil"/>
              <w:left w:val="nil"/>
              <w:bottom w:val="single" w:sz="4" w:space="0" w:color="auto"/>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c>
          <w:tcPr>
            <w:tcW w:w="704" w:type="pct"/>
            <w:tcBorders>
              <w:top w:val="nil"/>
              <w:left w:val="nil"/>
              <w:bottom w:val="single" w:sz="4" w:space="0" w:color="auto"/>
              <w:right w:val="nil"/>
            </w:tcBorders>
            <w:shd w:val="clear" w:color="auto" w:fill="auto"/>
            <w:noWrap/>
            <w:vAlign w:val="center"/>
            <w:hideMark/>
          </w:tcPr>
          <w:p w:rsidR="00792148" w:rsidRPr="000E5487" w:rsidRDefault="00792148" w:rsidP="00086E90">
            <w:pPr>
              <w:spacing w:after="0" w:line="240" w:lineRule="auto"/>
              <w:jc w:val="center"/>
              <w:rPr>
                <w:rFonts w:ascii="Times New Roman" w:hAnsi="Times New Roman"/>
                <w:color w:val="000000"/>
                <w:sz w:val="20"/>
                <w:szCs w:val="20"/>
              </w:rPr>
            </w:pPr>
          </w:p>
        </w:tc>
      </w:tr>
    </w:tbl>
    <w:p w:rsidR="00147C0E" w:rsidRPr="000E5487" w:rsidRDefault="00147C0E" w:rsidP="00B747D7">
      <w:pPr>
        <w:spacing w:after="0" w:line="240" w:lineRule="auto"/>
        <w:ind w:firstLine="709"/>
        <w:jc w:val="both"/>
        <w:rPr>
          <w:rFonts w:ascii="Times New Roman" w:hAnsi="Times New Roman"/>
          <w:szCs w:val="24"/>
        </w:rPr>
      </w:pPr>
    </w:p>
    <w:p w:rsidR="00CE756D" w:rsidRPr="000E5487" w:rsidRDefault="00AA0F13" w:rsidP="00CE756D">
      <w:pPr>
        <w:spacing w:after="0" w:line="240" w:lineRule="auto"/>
        <w:ind w:firstLine="709"/>
        <w:jc w:val="both"/>
        <w:rPr>
          <w:rFonts w:ascii="Times New Roman" w:hAnsi="Times New Roman"/>
          <w:szCs w:val="24"/>
        </w:rPr>
      </w:pPr>
      <w:r w:rsidRPr="000E5487">
        <w:rPr>
          <w:rFonts w:ascii="Times New Roman" w:hAnsi="Times New Roman"/>
          <w:szCs w:val="24"/>
        </w:rPr>
        <w:t xml:space="preserve">Para o </w:t>
      </w:r>
      <w:r w:rsidR="00CE756D" w:rsidRPr="000E5487">
        <w:rPr>
          <w:rFonts w:ascii="Times New Roman" w:hAnsi="Times New Roman"/>
          <w:szCs w:val="24"/>
        </w:rPr>
        <w:t xml:space="preserve">cálculo da receita utilizada na projeção do fluxo de caixa, a escolha contábil que predomina está baseda na utilização da média histórica de quantidade e preço, porém, verificou-se que a maioria não considera os efeitos da sazonalidade, que impactam diretamente no valor do ativo, dada a “forte dependência de fatores climáticos, ambientais e do ciclo biológico das plantas” </w:t>
      </w:r>
      <w:r w:rsidR="00CE756D" w:rsidRPr="000E5487">
        <w:rPr>
          <w:rFonts w:ascii="Times New Roman" w:hAnsi="Times New Roman"/>
          <w:szCs w:val="24"/>
        </w:rPr>
        <w:fldChar w:fldCharType="begin" w:fldLock="1"/>
      </w:r>
      <w:r w:rsidR="00CE756D">
        <w:rPr>
          <w:rFonts w:ascii="Times New Roman" w:hAnsi="Times New Roman"/>
          <w:szCs w:val="24"/>
        </w:rPr>
        <w:instrText>ADDIN CSL_CITATION {"citationItems":[{"id":"ITEM-1","itemData":{"ISSN":"1808-2882","abstract":"Resumo A IAS 41 inseriu no cenário internacional da contabilidade as condições mínimas para contabilização e apresentação dos ativos biológicos nas demonstrações financeiras. O mesmo aconteceu no Brasil com a CPC 29 que estabelece que os ativos biológicos devem ser mensurados a valor justo sempre que esse possa ser mensurado confiavelmente. Desta forma, este artigo tem como objetivo analisar os métodos de mensuração dos ativos biológicos de natureza fixa. A pesquisa é de natureza exploratória, à partir da aplicação de dados hipotéticos à um pomar de laranjas, que apresenta as características gerais da maioria das árvores frutíferas, servindo de referência para os demais ativos biológicos de mesma natureza. O artigo faz uma análise da aplicação das técnicas de mensuração a valor justo determinadas pela IAS 41 e pela IFRS 13, com a apresentação de três métodos para mensurar os ativos biológicos de natureza fixa. Como resultado da pesquisa, destaca-se que o critério de mensuração a valor justo é aplicável ao setor do ponto de vista teórico. Porém, para a mensuração destes ativos depende-se de estimativas de preços e de produção, que em muitos casos envolve previsões com estatísticas e dados subjetivos, o que justifica a dificuldade encontrada no setor para a mensuração dos ativos biológicos. Palavras-chave: Valor justo. Ativos biológicos. Métodos de mensuração.","author":[{"dropping-particle":"","family":"Rech","given":"Ilirio Jose","non-dropping-particle":"","parse-names":false,"suffix":""},{"dropping-particle":"","family":"Pereira","given":"Ivone Vieira","non-dropping-particle":"","parse-names":false,"suffix":""}],"container-title":"Custos e @gronegócio on line","id":"ITEM-1","issue":"2","issued":{"date-parts":[["2012"]]},"page":"131-157","title":"Valor justo : análise dos métodos de mensuração aplicáveis aos ativos biológicos de natureza fixa","type":"article-journal","volume":"8"},"uris":["http://www.mendeley.com/documents/?uuid=71117ee0-a9fb-3d3b-829d-dc0f8e8cbf74"]}],"mendeley":{"formattedCitation":"(RECH; PEREIRA, 2012)","manualFormatting":"(RECH; PEREIRA, 2012, p. 147)","plainTextFormattedCitation":"(RECH; PEREIRA, 2012)","previouslyFormattedCitation":"(RECH; PEREIRA, 2012)"},"properties":{"noteIndex":0},"schema":"https://github.com/citation-style-language/schema/raw/master/csl-citation.json"}</w:instrText>
      </w:r>
      <w:r w:rsidR="00CE756D" w:rsidRPr="000E5487">
        <w:rPr>
          <w:rFonts w:ascii="Times New Roman" w:hAnsi="Times New Roman"/>
          <w:szCs w:val="24"/>
        </w:rPr>
        <w:fldChar w:fldCharType="separate"/>
      </w:r>
      <w:r w:rsidR="00CE756D" w:rsidRPr="000E5487">
        <w:rPr>
          <w:rFonts w:ascii="Times New Roman" w:hAnsi="Times New Roman"/>
          <w:noProof/>
          <w:szCs w:val="24"/>
        </w:rPr>
        <w:t>(RECH</w:t>
      </w:r>
      <w:r w:rsidR="00CE756D">
        <w:rPr>
          <w:rFonts w:ascii="Times New Roman" w:hAnsi="Times New Roman"/>
          <w:noProof/>
          <w:szCs w:val="24"/>
        </w:rPr>
        <w:t>;</w:t>
      </w:r>
      <w:r w:rsidR="00CE756D" w:rsidRPr="000E5487">
        <w:rPr>
          <w:rFonts w:ascii="Times New Roman" w:hAnsi="Times New Roman"/>
          <w:noProof/>
          <w:szCs w:val="24"/>
        </w:rPr>
        <w:t xml:space="preserve"> PEREIRA, 2012, p. 147)</w:t>
      </w:r>
      <w:r w:rsidR="00CE756D" w:rsidRPr="000E5487">
        <w:rPr>
          <w:rFonts w:ascii="Times New Roman" w:hAnsi="Times New Roman"/>
          <w:szCs w:val="24"/>
        </w:rPr>
        <w:fldChar w:fldCharType="end"/>
      </w:r>
      <w:r w:rsidR="00CE756D" w:rsidRPr="000E5487">
        <w:rPr>
          <w:rFonts w:ascii="Times New Roman" w:hAnsi="Times New Roman"/>
          <w:szCs w:val="24"/>
        </w:rPr>
        <w:t>. Para determinação do horizonte de projeção dos fluxos de caixa, a escolha contábil da maioria dos respondentes é pela média histórica do ciclo de vida da planta, o que demonstra uma preocupação em adequar a expectativa de receita ao desenvolvimento da cultura, conforme estabelecido pel</w:t>
      </w:r>
      <w:r w:rsidR="00CE756D">
        <w:rPr>
          <w:rFonts w:ascii="Times New Roman" w:hAnsi="Times New Roman"/>
          <w:szCs w:val="24"/>
        </w:rPr>
        <w:t>a IAS 41</w:t>
      </w:r>
      <w:r w:rsidR="00CE756D" w:rsidRPr="000E5487">
        <w:rPr>
          <w:rFonts w:ascii="Times New Roman" w:hAnsi="Times New Roman"/>
          <w:szCs w:val="24"/>
        </w:rPr>
        <w:t xml:space="preserve">. </w:t>
      </w:r>
    </w:p>
    <w:p w:rsidR="00086E90" w:rsidRPr="000E5487" w:rsidRDefault="00086E90" w:rsidP="00B747D7">
      <w:pPr>
        <w:spacing w:after="0" w:line="240" w:lineRule="auto"/>
        <w:ind w:firstLine="709"/>
        <w:jc w:val="both"/>
        <w:rPr>
          <w:rFonts w:ascii="Times New Roman" w:hAnsi="Times New Roman"/>
          <w:szCs w:val="24"/>
        </w:rPr>
      </w:pPr>
    </w:p>
    <w:p w:rsidR="00792148" w:rsidRPr="000E5487" w:rsidRDefault="008E740C" w:rsidP="00086E90">
      <w:pPr>
        <w:spacing w:after="120" w:line="240" w:lineRule="auto"/>
        <w:jc w:val="both"/>
        <w:rPr>
          <w:rFonts w:ascii="Times New Roman" w:hAnsi="Times New Roman"/>
          <w:b/>
          <w:szCs w:val="24"/>
        </w:rPr>
      </w:pPr>
      <w:r w:rsidRPr="000E5487">
        <w:rPr>
          <w:rFonts w:ascii="Times New Roman" w:hAnsi="Times New Roman"/>
          <w:b/>
          <w:szCs w:val="24"/>
        </w:rPr>
        <w:t>3</w:t>
      </w:r>
      <w:r w:rsidR="00792148" w:rsidRPr="000E5487">
        <w:rPr>
          <w:rFonts w:ascii="Times New Roman" w:hAnsi="Times New Roman"/>
          <w:b/>
          <w:szCs w:val="24"/>
        </w:rPr>
        <w:t>.</w:t>
      </w:r>
      <w:r w:rsidR="008F338F" w:rsidRPr="000E5487">
        <w:rPr>
          <w:rFonts w:ascii="Times New Roman" w:hAnsi="Times New Roman"/>
          <w:b/>
          <w:szCs w:val="24"/>
        </w:rPr>
        <w:t>2</w:t>
      </w:r>
      <w:r w:rsidR="00792148" w:rsidRPr="000E5487">
        <w:rPr>
          <w:rFonts w:ascii="Times New Roman" w:hAnsi="Times New Roman"/>
          <w:b/>
          <w:szCs w:val="24"/>
        </w:rPr>
        <w:t xml:space="preserve">.3 </w:t>
      </w:r>
      <w:r w:rsidR="00172103" w:rsidRPr="000E5487">
        <w:rPr>
          <w:rFonts w:ascii="Times New Roman" w:hAnsi="Times New Roman"/>
          <w:b/>
          <w:szCs w:val="24"/>
        </w:rPr>
        <w:t xml:space="preserve">Escolhas </w:t>
      </w:r>
      <w:r w:rsidR="00147C0E" w:rsidRPr="000E5487">
        <w:rPr>
          <w:rFonts w:ascii="Times New Roman" w:hAnsi="Times New Roman"/>
          <w:b/>
          <w:szCs w:val="24"/>
        </w:rPr>
        <w:t>Contábeis re</w:t>
      </w:r>
      <w:r w:rsidR="00DB5ED6" w:rsidRPr="000E5487">
        <w:rPr>
          <w:rFonts w:ascii="Times New Roman" w:hAnsi="Times New Roman"/>
          <w:b/>
          <w:szCs w:val="24"/>
        </w:rPr>
        <w:t>lativas aos Custos de Produção e Depreciação</w:t>
      </w:r>
    </w:p>
    <w:p w:rsidR="00792148" w:rsidRDefault="00705E3D" w:rsidP="00B747D7">
      <w:pPr>
        <w:spacing w:after="0" w:line="240" w:lineRule="auto"/>
        <w:ind w:firstLine="709"/>
        <w:jc w:val="both"/>
        <w:rPr>
          <w:rFonts w:ascii="Times New Roman" w:hAnsi="Times New Roman"/>
          <w:szCs w:val="24"/>
        </w:rPr>
      </w:pPr>
      <w:r w:rsidRPr="000E5487">
        <w:rPr>
          <w:rFonts w:ascii="Times New Roman" w:hAnsi="Times New Roman"/>
          <w:szCs w:val="24"/>
        </w:rPr>
        <w:t>Quanto</w:t>
      </w:r>
      <w:r w:rsidR="00792148" w:rsidRPr="000E5487">
        <w:rPr>
          <w:rFonts w:ascii="Times New Roman" w:hAnsi="Times New Roman"/>
          <w:szCs w:val="24"/>
        </w:rPr>
        <w:t xml:space="preserve"> as práticas adotadas pelos </w:t>
      </w:r>
      <w:r w:rsidR="00A16548" w:rsidRPr="000E5487">
        <w:rPr>
          <w:rFonts w:ascii="Times New Roman" w:hAnsi="Times New Roman"/>
          <w:szCs w:val="24"/>
        </w:rPr>
        <w:t xml:space="preserve">respondentes </w:t>
      </w:r>
      <w:r w:rsidR="00792148" w:rsidRPr="000E5487">
        <w:rPr>
          <w:rFonts w:ascii="Times New Roman" w:hAnsi="Times New Roman"/>
          <w:szCs w:val="24"/>
        </w:rPr>
        <w:t>na de</w:t>
      </w:r>
      <w:r w:rsidR="00DB5ED6" w:rsidRPr="000E5487">
        <w:rPr>
          <w:rFonts w:ascii="Times New Roman" w:hAnsi="Times New Roman"/>
          <w:szCs w:val="24"/>
        </w:rPr>
        <w:t xml:space="preserve">finição dos custos de produção  e </w:t>
      </w:r>
      <w:r w:rsidR="00792148" w:rsidRPr="000E5487">
        <w:rPr>
          <w:rFonts w:ascii="Times New Roman" w:hAnsi="Times New Roman"/>
          <w:szCs w:val="24"/>
        </w:rPr>
        <w:t>depreciação utilizados no FCD</w:t>
      </w:r>
      <w:r w:rsidRPr="000E5487">
        <w:rPr>
          <w:rFonts w:ascii="Times New Roman" w:hAnsi="Times New Roman"/>
          <w:szCs w:val="24"/>
        </w:rPr>
        <w:t>, o</w:t>
      </w:r>
      <w:r w:rsidR="00792148" w:rsidRPr="000E5487">
        <w:rPr>
          <w:rFonts w:ascii="Times New Roman" w:hAnsi="Times New Roman"/>
          <w:szCs w:val="24"/>
        </w:rPr>
        <w:t xml:space="preserve">s resultados são apresentados na Tabela </w:t>
      </w:r>
      <w:r w:rsidR="00677C93">
        <w:rPr>
          <w:rFonts w:ascii="Times New Roman" w:hAnsi="Times New Roman"/>
          <w:szCs w:val="24"/>
        </w:rPr>
        <w:t>4</w:t>
      </w:r>
      <w:r w:rsidR="00792148" w:rsidRPr="000E5487">
        <w:rPr>
          <w:rFonts w:ascii="Times New Roman" w:hAnsi="Times New Roman"/>
          <w:szCs w:val="24"/>
        </w:rPr>
        <w:t>.</w:t>
      </w:r>
    </w:p>
    <w:p w:rsidR="00651EDD" w:rsidRPr="000E5487" w:rsidRDefault="00651EDD" w:rsidP="00B747D7">
      <w:pPr>
        <w:spacing w:after="0" w:line="240" w:lineRule="auto"/>
        <w:ind w:firstLine="709"/>
        <w:jc w:val="both"/>
        <w:rPr>
          <w:rFonts w:ascii="Times New Roman" w:hAnsi="Times New Roman"/>
          <w:szCs w:val="24"/>
        </w:rPr>
      </w:pPr>
    </w:p>
    <w:p w:rsidR="00792148" w:rsidRPr="00485D63" w:rsidRDefault="00677C93" w:rsidP="00651EDD">
      <w:pPr>
        <w:spacing w:after="0" w:line="240" w:lineRule="auto"/>
        <w:jc w:val="center"/>
        <w:rPr>
          <w:rFonts w:ascii="Times New Roman" w:hAnsi="Times New Roman"/>
          <w:sz w:val="20"/>
          <w:szCs w:val="20"/>
        </w:rPr>
      </w:pPr>
      <w:r w:rsidRPr="00485D63">
        <w:rPr>
          <w:rFonts w:ascii="Times New Roman" w:hAnsi="Times New Roman"/>
          <w:sz w:val="20"/>
          <w:szCs w:val="20"/>
        </w:rPr>
        <w:t>Tabela 4</w:t>
      </w:r>
      <w:r w:rsidR="00792148" w:rsidRPr="00485D63">
        <w:rPr>
          <w:rFonts w:ascii="Times New Roman" w:hAnsi="Times New Roman"/>
          <w:sz w:val="20"/>
          <w:szCs w:val="20"/>
        </w:rPr>
        <w:t xml:space="preserve"> </w:t>
      </w:r>
      <w:r w:rsidR="006C54C9" w:rsidRPr="00485D63">
        <w:rPr>
          <w:rFonts w:ascii="Times New Roman" w:hAnsi="Times New Roman"/>
          <w:sz w:val="20"/>
          <w:szCs w:val="20"/>
        </w:rPr>
        <w:t>–</w:t>
      </w:r>
      <w:r w:rsidR="00172103" w:rsidRPr="00485D63">
        <w:rPr>
          <w:rFonts w:ascii="Times New Roman" w:hAnsi="Times New Roman"/>
          <w:sz w:val="20"/>
          <w:szCs w:val="20"/>
        </w:rPr>
        <w:t xml:space="preserve"> </w:t>
      </w:r>
      <w:r w:rsidR="006C54C9" w:rsidRPr="00485D63">
        <w:rPr>
          <w:rFonts w:ascii="Times New Roman" w:hAnsi="Times New Roman"/>
          <w:sz w:val="20"/>
          <w:szCs w:val="20"/>
        </w:rPr>
        <w:t>Escolhas contábeis</w:t>
      </w:r>
      <w:r w:rsidR="00792148" w:rsidRPr="00485D63">
        <w:rPr>
          <w:rFonts w:ascii="Times New Roman" w:hAnsi="Times New Roman"/>
          <w:sz w:val="20"/>
          <w:szCs w:val="20"/>
        </w:rPr>
        <w:t xml:space="preserve"> na d</w:t>
      </w:r>
      <w:r w:rsidR="00DB5ED6" w:rsidRPr="00485D63">
        <w:rPr>
          <w:rFonts w:ascii="Times New Roman" w:hAnsi="Times New Roman"/>
          <w:sz w:val="20"/>
          <w:szCs w:val="20"/>
        </w:rPr>
        <w:t>efinição dos custos de produção e depreciação</w:t>
      </w:r>
    </w:p>
    <w:tbl>
      <w:tblPr>
        <w:tblW w:w="4928" w:type="pct"/>
        <w:tblInd w:w="70" w:type="dxa"/>
        <w:tblCellMar>
          <w:left w:w="70" w:type="dxa"/>
          <w:right w:w="70" w:type="dxa"/>
        </w:tblCellMar>
        <w:tblLook w:val="04A0" w:firstRow="1" w:lastRow="0" w:firstColumn="1" w:lastColumn="0" w:noHBand="0" w:noVBand="1"/>
      </w:tblPr>
      <w:tblGrid>
        <w:gridCol w:w="2508"/>
        <w:gridCol w:w="4179"/>
        <w:gridCol w:w="1146"/>
        <w:gridCol w:w="1107"/>
      </w:tblGrid>
      <w:tr w:rsidR="00792148" w:rsidRPr="000E5487" w:rsidTr="005D3924">
        <w:trPr>
          <w:trHeight w:val="283"/>
        </w:trPr>
        <w:tc>
          <w:tcPr>
            <w:tcW w:w="1406" w:type="pct"/>
            <w:tcBorders>
              <w:top w:val="single" w:sz="4" w:space="0" w:color="auto"/>
              <w:left w:val="nil"/>
              <w:bottom w:val="single" w:sz="4" w:space="0" w:color="auto"/>
              <w:right w:val="nil"/>
            </w:tcBorders>
            <w:shd w:val="clear" w:color="auto" w:fill="auto"/>
            <w:noWrap/>
            <w:vAlign w:val="center"/>
            <w:hideMark/>
          </w:tcPr>
          <w:p w:rsidR="00792148" w:rsidRPr="000E5487" w:rsidRDefault="00792148" w:rsidP="00485D63">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Componente</w:t>
            </w:r>
          </w:p>
        </w:tc>
        <w:tc>
          <w:tcPr>
            <w:tcW w:w="2340"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Alternativa</w:t>
            </w:r>
          </w:p>
        </w:tc>
        <w:tc>
          <w:tcPr>
            <w:tcW w:w="644"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Frequência Absoluta</w:t>
            </w:r>
          </w:p>
        </w:tc>
        <w:tc>
          <w:tcPr>
            <w:tcW w:w="610" w:type="pct"/>
            <w:tcBorders>
              <w:top w:val="single" w:sz="4" w:space="0" w:color="auto"/>
              <w:left w:val="nil"/>
              <w:bottom w:val="single" w:sz="4" w:space="0" w:color="auto"/>
              <w:right w:val="nil"/>
            </w:tcBorders>
            <w:shd w:val="clear" w:color="auto" w:fill="auto"/>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Frequência Relativa</w:t>
            </w:r>
          </w:p>
        </w:tc>
      </w:tr>
      <w:tr w:rsidR="00792148" w:rsidRPr="000E5487" w:rsidTr="005D3924">
        <w:trPr>
          <w:trHeight w:val="255"/>
        </w:trPr>
        <w:tc>
          <w:tcPr>
            <w:tcW w:w="1406" w:type="pct"/>
            <w:vMerge w:val="restart"/>
            <w:tcBorders>
              <w:top w:val="nil"/>
              <w:left w:val="nil"/>
              <w:bottom w:val="nil"/>
              <w:right w:val="nil"/>
            </w:tcBorders>
            <w:shd w:val="clear" w:color="000000" w:fill="F2F2F2"/>
            <w:vAlign w:val="center"/>
            <w:hideMark/>
          </w:tcPr>
          <w:p w:rsidR="00792148" w:rsidRPr="000E5487" w:rsidRDefault="00753205" w:rsidP="00485D63">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P</w:t>
            </w:r>
            <w:r w:rsidR="00792148" w:rsidRPr="000E5487">
              <w:rPr>
                <w:rFonts w:ascii="Times New Roman" w:hAnsi="Times New Roman"/>
                <w:b/>
                <w:bCs/>
                <w:color w:val="000000"/>
                <w:sz w:val="20"/>
                <w:szCs w:val="20"/>
              </w:rPr>
              <w:t xml:space="preserve">adronização </w:t>
            </w:r>
            <w:r w:rsidR="00A16548" w:rsidRPr="000E5487">
              <w:rPr>
                <w:rFonts w:ascii="Times New Roman" w:hAnsi="Times New Roman"/>
                <w:b/>
                <w:bCs/>
                <w:color w:val="000000"/>
                <w:sz w:val="20"/>
                <w:szCs w:val="20"/>
              </w:rPr>
              <w:t>d</w:t>
            </w:r>
            <w:r w:rsidR="00792148" w:rsidRPr="000E5487">
              <w:rPr>
                <w:rFonts w:ascii="Times New Roman" w:hAnsi="Times New Roman"/>
                <w:b/>
                <w:bCs/>
                <w:color w:val="000000"/>
                <w:sz w:val="20"/>
                <w:szCs w:val="20"/>
              </w:rPr>
              <w:t xml:space="preserve">os </w:t>
            </w:r>
            <w:r w:rsidR="006D5335" w:rsidRPr="000E5487">
              <w:rPr>
                <w:rFonts w:ascii="Times New Roman" w:hAnsi="Times New Roman"/>
                <w:b/>
                <w:bCs/>
                <w:color w:val="000000"/>
                <w:sz w:val="20"/>
                <w:szCs w:val="20"/>
              </w:rPr>
              <w:t>c</w:t>
            </w:r>
            <w:r w:rsidR="00792148" w:rsidRPr="000E5487">
              <w:rPr>
                <w:rFonts w:ascii="Times New Roman" w:hAnsi="Times New Roman"/>
                <w:b/>
                <w:bCs/>
                <w:color w:val="000000"/>
                <w:sz w:val="20"/>
                <w:szCs w:val="20"/>
              </w:rPr>
              <w:t xml:space="preserve">ustos de </w:t>
            </w:r>
            <w:r w:rsidR="006D5335" w:rsidRPr="000E5487">
              <w:rPr>
                <w:rFonts w:ascii="Times New Roman" w:hAnsi="Times New Roman"/>
                <w:b/>
                <w:bCs/>
                <w:color w:val="000000"/>
                <w:sz w:val="20"/>
                <w:szCs w:val="20"/>
              </w:rPr>
              <w:t>p</w:t>
            </w:r>
            <w:r w:rsidR="00792148" w:rsidRPr="000E5487">
              <w:rPr>
                <w:rFonts w:ascii="Times New Roman" w:hAnsi="Times New Roman"/>
                <w:b/>
                <w:bCs/>
                <w:color w:val="000000"/>
                <w:sz w:val="20"/>
                <w:szCs w:val="20"/>
              </w:rPr>
              <w:t>rodução</w:t>
            </w:r>
          </w:p>
        </w:tc>
        <w:tc>
          <w:tcPr>
            <w:tcW w:w="234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Sim</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4</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17,39%</w:t>
            </w:r>
          </w:p>
        </w:tc>
      </w:tr>
      <w:tr w:rsidR="00792148" w:rsidRPr="000E5487" w:rsidTr="005D3924">
        <w:trPr>
          <w:trHeight w:val="255"/>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Não</w:t>
            </w:r>
          </w:p>
        </w:tc>
        <w:tc>
          <w:tcPr>
            <w:tcW w:w="644"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19</w:t>
            </w:r>
          </w:p>
        </w:tc>
        <w:tc>
          <w:tcPr>
            <w:tcW w:w="61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82,61%</w:t>
            </w:r>
          </w:p>
        </w:tc>
      </w:tr>
      <w:tr w:rsidR="00792148" w:rsidRPr="000E5487" w:rsidTr="005D3924">
        <w:trPr>
          <w:trHeight w:val="255"/>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000000" w:fill="F2F2F2"/>
            <w:vAlign w:val="center"/>
            <w:hideMark/>
          </w:tcPr>
          <w:p w:rsidR="00792148" w:rsidRPr="000E5487" w:rsidRDefault="00792148" w:rsidP="00485D63">
            <w:pPr>
              <w:spacing w:after="0" w:line="240" w:lineRule="auto"/>
              <w:jc w:val="right"/>
              <w:rPr>
                <w:rFonts w:ascii="Times New Roman" w:hAnsi="Times New Roman"/>
                <w:b/>
                <w:bCs/>
                <w:color w:val="000000"/>
                <w:sz w:val="20"/>
                <w:szCs w:val="20"/>
              </w:rPr>
            </w:pPr>
            <w:r w:rsidRPr="000E5487">
              <w:rPr>
                <w:rFonts w:ascii="Times New Roman" w:hAnsi="Times New Roman"/>
                <w:b/>
                <w:bCs/>
                <w:color w:val="000000"/>
                <w:sz w:val="20"/>
                <w:szCs w:val="20"/>
              </w:rPr>
              <w:t>Total</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5D3924">
        <w:trPr>
          <w:trHeight w:val="255"/>
        </w:trPr>
        <w:tc>
          <w:tcPr>
            <w:tcW w:w="1406"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ind w:firstLine="2"/>
              <w:rPr>
                <w:rFonts w:ascii="Times New Roman" w:hAnsi="Times New Roman"/>
                <w:color w:val="FF0000"/>
                <w:sz w:val="20"/>
                <w:szCs w:val="20"/>
              </w:rPr>
            </w:pPr>
          </w:p>
        </w:tc>
        <w:tc>
          <w:tcPr>
            <w:tcW w:w="234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rPr>
                <w:rFonts w:ascii="Times New Roman" w:hAnsi="Times New Roman"/>
                <w:color w:val="FF0000"/>
                <w:sz w:val="20"/>
                <w:szCs w:val="20"/>
              </w:rPr>
            </w:pPr>
          </w:p>
        </w:tc>
        <w:tc>
          <w:tcPr>
            <w:tcW w:w="644"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c>
          <w:tcPr>
            <w:tcW w:w="61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r>
      <w:tr w:rsidR="00792148" w:rsidRPr="000E5487" w:rsidTr="005D3924">
        <w:trPr>
          <w:trHeight w:val="255"/>
        </w:trPr>
        <w:tc>
          <w:tcPr>
            <w:tcW w:w="1406" w:type="pct"/>
            <w:vMerge w:val="restart"/>
            <w:tcBorders>
              <w:top w:val="nil"/>
              <w:left w:val="nil"/>
              <w:bottom w:val="nil"/>
              <w:right w:val="nil"/>
            </w:tcBorders>
            <w:shd w:val="clear" w:color="auto" w:fill="auto"/>
            <w:vAlign w:val="center"/>
            <w:hideMark/>
          </w:tcPr>
          <w:p w:rsidR="00792148" w:rsidRPr="000E5487" w:rsidRDefault="00753205" w:rsidP="00485D63">
            <w:pPr>
              <w:spacing w:after="0" w:line="240" w:lineRule="auto"/>
              <w:ind w:firstLine="2"/>
              <w:rPr>
                <w:rFonts w:ascii="Times New Roman" w:hAnsi="Times New Roman"/>
                <w:b/>
                <w:bCs/>
                <w:color w:val="000000"/>
                <w:sz w:val="20"/>
                <w:szCs w:val="20"/>
              </w:rPr>
            </w:pPr>
            <w:r w:rsidRPr="000E5487">
              <w:rPr>
                <w:rFonts w:ascii="Times New Roman" w:hAnsi="Times New Roman"/>
                <w:b/>
                <w:bCs/>
                <w:color w:val="000000"/>
                <w:sz w:val="20"/>
                <w:szCs w:val="20"/>
              </w:rPr>
              <w:t xml:space="preserve">Origem das </w:t>
            </w:r>
            <w:r w:rsidR="006D5335" w:rsidRPr="000E5487">
              <w:rPr>
                <w:rFonts w:ascii="Times New Roman" w:hAnsi="Times New Roman"/>
                <w:b/>
                <w:bCs/>
                <w:color w:val="000000"/>
                <w:sz w:val="20"/>
                <w:szCs w:val="20"/>
              </w:rPr>
              <w:t>i</w:t>
            </w:r>
            <w:r w:rsidR="00792148" w:rsidRPr="000E5487">
              <w:rPr>
                <w:rFonts w:ascii="Times New Roman" w:hAnsi="Times New Roman"/>
                <w:b/>
                <w:bCs/>
                <w:color w:val="000000"/>
                <w:sz w:val="20"/>
                <w:szCs w:val="20"/>
              </w:rPr>
              <w:t xml:space="preserve">nformações </w:t>
            </w:r>
            <w:r w:rsidR="006D5335" w:rsidRPr="000E5487">
              <w:rPr>
                <w:rFonts w:ascii="Times New Roman" w:hAnsi="Times New Roman"/>
                <w:b/>
                <w:bCs/>
                <w:color w:val="000000"/>
                <w:sz w:val="20"/>
                <w:szCs w:val="20"/>
              </w:rPr>
              <w:t>e</w:t>
            </w:r>
            <w:r w:rsidR="00792148" w:rsidRPr="000E5487">
              <w:rPr>
                <w:rFonts w:ascii="Times New Roman" w:hAnsi="Times New Roman"/>
                <w:b/>
                <w:bCs/>
                <w:color w:val="000000"/>
                <w:sz w:val="20"/>
                <w:szCs w:val="20"/>
              </w:rPr>
              <w:t xml:space="preserve">xternas </w:t>
            </w:r>
            <w:r w:rsidRPr="000E5487">
              <w:rPr>
                <w:rFonts w:ascii="Times New Roman" w:hAnsi="Times New Roman"/>
                <w:b/>
                <w:bCs/>
                <w:color w:val="000000"/>
                <w:sz w:val="20"/>
                <w:szCs w:val="20"/>
              </w:rPr>
              <w:t xml:space="preserve">na </w:t>
            </w:r>
            <w:r w:rsidR="006D5335" w:rsidRPr="000E5487">
              <w:rPr>
                <w:rFonts w:ascii="Times New Roman" w:hAnsi="Times New Roman"/>
                <w:b/>
                <w:bCs/>
                <w:color w:val="000000"/>
                <w:sz w:val="20"/>
                <w:szCs w:val="20"/>
              </w:rPr>
              <w:t>p</w:t>
            </w:r>
            <w:r w:rsidRPr="000E5487">
              <w:rPr>
                <w:rFonts w:ascii="Times New Roman" w:hAnsi="Times New Roman"/>
                <w:b/>
                <w:bCs/>
                <w:color w:val="000000"/>
                <w:sz w:val="20"/>
                <w:szCs w:val="20"/>
              </w:rPr>
              <w:t xml:space="preserve">adronização dos </w:t>
            </w:r>
            <w:r w:rsidR="006D5335" w:rsidRPr="000E5487">
              <w:rPr>
                <w:rFonts w:ascii="Times New Roman" w:hAnsi="Times New Roman"/>
                <w:b/>
                <w:bCs/>
                <w:color w:val="000000"/>
                <w:sz w:val="20"/>
                <w:szCs w:val="20"/>
              </w:rPr>
              <w:t>c</w:t>
            </w:r>
            <w:r w:rsidRPr="000E5487">
              <w:rPr>
                <w:rFonts w:ascii="Times New Roman" w:hAnsi="Times New Roman"/>
                <w:b/>
                <w:bCs/>
                <w:color w:val="000000"/>
                <w:sz w:val="20"/>
                <w:szCs w:val="20"/>
              </w:rPr>
              <w:t xml:space="preserve">ustos de </w:t>
            </w:r>
            <w:r w:rsidR="006D5335" w:rsidRPr="000E5487">
              <w:rPr>
                <w:rFonts w:ascii="Times New Roman" w:hAnsi="Times New Roman"/>
                <w:b/>
                <w:bCs/>
                <w:color w:val="000000"/>
                <w:sz w:val="20"/>
                <w:szCs w:val="20"/>
              </w:rPr>
              <w:t>p</w:t>
            </w:r>
            <w:r w:rsidRPr="000E5487">
              <w:rPr>
                <w:rFonts w:ascii="Times New Roman" w:hAnsi="Times New Roman"/>
                <w:b/>
                <w:bCs/>
                <w:color w:val="000000"/>
                <w:sz w:val="20"/>
                <w:szCs w:val="20"/>
              </w:rPr>
              <w:t>rodução</w:t>
            </w:r>
          </w:p>
        </w:tc>
        <w:tc>
          <w:tcPr>
            <w:tcW w:w="234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CONAB</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25,00%</w:t>
            </w:r>
          </w:p>
        </w:tc>
      </w:tr>
      <w:tr w:rsidR="00792148" w:rsidRPr="000E5487" w:rsidTr="005D3924">
        <w:trPr>
          <w:trHeight w:val="255"/>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CONSECANA</w:t>
            </w:r>
          </w:p>
        </w:tc>
        <w:tc>
          <w:tcPr>
            <w:tcW w:w="644"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w:t>
            </w:r>
          </w:p>
        </w:tc>
        <w:tc>
          <w:tcPr>
            <w:tcW w:w="61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25,00%</w:t>
            </w:r>
          </w:p>
        </w:tc>
      </w:tr>
      <w:tr w:rsidR="00792148" w:rsidRPr="000E5487" w:rsidTr="005D3924">
        <w:trPr>
          <w:trHeight w:val="151"/>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000000" w:fill="F2F2F2"/>
            <w:vAlign w:val="center"/>
            <w:hideMark/>
          </w:tcPr>
          <w:p w:rsidR="00792148" w:rsidRPr="000E5487" w:rsidRDefault="00792148" w:rsidP="00485D63">
            <w:pPr>
              <w:spacing w:after="0" w:line="240" w:lineRule="auto"/>
              <w:jc w:val="both"/>
              <w:rPr>
                <w:rFonts w:ascii="Times New Roman" w:hAnsi="Times New Roman"/>
                <w:color w:val="000000"/>
                <w:sz w:val="20"/>
                <w:szCs w:val="20"/>
              </w:rPr>
            </w:pPr>
            <w:r w:rsidRPr="000E5487">
              <w:rPr>
                <w:rFonts w:ascii="Times New Roman" w:hAnsi="Times New Roman"/>
                <w:color w:val="000000"/>
                <w:sz w:val="20"/>
                <w:szCs w:val="20"/>
              </w:rPr>
              <w:t>EMBRAPA</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25,00%</w:t>
            </w:r>
          </w:p>
        </w:tc>
      </w:tr>
      <w:tr w:rsidR="00792148" w:rsidRPr="000E5487" w:rsidTr="005D3924">
        <w:trPr>
          <w:trHeight w:val="182"/>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auto" w:fill="auto"/>
            <w:vAlign w:val="center"/>
            <w:hideMark/>
          </w:tcPr>
          <w:p w:rsidR="00792148" w:rsidRPr="000E5487" w:rsidRDefault="00792148" w:rsidP="00485D63">
            <w:pPr>
              <w:spacing w:after="0" w:line="240" w:lineRule="auto"/>
              <w:jc w:val="both"/>
              <w:rPr>
                <w:rFonts w:ascii="Times New Roman" w:hAnsi="Times New Roman"/>
                <w:color w:val="000000"/>
                <w:sz w:val="20"/>
                <w:szCs w:val="20"/>
              </w:rPr>
            </w:pPr>
            <w:r w:rsidRPr="000E5487">
              <w:rPr>
                <w:rFonts w:ascii="Times New Roman" w:hAnsi="Times New Roman"/>
                <w:color w:val="000000"/>
                <w:sz w:val="20"/>
                <w:szCs w:val="20"/>
              </w:rPr>
              <w:t>Sindicato Local</w:t>
            </w:r>
          </w:p>
        </w:tc>
        <w:tc>
          <w:tcPr>
            <w:tcW w:w="644"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w:t>
            </w:r>
          </w:p>
        </w:tc>
        <w:tc>
          <w:tcPr>
            <w:tcW w:w="61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25,00%</w:t>
            </w:r>
          </w:p>
        </w:tc>
      </w:tr>
      <w:tr w:rsidR="00792148" w:rsidRPr="000E5487" w:rsidTr="005D3924">
        <w:trPr>
          <w:trHeight w:val="255"/>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000000" w:fill="F2F2F2"/>
            <w:vAlign w:val="center"/>
            <w:hideMark/>
          </w:tcPr>
          <w:p w:rsidR="00792148" w:rsidRPr="000E5487" w:rsidRDefault="00792148" w:rsidP="00485D63">
            <w:pPr>
              <w:spacing w:after="0" w:line="240" w:lineRule="auto"/>
              <w:jc w:val="right"/>
              <w:rPr>
                <w:rFonts w:ascii="Times New Roman" w:hAnsi="Times New Roman"/>
                <w:b/>
                <w:bCs/>
                <w:color w:val="000000"/>
                <w:sz w:val="20"/>
                <w:szCs w:val="20"/>
              </w:rPr>
            </w:pPr>
            <w:r w:rsidRPr="000E5487">
              <w:rPr>
                <w:rFonts w:ascii="Times New Roman" w:hAnsi="Times New Roman"/>
                <w:b/>
                <w:bCs/>
                <w:color w:val="000000"/>
                <w:sz w:val="20"/>
                <w:szCs w:val="20"/>
              </w:rPr>
              <w:t>Total</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4</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DB5ED6">
        <w:trPr>
          <w:trHeight w:val="287"/>
        </w:trPr>
        <w:tc>
          <w:tcPr>
            <w:tcW w:w="1406" w:type="pct"/>
            <w:tcBorders>
              <w:top w:val="nil"/>
              <w:left w:val="nil"/>
              <w:right w:val="nil"/>
            </w:tcBorders>
            <w:shd w:val="clear" w:color="auto" w:fill="auto"/>
            <w:noWrap/>
            <w:vAlign w:val="center"/>
            <w:hideMark/>
          </w:tcPr>
          <w:p w:rsidR="00792148" w:rsidRPr="000E5487" w:rsidRDefault="00792148" w:rsidP="00485D63">
            <w:pPr>
              <w:spacing w:after="0" w:line="240" w:lineRule="auto"/>
              <w:ind w:firstLine="2"/>
              <w:rPr>
                <w:rFonts w:ascii="Times New Roman" w:hAnsi="Times New Roman"/>
                <w:color w:val="FF0000"/>
                <w:sz w:val="20"/>
                <w:szCs w:val="20"/>
              </w:rPr>
            </w:pPr>
          </w:p>
        </w:tc>
        <w:tc>
          <w:tcPr>
            <w:tcW w:w="2340" w:type="pct"/>
            <w:tcBorders>
              <w:top w:val="nil"/>
              <w:left w:val="nil"/>
              <w:right w:val="nil"/>
            </w:tcBorders>
            <w:shd w:val="clear" w:color="auto" w:fill="auto"/>
            <w:noWrap/>
            <w:vAlign w:val="center"/>
            <w:hideMark/>
          </w:tcPr>
          <w:p w:rsidR="00792148" w:rsidRPr="000E5487" w:rsidRDefault="00792148" w:rsidP="00485D63">
            <w:pPr>
              <w:spacing w:after="0" w:line="240" w:lineRule="auto"/>
              <w:rPr>
                <w:rFonts w:ascii="Times New Roman" w:hAnsi="Times New Roman"/>
                <w:color w:val="FF0000"/>
                <w:sz w:val="20"/>
                <w:szCs w:val="20"/>
              </w:rPr>
            </w:pPr>
          </w:p>
        </w:tc>
        <w:tc>
          <w:tcPr>
            <w:tcW w:w="644" w:type="pct"/>
            <w:tcBorders>
              <w:top w:val="nil"/>
              <w:left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c>
          <w:tcPr>
            <w:tcW w:w="610" w:type="pct"/>
            <w:tcBorders>
              <w:top w:val="nil"/>
              <w:left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r>
      <w:tr w:rsidR="00792148" w:rsidRPr="000E5487" w:rsidTr="005D3924">
        <w:trPr>
          <w:trHeight w:val="133"/>
        </w:trPr>
        <w:tc>
          <w:tcPr>
            <w:tcW w:w="1406" w:type="pct"/>
            <w:vMerge w:val="restart"/>
            <w:tcBorders>
              <w:top w:val="nil"/>
              <w:left w:val="nil"/>
              <w:bottom w:val="nil"/>
              <w:right w:val="nil"/>
            </w:tcBorders>
            <w:shd w:val="clear" w:color="000000" w:fill="F2F2F2"/>
            <w:vAlign w:val="center"/>
            <w:hideMark/>
          </w:tcPr>
          <w:p w:rsidR="00792148" w:rsidRPr="000E5487" w:rsidRDefault="00753205" w:rsidP="00485D63">
            <w:pPr>
              <w:spacing w:after="0" w:line="240" w:lineRule="auto"/>
              <w:ind w:firstLine="2"/>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Método de </w:t>
            </w:r>
            <w:r w:rsidR="006D5335" w:rsidRPr="000E5487">
              <w:rPr>
                <w:rFonts w:ascii="Times New Roman" w:hAnsi="Times New Roman"/>
                <w:b/>
                <w:bCs/>
                <w:color w:val="000000"/>
                <w:sz w:val="20"/>
                <w:szCs w:val="20"/>
              </w:rPr>
              <w:t>d</w:t>
            </w:r>
            <w:r w:rsidR="00792148" w:rsidRPr="000E5487">
              <w:rPr>
                <w:rFonts w:ascii="Times New Roman" w:hAnsi="Times New Roman"/>
                <w:b/>
                <w:bCs/>
                <w:color w:val="000000"/>
                <w:sz w:val="20"/>
                <w:szCs w:val="20"/>
              </w:rPr>
              <w:t xml:space="preserve">epreciação </w:t>
            </w:r>
          </w:p>
        </w:tc>
        <w:tc>
          <w:tcPr>
            <w:tcW w:w="234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Regulamento do Imposto de Renda</w:t>
            </w:r>
          </w:p>
        </w:tc>
        <w:tc>
          <w:tcPr>
            <w:tcW w:w="644"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12</w:t>
            </w:r>
          </w:p>
        </w:tc>
        <w:tc>
          <w:tcPr>
            <w:tcW w:w="610" w:type="pct"/>
            <w:tcBorders>
              <w:top w:val="nil"/>
              <w:left w:val="nil"/>
              <w:bottom w:val="nil"/>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52,17%</w:t>
            </w:r>
          </w:p>
        </w:tc>
      </w:tr>
      <w:tr w:rsidR="00792148" w:rsidRPr="000E5487" w:rsidTr="005D3924">
        <w:trPr>
          <w:trHeight w:val="308"/>
        </w:trPr>
        <w:tc>
          <w:tcPr>
            <w:tcW w:w="1406" w:type="pct"/>
            <w:vMerge/>
            <w:tcBorders>
              <w:top w:val="nil"/>
              <w:left w:val="nil"/>
              <w:bottom w:val="nil"/>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nil"/>
              <w:right w:val="nil"/>
            </w:tcBorders>
            <w:shd w:val="clear" w:color="auto" w:fill="auto"/>
            <w:vAlign w:val="center"/>
            <w:hideMark/>
          </w:tcPr>
          <w:p w:rsidR="00792148" w:rsidRPr="000E5487" w:rsidRDefault="00792148" w:rsidP="00485D63">
            <w:pPr>
              <w:spacing w:after="0" w:line="240" w:lineRule="auto"/>
              <w:rPr>
                <w:rFonts w:ascii="Times New Roman" w:hAnsi="Times New Roman"/>
                <w:color w:val="000000"/>
                <w:sz w:val="20"/>
                <w:szCs w:val="20"/>
              </w:rPr>
            </w:pPr>
            <w:r w:rsidRPr="000E5487">
              <w:rPr>
                <w:rFonts w:ascii="Times New Roman" w:hAnsi="Times New Roman"/>
                <w:color w:val="000000"/>
                <w:sz w:val="20"/>
                <w:szCs w:val="20"/>
              </w:rPr>
              <w:t>Método Linear com informações internas</w:t>
            </w:r>
          </w:p>
        </w:tc>
        <w:tc>
          <w:tcPr>
            <w:tcW w:w="644"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11</w:t>
            </w:r>
          </w:p>
        </w:tc>
        <w:tc>
          <w:tcPr>
            <w:tcW w:w="610" w:type="pct"/>
            <w:tcBorders>
              <w:top w:val="nil"/>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47,83%</w:t>
            </w:r>
          </w:p>
        </w:tc>
      </w:tr>
      <w:tr w:rsidR="00792148" w:rsidRPr="000E5487" w:rsidTr="00DB5ED6">
        <w:trPr>
          <w:trHeight w:val="88"/>
        </w:trPr>
        <w:tc>
          <w:tcPr>
            <w:tcW w:w="1406" w:type="pct"/>
            <w:vMerge/>
            <w:tcBorders>
              <w:top w:val="nil"/>
              <w:left w:val="nil"/>
              <w:bottom w:val="single" w:sz="4" w:space="0" w:color="auto"/>
              <w:right w:val="nil"/>
            </w:tcBorders>
            <w:vAlign w:val="center"/>
            <w:hideMark/>
          </w:tcPr>
          <w:p w:rsidR="00792148" w:rsidRPr="000E5487" w:rsidRDefault="00792148" w:rsidP="00485D63">
            <w:pPr>
              <w:spacing w:after="0" w:line="240" w:lineRule="auto"/>
              <w:ind w:firstLine="2"/>
              <w:rPr>
                <w:rFonts w:ascii="Times New Roman" w:hAnsi="Times New Roman"/>
                <w:b/>
                <w:bCs/>
                <w:color w:val="000000"/>
                <w:sz w:val="20"/>
                <w:szCs w:val="20"/>
              </w:rPr>
            </w:pPr>
          </w:p>
        </w:tc>
        <w:tc>
          <w:tcPr>
            <w:tcW w:w="2340" w:type="pct"/>
            <w:tcBorders>
              <w:top w:val="nil"/>
              <w:left w:val="nil"/>
              <w:bottom w:val="single" w:sz="4" w:space="0" w:color="auto"/>
              <w:right w:val="nil"/>
            </w:tcBorders>
            <w:shd w:val="clear" w:color="000000" w:fill="F2F2F2"/>
            <w:vAlign w:val="center"/>
            <w:hideMark/>
          </w:tcPr>
          <w:p w:rsidR="00792148" w:rsidRPr="000E5487" w:rsidRDefault="00792148" w:rsidP="00485D63">
            <w:pPr>
              <w:spacing w:after="0" w:line="240" w:lineRule="auto"/>
              <w:jc w:val="right"/>
              <w:rPr>
                <w:rFonts w:ascii="Times New Roman" w:hAnsi="Times New Roman"/>
                <w:b/>
                <w:bCs/>
                <w:color w:val="000000"/>
                <w:sz w:val="20"/>
                <w:szCs w:val="20"/>
              </w:rPr>
            </w:pPr>
            <w:r w:rsidRPr="000E5487">
              <w:rPr>
                <w:rFonts w:ascii="Times New Roman" w:hAnsi="Times New Roman"/>
                <w:b/>
                <w:bCs/>
                <w:color w:val="000000"/>
                <w:sz w:val="20"/>
                <w:szCs w:val="20"/>
              </w:rPr>
              <w:t>Total</w:t>
            </w:r>
          </w:p>
        </w:tc>
        <w:tc>
          <w:tcPr>
            <w:tcW w:w="644" w:type="pct"/>
            <w:tcBorders>
              <w:top w:val="nil"/>
              <w:left w:val="nil"/>
              <w:bottom w:val="single" w:sz="4" w:space="0" w:color="auto"/>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23</w:t>
            </w:r>
          </w:p>
        </w:tc>
        <w:tc>
          <w:tcPr>
            <w:tcW w:w="610" w:type="pct"/>
            <w:tcBorders>
              <w:top w:val="nil"/>
              <w:left w:val="nil"/>
              <w:bottom w:val="single" w:sz="4" w:space="0" w:color="auto"/>
              <w:right w:val="nil"/>
            </w:tcBorders>
            <w:shd w:val="clear" w:color="000000" w:fill="F2F2F2"/>
            <w:noWrap/>
            <w:vAlign w:val="center"/>
            <w:hideMark/>
          </w:tcPr>
          <w:p w:rsidR="00792148" w:rsidRPr="000E5487" w:rsidRDefault="00792148"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100,00%</w:t>
            </w:r>
          </w:p>
        </w:tc>
      </w:tr>
      <w:tr w:rsidR="00792148" w:rsidRPr="000E5487" w:rsidTr="00DB5ED6">
        <w:trPr>
          <w:trHeight w:val="218"/>
        </w:trPr>
        <w:tc>
          <w:tcPr>
            <w:tcW w:w="1406" w:type="pct"/>
            <w:tcBorders>
              <w:top w:val="single" w:sz="4" w:space="0" w:color="auto"/>
              <w:left w:val="nil"/>
              <w:bottom w:val="nil"/>
              <w:right w:val="nil"/>
            </w:tcBorders>
            <w:shd w:val="clear" w:color="auto" w:fill="auto"/>
            <w:noWrap/>
            <w:vAlign w:val="center"/>
            <w:hideMark/>
          </w:tcPr>
          <w:p w:rsidR="00792148" w:rsidRPr="000E5487" w:rsidRDefault="00792148" w:rsidP="00485D63">
            <w:pPr>
              <w:spacing w:after="0" w:line="240" w:lineRule="auto"/>
              <w:ind w:firstLine="2"/>
              <w:rPr>
                <w:rFonts w:ascii="Times New Roman" w:hAnsi="Times New Roman"/>
                <w:color w:val="FF0000"/>
                <w:sz w:val="20"/>
                <w:szCs w:val="20"/>
              </w:rPr>
            </w:pPr>
          </w:p>
        </w:tc>
        <w:tc>
          <w:tcPr>
            <w:tcW w:w="2340" w:type="pct"/>
            <w:tcBorders>
              <w:top w:val="single" w:sz="4" w:space="0" w:color="auto"/>
              <w:left w:val="nil"/>
              <w:bottom w:val="nil"/>
              <w:right w:val="nil"/>
            </w:tcBorders>
            <w:shd w:val="clear" w:color="auto" w:fill="auto"/>
            <w:noWrap/>
            <w:vAlign w:val="center"/>
            <w:hideMark/>
          </w:tcPr>
          <w:p w:rsidR="00792148" w:rsidRPr="000E5487" w:rsidRDefault="00792148" w:rsidP="00485D63">
            <w:pPr>
              <w:spacing w:after="0" w:line="240" w:lineRule="auto"/>
              <w:rPr>
                <w:rFonts w:ascii="Times New Roman" w:hAnsi="Times New Roman"/>
                <w:color w:val="FF0000"/>
                <w:sz w:val="20"/>
                <w:szCs w:val="20"/>
              </w:rPr>
            </w:pPr>
          </w:p>
        </w:tc>
        <w:tc>
          <w:tcPr>
            <w:tcW w:w="644" w:type="pct"/>
            <w:tcBorders>
              <w:top w:val="single" w:sz="4" w:space="0" w:color="auto"/>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c>
          <w:tcPr>
            <w:tcW w:w="610" w:type="pct"/>
            <w:tcBorders>
              <w:top w:val="single" w:sz="4" w:space="0" w:color="auto"/>
              <w:left w:val="nil"/>
              <w:bottom w:val="nil"/>
              <w:right w:val="nil"/>
            </w:tcBorders>
            <w:shd w:val="clear" w:color="auto" w:fill="auto"/>
            <w:noWrap/>
            <w:vAlign w:val="center"/>
            <w:hideMark/>
          </w:tcPr>
          <w:p w:rsidR="00792148" w:rsidRPr="000E5487" w:rsidRDefault="00792148" w:rsidP="00485D63">
            <w:pPr>
              <w:spacing w:after="0" w:line="240" w:lineRule="auto"/>
              <w:jc w:val="center"/>
              <w:rPr>
                <w:rFonts w:ascii="Times New Roman" w:hAnsi="Times New Roman"/>
                <w:color w:val="FF0000"/>
                <w:sz w:val="20"/>
                <w:szCs w:val="20"/>
              </w:rPr>
            </w:pPr>
          </w:p>
        </w:tc>
      </w:tr>
    </w:tbl>
    <w:p w:rsidR="004E4C6A" w:rsidRPr="000E5487" w:rsidRDefault="001B17D3" w:rsidP="004E4C6A">
      <w:pPr>
        <w:spacing w:after="0" w:line="240" w:lineRule="auto"/>
        <w:ind w:firstLine="709"/>
        <w:jc w:val="both"/>
        <w:rPr>
          <w:rFonts w:ascii="Times New Roman" w:hAnsi="Times New Roman"/>
          <w:szCs w:val="24"/>
        </w:rPr>
      </w:pPr>
      <w:r w:rsidRPr="000E5487">
        <w:rPr>
          <w:rFonts w:ascii="Times New Roman" w:hAnsi="Times New Roman"/>
          <w:szCs w:val="24"/>
        </w:rPr>
        <w:t>A maioria dos respondentes afirma que n</w:t>
      </w:r>
      <w:r w:rsidR="00B45399" w:rsidRPr="000E5487">
        <w:rPr>
          <w:rFonts w:ascii="Times New Roman" w:hAnsi="Times New Roman"/>
          <w:szCs w:val="24"/>
        </w:rPr>
        <w:t>ão</w:t>
      </w:r>
      <w:r w:rsidRPr="000E5487">
        <w:rPr>
          <w:rFonts w:ascii="Times New Roman" w:hAnsi="Times New Roman"/>
          <w:szCs w:val="24"/>
        </w:rPr>
        <w:t xml:space="preserve"> há uma</w:t>
      </w:r>
      <w:r w:rsidR="00B45399" w:rsidRPr="000E5487">
        <w:rPr>
          <w:rFonts w:ascii="Times New Roman" w:hAnsi="Times New Roman"/>
          <w:szCs w:val="24"/>
        </w:rPr>
        <w:t xml:space="preserve"> </w:t>
      </w:r>
      <w:r w:rsidRPr="000E5487">
        <w:rPr>
          <w:rFonts w:ascii="Times New Roman" w:hAnsi="Times New Roman"/>
          <w:szCs w:val="24"/>
        </w:rPr>
        <w:t>p</w:t>
      </w:r>
      <w:r w:rsidR="00B45399" w:rsidRPr="000E5487">
        <w:rPr>
          <w:rFonts w:ascii="Times New Roman" w:hAnsi="Times New Roman"/>
          <w:szCs w:val="24"/>
        </w:rPr>
        <w:t xml:space="preserve">adronização dos custos de produção utilizados no cálculo do FCD, ou seja, a maioria utiliza os custos internos </w:t>
      </w:r>
      <w:r w:rsidR="00946F66" w:rsidRPr="000E5487">
        <w:rPr>
          <w:rFonts w:ascii="Times New Roman" w:hAnsi="Times New Roman"/>
          <w:szCs w:val="24"/>
        </w:rPr>
        <w:t xml:space="preserve">de produção </w:t>
      </w:r>
      <w:r w:rsidR="00B45399" w:rsidRPr="000E5487">
        <w:rPr>
          <w:rFonts w:ascii="Times New Roman" w:hAnsi="Times New Roman"/>
          <w:szCs w:val="24"/>
        </w:rPr>
        <w:t xml:space="preserve">na mensuração dos ativos biológicos. </w:t>
      </w:r>
      <w:r w:rsidR="004E4C6A">
        <w:rPr>
          <w:rFonts w:ascii="Times New Roman" w:hAnsi="Times New Roman"/>
          <w:szCs w:val="24"/>
        </w:rPr>
        <w:t>Quanto</w:t>
      </w:r>
      <w:r w:rsidR="004E4C6A" w:rsidRPr="000E5487">
        <w:rPr>
          <w:rFonts w:ascii="Times New Roman" w:hAnsi="Times New Roman"/>
          <w:szCs w:val="24"/>
        </w:rPr>
        <w:t xml:space="preserve"> a depreciação, há uma forte influência do fisco, pois boa parte dos profissionais utiliza o Regulamento do Imposto de Renda (RIR) para a definição de suas taxas, porém, 47,83% dos respondentes utilizam o método linear demonstrando uma preocupação em evidenciar o valor do ativo em sua essência, conforme orientado pela norma. Nota-se uma tendência de padronização da técnica, contudo, a base utilizada são as informações internas da empresa, </w:t>
      </w:r>
      <w:r w:rsidR="00E45714">
        <w:rPr>
          <w:rFonts w:ascii="Times New Roman" w:hAnsi="Times New Roman"/>
          <w:szCs w:val="24"/>
        </w:rPr>
        <w:t>refletindo n</w:t>
      </w:r>
      <w:r w:rsidR="004E4C6A" w:rsidRPr="000E5487">
        <w:rPr>
          <w:rFonts w:ascii="Times New Roman" w:hAnsi="Times New Roman"/>
          <w:szCs w:val="24"/>
        </w:rPr>
        <w:t>a comparabilidade da informação gerada.</w:t>
      </w:r>
    </w:p>
    <w:p w:rsidR="00485D63" w:rsidRPr="000E5487" w:rsidRDefault="00485D63" w:rsidP="00B747D7">
      <w:pPr>
        <w:spacing w:after="0" w:line="240" w:lineRule="auto"/>
        <w:ind w:firstLine="709"/>
        <w:jc w:val="both"/>
        <w:rPr>
          <w:rFonts w:ascii="Times New Roman" w:hAnsi="Times New Roman"/>
          <w:szCs w:val="24"/>
        </w:rPr>
      </w:pPr>
    </w:p>
    <w:p w:rsidR="00522F24" w:rsidRPr="000E5487" w:rsidRDefault="005D3924" w:rsidP="00485D63">
      <w:pPr>
        <w:spacing w:after="120" w:line="240" w:lineRule="auto"/>
        <w:jc w:val="both"/>
        <w:rPr>
          <w:rFonts w:ascii="Times New Roman" w:hAnsi="Times New Roman"/>
          <w:b/>
          <w:szCs w:val="24"/>
        </w:rPr>
      </w:pPr>
      <w:r w:rsidRPr="000E5487">
        <w:rPr>
          <w:rFonts w:ascii="Times New Roman" w:hAnsi="Times New Roman"/>
          <w:b/>
          <w:szCs w:val="24"/>
        </w:rPr>
        <w:t xml:space="preserve">3.3 Análise da </w:t>
      </w:r>
      <w:r w:rsidR="000B157E">
        <w:rPr>
          <w:rFonts w:ascii="Times New Roman" w:hAnsi="Times New Roman"/>
          <w:b/>
          <w:szCs w:val="24"/>
        </w:rPr>
        <w:t>Associação</w:t>
      </w:r>
      <w:r w:rsidRPr="000E5487">
        <w:rPr>
          <w:rFonts w:ascii="Times New Roman" w:hAnsi="Times New Roman"/>
          <w:b/>
          <w:szCs w:val="24"/>
        </w:rPr>
        <w:t xml:space="preserve"> entre as Escolhas Contábeis e o Perfil Profissional</w:t>
      </w:r>
    </w:p>
    <w:p w:rsidR="008F338F" w:rsidRDefault="008F338F" w:rsidP="00B747D7">
      <w:pPr>
        <w:spacing w:after="0" w:line="240" w:lineRule="auto"/>
        <w:ind w:firstLine="709"/>
        <w:jc w:val="both"/>
        <w:rPr>
          <w:rFonts w:ascii="Times New Roman" w:hAnsi="Times New Roman"/>
          <w:szCs w:val="24"/>
        </w:rPr>
      </w:pPr>
      <w:r w:rsidRPr="000E5487">
        <w:rPr>
          <w:rFonts w:ascii="Times New Roman" w:hAnsi="Times New Roman"/>
          <w:szCs w:val="24"/>
        </w:rPr>
        <w:t xml:space="preserve">Para verificar se as escolhas contábeis estão </w:t>
      </w:r>
      <w:r w:rsidR="000B157E">
        <w:rPr>
          <w:rFonts w:ascii="Times New Roman" w:hAnsi="Times New Roman"/>
          <w:szCs w:val="24"/>
        </w:rPr>
        <w:t>associadas</w:t>
      </w:r>
      <w:r w:rsidRPr="000E5487">
        <w:rPr>
          <w:rFonts w:ascii="Times New Roman" w:hAnsi="Times New Roman"/>
          <w:szCs w:val="24"/>
        </w:rPr>
        <w:t xml:space="preserve"> com o perfil do</w:t>
      </w:r>
      <w:r w:rsidR="00221AAC" w:rsidRPr="000E5487">
        <w:rPr>
          <w:rFonts w:ascii="Times New Roman" w:hAnsi="Times New Roman"/>
          <w:szCs w:val="24"/>
        </w:rPr>
        <w:t>s respondentes</w:t>
      </w:r>
      <w:r w:rsidRPr="000E5487">
        <w:rPr>
          <w:rFonts w:ascii="Times New Roman" w:hAnsi="Times New Roman"/>
          <w:szCs w:val="24"/>
        </w:rPr>
        <w:t>, foi realizado o teste exato de Fisher considerando as variáveis d</w:t>
      </w:r>
      <w:r w:rsidR="00221AAC" w:rsidRPr="000E5487">
        <w:rPr>
          <w:rFonts w:ascii="Times New Roman" w:hAnsi="Times New Roman"/>
          <w:szCs w:val="24"/>
        </w:rPr>
        <w:t xml:space="preserve">o perfil </w:t>
      </w:r>
      <w:r w:rsidR="000B157E">
        <w:rPr>
          <w:rFonts w:ascii="Times New Roman" w:hAnsi="Times New Roman"/>
          <w:szCs w:val="24"/>
        </w:rPr>
        <w:t xml:space="preserve">profissional </w:t>
      </w:r>
      <w:r w:rsidRPr="000E5487">
        <w:rPr>
          <w:rFonts w:ascii="Times New Roman" w:hAnsi="Times New Roman"/>
          <w:szCs w:val="24"/>
        </w:rPr>
        <w:t>e as escolhas contábeis</w:t>
      </w:r>
      <w:r w:rsidR="00873DA1" w:rsidRPr="000E5487">
        <w:rPr>
          <w:rFonts w:ascii="Times New Roman" w:hAnsi="Times New Roman"/>
          <w:szCs w:val="24"/>
        </w:rPr>
        <w:t xml:space="preserve"> descritas nas seções anteriores</w:t>
      </w:r>
      <w:r w:rsidR="00705E3D" w:rsidRPr="000E5487">
        <w:rPr>
          <w:rFonts w:ascii="Times New Roman" w:hAnsi="Times New Roman"/>
          <w:szCs w:val="24"/>
        </w:rPr>
        <w:t xml:space="preserve">, demonstrados na </w:t>
      </w:r>
      <w:r w:rsidR="00A06ADF" w:rsidRPr="000E5487">
        <w:rPr>
          <w:rFonts w:ascii="Times New Roman" w:hAnsi="Times New Roman"/>
          <w:szCs w:val="24"/>
        </w:rPr>
        <w:t>Tabela 5</w:t>
      </w:r>
      <w:r w:rsidR="00873DA1" w:rsidRPr="000E5487">
        <w:rPr>
          <w:rFonts w:ascii="Times New Roman" w:hAnsi="Times New Roman"/>
          <w:szCs w:val="24"/>
        </w:rPr>
        <w:t>.</w:t>
      </w:r>
    </w:p>
    <w:p w:rsidR="00485D63" w:rsidRPr="000E5487" w:rsidRDefault="00485D63" w:rsidP="00B747D7">
      <w:pPr>
        <w:spacing w:after="0" w:line="240" w:lineRule="auto"/>
        <w:ind w:firstLine="709"/>
        <w:jc w:val="both"/>
        <w:rPr>
          <w:rFonts w:ascii="Times New Roman" w:hAnsi="Times New Roman"/>
          <w:szCs w:val="24"/>
        </w:rPr>
      </w:pPr>
    </w:p>
    <w:p w:rsidR="00D33781" w:rsidRPr="00485D63" w:rsidRDefault="00A06ADF" w:rsidP="00485D63">
      <w:pPr>
        <w:spacing w:after="0" w:line="240" w:lineRule="auto"/>
        <w:jc w:val="center"/>
        <w:rPr>
          <w:rFonts w:ascii="Times New Roman" w:hAnsi="Times New Roman"/>
          <w:bCs/>
          <w:sz w:val="20"/>
          <w:szCs w:val="24"/>
        </w:rPr>
      </w:pPr>
      <w:r w:rsidRPr="00485D63">
        <w:rPr>
          <w:rFonts w:ascii="Times New Roman" w:hAnsi="Times New Roman"/>
          <w:bCs/>
          <w:sz w:val="20"/>
          <w:szCs w:val="24"/>
        </w:rPr>
        <w:t>Tabela 5</w:t>
      </w:r>
      <w:r w:rsidR="00D33781" w:rsidRPr="00485D63">
        <w:rPr>
          <w:rFonts w:ascii="Times New Roman" w:hAnsi="Times New Roman"/>
          <w:bCs/>
          <w:sz w:val="20"/>
          <w:szCs w:val="24"/>
        </w:rPr>
        <w:t xml:space="preserve"> – Resultados do teste exato de </w:t>
      </w:r>
      <w:r w:rsidR="00D33781" w:rsidRPr="00485D63">
        <w:rPr>
          <w:rFonts w:ascii="Times New Roman" w:hAnsi="Times New Roman"/>
          <w:bCs/>
          <w:i/>
          <w:sz w:val="20"/>
          <w:szCs w:val="24"/>
        </w:rPr>
        <w:t xml:space="preserve">Fisher </w:t>
      </w:r>
      <w:r w:rsidR="00D33781" w:rsidRPr="00485D63">
        <w:rPr>
          <w:rFonts w:ascii="Times New Roman" w:hAnsi="Times New Roman"/>
          <w:bCs/>
          <w:sz w:val="20"/>
          <w:szCs w:val="24"/>
        </w:rPr>
        <w:t xml:space="preserve">(valor </w:t>
      </w:r>
      <w:r w:rsidR="00D33781" w:rsidRPr="00485D63">
        <w:rPr>
          <w:rFonts w:ascii="Times New Roman" w:hAnsi="Times New Roman"/>
          <w:bCs/>
          <w:i/>
          <w:sz w:val="20"/>
          <w:szCs w:val="24"/>
        </w:rPr>
        <w:t>p</w:t>
      </w:r>
      <w:r w:rsidR="00D33781" w:rsidRPr="00485D63">
        <w:rPr>
          <w:rFonts w:ascii="Times New Roman" w:hAnsi="Times New Roman"/>
          <w:bCs/>
          <w:sz w:val="20"/>
          <w:szCs w:val="24"/>
        </w:rPr>
        <w:t>) para investigação d</w:t>
      </w:r>
      <w:r w:rsidR="00876A33" w:rsidRPr="00485D63">
        <w:rPr>
          <w:rFonts w:ascii="Times New Roman" w:hAnsi="Times New Roman"/>
          <w:bCs/>
          <w:sz w:val="20"/>
          <w:szCs w:val="24"/>
        </w:rPr>
        <w:t>a associação entre as variáveis</w:t>
      </w:r>
    </w:p>
    <w:tbl>
      <w:tblPr>
        <w:tblW w:w="4946" w:type="pct"/>
        <w:jc w:val="center"/>
        <w:tblCellMar>
          <w:left w:w="70" w:type="dxa"/>
          <w:right w:w="70" w:type="dxa"/>
        </w:tblCellMar>
        <w:tblLook w:val="04A0" w:firstRow="1" w:lastRow="0" w:firstColumn="1" w:lastColumn="0" w:noHBand="0" w:noVBand="1"/>
      </w:tblPr>
      <w:tblGrid>
        <w:gridCol w:w="4130"/>
        <w:gridCol w:w="1615"/>
        <w:gridCol w:w="1615"/>
        <w:gridCol w:w="1613"/>
      </w:tblGrid>
      <w:tr w:rsidR="00391CB2" w:rsidRPr="000E5487" w:rsidTr="001D52C3">
        <w:trPr>
          <w:trHeight w:val="464"/>
          <w:jc w:val="center"/>
        </w:trPr>
        <w:tc>
          <w:tcPr>
            <w:tcW w:w="2301" w:type="pct"/>
            <w:tcBorders>
              <w:top w:val="single" w:sz="4" w:space="0" w:color="auto"/>
              <w:left w:val="nil"/>
              <w:bottom w:val="single" w:sz="4" w:space="0" w:color="auto"/>
            </w:tcBorders>
            <w:shd w:val="clear" w:color="auto" w:fill="auto"/>
            <w:vAlign w:val="center"/>
            <w:hideMark/>
          </w:tcPr>
          <w:p w:rsidR="00391CB2" w:rsidRPr="000E5487" w:rsidRDefault="00391CB2"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Componente</w:t>
            </w:r>
          </w:p>
        </w:tc>
        <w:tc>
          <w:tcPr>
            <w:tcW w:w="900" w:type="pct"/>
            <w:tcBorders>
              <w:top w:val="single" w:sz="4" w:space="0" w:color="auto"/>
              <w:bottom w:val="single" w:sz="4" w:space="0" w:color="auto"/>
              <w:right w:val="nil"/>
            </w:tcBorders>
            <w:shd w:val="clear" w:color="auto" w:fill="auto"/>
            <w:vAlign w:val="center"/>
            <w:hideMark/>
          </w:tcPr>
          <w:p w:rsidR="00391CB2" w:rsidRPr="000E5487" w:rsidRDefault="00391CB2" w:rsidP="00485D63">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Nível de </w:t>
            </w:r>
            <w:r w:rsidR="00124269" w:rsidRPr="000E5487">
              <w:rPr>
                <w:rFonts w:ascii="Times New Roman" w:hAnsi="Times New Roman"/>
                <w:b/>
                <w:bCs/>
                <w:color w:val="000000"/>
                <w:sz w:val="20"/>
                <w:szCs w:val="20"/>
              </w:rPr>
              <w:t>Qualificação</w:t>
            </w:r>
          </w:p>
        </w:tc>
        <w:tc>
          <w:tcPr>
            <w:tcW w:w="900" w:type="pct"/>
            <w:tcBorders>
              <w:top w:val="single" w:sz="4" w:space="0" w:color="auto"/>
              <w:left w:val="nil"/>
              <w:bottom w:val="single" w:sz="4" w:space="0" w:color="auto"/>
              <w:right w:val="nil"/>
            </w:tcBorders>
            <w:shd w:val="clear" w:color="auto" w:fill="auto"/>
            <w:vAlign w:val="center"/>
            <w:hideMark/>
          </w:tcPr>
          <w:p w:rsidR="00391CB2" w:rsidRPr="000E5487" w:rsidRDefault="00391CB2" w:rsidP="000B157E">
            <w:pPr>
              <w:spacing w:after="0" w:line="240" w:lineRule="auto"/>
              <w:ind w:hanging="3"/>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Tempo de </w:t>
            </w:r>
            <w:r w:rsidR="000B157E">
              <w:rPr>
                <w:rFonts w:ascii="Times New Roman" w:hAnsi="Times New Roman"/>
                <w:b/>
                <w:bCs/>
                <w:color w:val="000000"/>
                <w:sz w:val="20"/>
                <w:szCs w:val="20"/>
              </w:rPr>
              <w:t>Experiência</w:t>
            </w:r>
            <w:r w:rsidRPr="000E5487">
              <w:rPr>
                <w:rFonts w:ascii="Times New Roman" w:hAnsi="Times New Roman"/>
                <w:b/>
                <w:bCs/>
                <w:color w:val="000000"/>
                <w:sz w:val="20"/>
                <w:szCs w:val="20"/>
              </w:rPr>
              <w:t xml:space="preserve"> Profissional</w:t>
            </w:r>
          </w:p>
        </w:tc>
        <w:tc>
          <w:tcPr>
            <w:tcW w:w="899" w:type="pct"/>
            <w:tcBorders>
              <w:top w:val="single" w:sz="4" w:space="0" w:color="auto"/>
              <w:left w:val="nil"/>
              <w:bottom w:val="single" w:sz="4" w:space="0" w:color="auto"/>
              <w:right w:val="nil"/>
            </w:tcBorders>
            <w:shd w:val="clear" w:color="auto" w:fill="auto"/>
            <w:vAlign w:val="center"/>
            <w:hideMark/>
          </w:tcPr>
          <w:p w:rsidR="00391CB2" w:rsidRPr="000E5487" w:rsidRDefault="00391CB2" w:rsidP="000B157E">
            <w:pPr>
              <w:spacing w:after="0" w:line="240" w:lineRule="auto"/>
              <w:jc w:val="center"/>
              <w:rPr>
                <w:rFonts w:ascii="Times New Roman" w:hAnsi="Times New Roman"/>
                <w:b/>
                <w:bCs/>
                <w:color w:val="000000"/>
                <w:sz w:val="20"/>
                <w:szCs w:val="20"/>
              </w:rPr>
            </w:pPr>
            <w:r w:rsidRPr="000E5487">
              <w:rPr>
                <w:rFonts w:ascii="Times New Roman" w:hAnsi="Times New Roman"/>
                <w:b/>
                <w:bCs/>
                <w:color w:val="000000"/>
                <w:sz w:val="20"/>
                <w:szCs w:val="20"/>
              </w:rPr>
              <w:t xml:space="preserve">Tempo de </w:t>
            </w:r>
            <w:r w:rsidR="000B157E">
              <w:rPr>
                <w:rFonts w:ascii="Times New Roman" w:hAnsi="Times New Roman"/>
                <w:b/>
                <w:bCs/>
                <w:color w:val="000000"/>
                <w:sz w:val="20"/>
                <w:szCs w:val="20"/>
              </w:rPr>
              <w:t>Experiência</w:t>
            </w:r>
            <w:r w:rsidRPr="000E5487">
              <w:rPr>
                <w:rFonts w:ascii="Times New Roman" w:hAnsi="Times New Roman"/>
                <w:b/>
                <w:bCs/>
                <w:color w:val="000000"/>
                <w:sz w:val="20"/>
                <w:szCs w:val="20"/>
              </w:rPr>
              <w:t xml:space="preserve"> na Mensuração</w:t>
            </w:r>
          </w:p>
        </w:tc>
      </w:tr>
      <w:tr w:rsidR="00391CB2" w:rsidRPr="000E5487" w:rsidTr="001D52C3">
        <w:trPr>
          <w:trHeight w:val="260"/>
          <w:jc w:val="center"/>
        </w:trPr>
        <w:tc>
          <w:tcPr>
            <w:tcW w:w="2301" w:type="pct"/>
            <w:tcBorders>
              <w:top w:val="nil"/>
              <w:left w:val="nil"/>
              <w:bottom w:val="nil"/>
            </w:tcBorders>
            <w:shd w:val="clear" w:color="auto" w:fill="F2F2F2"/>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Método de mensuração</w:t>
            </w:r>
          </w:p>
        </w:tc>
        <w:tc>
          <w:tcPr>
            <w:tcW w:w="900" w:type="pct"/>
            <w:tcBorders>
              <w:top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0,6486</w:t>
            </w:r>
          </w:p>
        </w:tc>
        <w:tc>
          <w:tcPr>
            <w:tcW w:w="900"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0,6747</w:t>
            </w:r>
          </w:p>
        </w:tc>
        <w:tc>
          <w:tcPr>
            <w:tcW w:w="899"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0,0287*</w:t>
            </w:r>
          </w:p>
        </w:tc>
      </w:tr>
      <w:tr w:rsidR="00391CB2" w:rsidRPr="000E5487" w:rsidTr="001D52C3">
        <w:trPr>
          <w:trHeight w:val="260"/>
          <w:jc w:val="center"/>
        </w:trPr>
        <w:tc>
          <w:tcPr>
            <w:tcW w:w="2301" w:type="pct"/>
            <w:tcBorders>
              <w:top w:val="nil"/>
              <w:left w:val="nil"/>
              <w:bottom w:val="nil"/>
            </w:tcBorders>
            <w:shd w:val="clear" w:color="auto" w:fill="auto"/>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Abordagem do FCD</w:t>
            </w:r>
          </w:p>
        </w:tc>
        <w:tc>
          <w:tcPr>
            <w:tcW w:w="900" w:type="pct"/>
            <w:tcBorders>
              <w:top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0,4190</w:t>
            </w:r>
          </w:p>
        </w:tc>
        <w:tc>
          <w:tcPr>
            <w:tcW w:w="900"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0,7233</w:t>
            </w:r>
          </w:p>
        </w:tc>
        <w:tc>
          <w:tcPr>
            <w:tcW w:w="899"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0,6957</w:t>
            </w:r>
          </w:p>
        </w:tc>
      </w:tr>
      <w:tr w:rsidR="00391CB2" w:rsidRPr="000E5487" w:rsidTr="001D52C3">
        <w:trPr>
          <w:trHeight w:val="260"/>
          <w:jc w:val="center"/>
        </w:trPr>
        <w:tc>
          <w:tcPr>
            <w:tcW w:w="2301" w:type="pct"/>
            <w:tcBorders>
              <w:top w:val="nil"/>
              <w:left w:val="nil"/>
              <w:bottom w:val="nil"/>
            </w:tcBorders>
            <w:shd w:val="clear" w:color="auto" w:fill="F2F2F2"/>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Taxa de desconto do FCD</w:t>
            </w:r>
          </w:p>
        </w:tc>
        <w:tc>
          <w:tcPr>
            <w:tcW w:w="900" w:type="pct"/>
            <w:tcBorders>
              <w:top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0,8835</w:t>
            </w:r>
          </w:p>
        </w:tc>
        <w:tc>
          <w:tcPr>
            <w:tcW w:w="900"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0,3379</w:t>
            </w:r>
          </w:p>
        </w:tc>
        <w:tc>
          <w:tcPr>
            <w:tcW w:w="899"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0,0045*</w:t>
            </w:r>
          </w:p>
        </w:tc>
      </w:tr>
      <w:tr w:rsidR="00391CB2" w:rsidRPr="000E5487" w:rsidTr="001D52C3">
        <w:trPr>
          <w:trHeight w:val="258"/>
          <w:jc w:val="center"/>
        </w:trPr>
        <w:tc>
          <w:tcPr>
            <w:tcW w:w="2301" w:type="pct"/>
            <w:tcBorders>
              <w:top w:val="nil"/>
              <w:left w:val="nil"/>
              <w:bottom w:val="nil"/>
            </w:tcBorders>
            <w:shd w:val="clear" w:color="auto" w:fill="F2F2F2"/>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Custo do capital próprio</w:t>
            </w:r>
          </w:p>
        </w:tc>
        <w:tc>
          <w:tcPr>
            <w:tcW w:w="900" w:type="pct"/>
            <w:tcBorders>
              <w:top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1,0000</w:t>
            </w:r>
          </w:p>
        </w:tc>
        <w:tc>
          <w:tcPr>
            <w:tcW w:w="900"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0,3043</w:t>
            </w:r>
          </w:p>
        </w:tc>
        <w:tc>
          <w:tcPr>
            <w:tcW w:w="899"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0,2940</w:t>
            </w:r>
          </w:p>
        </w:tc>
      </w:tr>
      <w:tr w:rsidR="00391CB2" w:rsidRPr="000E5487" w:rsidTr="001D52C3">
        <w:trPr>
          <w:trHeight w:val="260"/>
          <w:jc w:val="center"/>
        </w:trPr>
        <w:tc>
          <w:tcPr>
            <w:tcW w:w="2301" w:type="pct"/>
            <w:tcBorders>
              <w:top w:val="nil"/>
              <w:left w:val="nil"/>
              <w:bottom w:val="nil"/>
            </w:tcBorders>
            <w:shd w:val="clear" w:color="auto" w:fill="auto"/>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Coeficiente beta</w:t>
            </w:r>
          </w:p>
        </w:tc>
        <w:tc>
          <w:tcPr>
            <w:tcW w:w="900" w:type="pct"/>
            <w:tcBorders>
              <w:top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0,8043</w:t>
            </w:r>
          </w:p>
        </w:tc>
        <w:tc>
          <w:tcPr>
            <w:tcW w:w="900"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1,0000</w:t>
            </w:r>
          </w:p>
        </w:tc>
        <w:tc>
          <w:tcPr>
            <w:tcW w:w="899"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0,0470*</w:t>
            </w:r>
          </w:p>
        </w:tc>
      </w:tr>
      <w:tr w:rsidR="00391CB2" w:rsidRPr="000E5487" w:rsidTr="001D52C3">
        <w:trPr>
          <w:trHeight w:val="260"/>
          <w:jc w:val="center"/>
        </w:trPr>
        <w:tc>
          <w:tcPr>
            <w:tcW w:w="2301" w:type="pct"/>
            <w:tcBorders>
              <w:top w:val="nil"/>
              <w:left w:val="nil"/>
              <w:bottom w:val="nil"/>
            </w:tcBorders>
            <w:shd w:val="clear" w:color="auto" w:fill="F2F2F2"/>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Taxa livre de risco</w:t>
            </w:r>
          </w:p>
        </w:tc>
        <w:tc>
          <w:tcPr>
            <w:tcW w:w="900" w:type="pct"/>
            <w:tcBorders>
              <w:top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0,4449</w:t>
            </w:r>
          </w:p>
        </w:tc>
        <w:tc>
          <w:tcPr>
            <w:tcW w:w="900"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0,8062</w:t>
            </w:r>
          </w:p>
        </w:tc>
        <w:tc>
          <w:tcPr>
            <w:tcW w:w="899"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0,2739</w:t>
            </w:r>
          </w:p>
        </w:tc>
      </w:tr>
      <w:tr w:rsidR="00391CB2" w:rsidRPr="000E5487" w:rsidTr="001D52C3">
        <w:trPr>
          <w:trHeight w:val="260"/>
          <w:jc w:val="center"/>
        </w:trPr>
        <w:tc>
          <w:tcPr>
            <w:tcW w:w="2301" w:type="pct"/>
            <w:tcBorders>
              <w:top w:val="nil"/>
              <w:left w:val="nil"/>
              <w:bottom w:val="nil"/>
            </w:tcBorders>
            <w:shd w:val="clear" w:color="auto" w:fill="auto"/>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Risco país</w:t>
            </w:r>
          </w:p>
        </w:tc>
        <w:tc>
          <w:tcPr>
            <w:tcW w:w="900" w:type="pct"/>
            <w:tcBorders>
              <w:top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0,8835</w:t>
            </w:r>
          </w:p>
        </w:tc>
        <w:tc>
          <w:tcPr>
            <w:tcW w:w="900"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0,2120</w:t>
            </w:r>
          </w:p>
        </w:tc>
        <w:tc>
          <w:tcPr>
            <w:tcW w:w="899"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0,0195*</w:t>
            </w:r>
          </w:p>
        </w:tc>
      </w:tr>
      <w:tr w:rsidR="00391CB2" w:rsidRPr="000E5487" w:rsidTr="001D52C3">
        <w:trPr>
          <w:trHeight w:val="260"/>
          <w:jc w:val="center"/>
        </w:trPr>
        <w:tc>
          <w:tcPr>
            <w:tcW w:w="2301" w:type="pct"/>
            <w:tcBorders>
              <w:top w:val="nil"/>
              <w:left w:val="nil"/>
              <w:bottom w:val="nil"/>
            </w:tcBorders>
            <w:shd w:val="clear" w:color="auto" w:fill="auto"/>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Quantidade no cálculo da receita</w:t>
            </w:r>
          </w:p>
        </w:tc>
        <w:tc>
          <w:tcPr>
            <w:tcW w:w="900" w:type="pct"/>
            <w:tcBorders>
              <w:top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0,3399</w:t>
            </w:r>
          </w:p>
        </w:tc>
        <w:tc>
          <w:tcPr>
            <w:tcW w:w="900"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0,0209*</w:t>
            </w:r>
          </w:p>
        </w:tc>
        <w:tc>
          <w:tcPr>
            <w:tcW w:w="899" w:type="pct"/>
            <w:tcBorders>
              <w:top w:val="nil"/>
              <w:left w:val="nil"/>
              <w:bottom w:val="nil"/>
              <w:right w:val="nil"/>
            </w:tcBorders>
            <w:shd w:val="clear" w:color="auto" w:fill="auto"/>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1,0000</w:t>
            </w:r>
          </w:p>
        </w:tc>
      </w:tr>
      <w:tr w:rsidR="00391CB2" w:rsidRPr="000E5487" w:rsidTr="001D52C3">
        <w:trPr>
          <w:trHeight w:val="260"/>
          <w:jc w:val="center"/>
        </w:trPr>
        <w:tc>
          <w:tcPr>
            <w:tcW w:w="2301" w:type="pct"/>
            <w:tcBorders>
              <w:top w:val="nil"/>
              <w:left w:val="nil"/>
              <w:bottom w:val="nil"/>
            </w:tcBorders>
            <w:shd w:val="clear" w:color="auto" w:fill="F2F2F2"/>
            <w:vAlign w:val="center"/>
            <w:hideMark/>
          </w:tcPr>
          <w:p w:rsidR="00391CB2" w:rsidRPr="000E5487" w:rsidRDefault="00391CB2" w:rsidP="00485D63">
            <w:pPr>
              <w:spacing w:after="0" w:line="240" w:lineRule="auto"/>
              <w:rPr>
                <w:rFonts w:ascii="Times New Roman" w:hAnsi="Times New Roman"/>
                <w:sz w:val="20"/>
                <w:szCs w:val="20"/>
              </w:rPr>
            </w:pPr>
            <w:r w:rsidRPr="000E5487">
              <w:rPr>
                <w:rFonts w:ascii="Times New Roman" w:hAnsi="Times New Roman"/>
                <w:sz w:val="20"/>
                <w:szCs w:val="20"/>
              </w:rPr>
              <w:t>Preço de venda no cálculo da receita</w:t>
            </w:r>
          </w:p>
        </w:tc>
        <w:tc>
          <w:tcPr>
            <w:tcW w:w="900" w:type="pct"/>
            <w:tcBorders>
              <w:top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0,7311</w:t>
            </w:r>
          </w:p>
        </w:tc>
        <w:tc>
          <w:tcPr>
            <w:tcW w:w="900"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0,2782</w:t>
            </w:r>
          </w:p>
        </w:tc>
        <w:tc>
          <w:tcPr>
            <w:tcW w:w="899" w:type="pct"/>
            <w:tcBorders>
              <w:top w:val="nil"/>
              <w:left w:val="nil"/>
              <w:bottom w:val="nil"/>
              <w:right w:val="nil"/>
            </w:tcBorders>
            <w:shd w:val="clear" w:color="auto" w:fill="F2F2F2"/>
            <w:noWrap/>
            <w:vAlign w:val="center"/>
            <w:hideMark/>
          </w:tcPr>
          <w:p w:rsidR="00391CB2" w:rsidRPr="000E5487" w:rsidRDefault="00391CB2"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0,2618</w:t>
            </w:r>
          </w:p>
        </w:tc>
      </w:tr>
      <w:tr w:rsidR="00677C93" w:rsidRPr="000E5487" w:rsidTr="001D52C3">
        <w:trPr>
          <w:trHeight w:val="260"/>
          <w:jc w:val="center"/>
        </w:trPr>
        <w:tc>
          <w:tcPr>
            <w:tcW w:w="2301" w:type="pct"/>
            <w:tcBorders>
              <w:top w:val="nil"/>
              <w:left w:val="nil"/>
              <w:bottom w:val="nil"/>
            </w:tcBorders>
            <w:shd w:val="clear" w:color="auto" w:fill="F2F2F2"/>
            <w:vAlign w:val="center"/>
          </w:tcPr>
          <w:p w:rsidR="00677C93" w:rsidRPr="000E5487" w:rsidRDefault="00677C93" w:rsidP="00485D63">
            <w:pPr>
              <w:spacing w:after="0" w:line="240" w:lineRule="auto"/>
              <w:rPr>
                <w:rFonts w:ascii="Times New Roman" w:hAnsi="Times New Roman"/>
                <w:sz w:val="20"/>
                <w:szCs w:val="20"/>
              </w:rPr>
            </w:pPr>
            <w:r w:rsidRPr="000E5487">
              <w:rPr>
                <w:rFonts w:ascii="Times New Roman" w:hAnsi="Times New Roman"/>
                <w:sz w:val="20"/>
                <w:szCs w:val="20"/>
              </w:rPr>
              <w:t>Horizonte de projeção dos fluxos de caixa</w:t>
            </w:r>
          </w:p>
        </w:tc>
        <w:tc>
          <w:tcPr>
            <w:tcW w:w="900" w:type="pct"/>
            <w:tcBorders>
              <w:top w:val="nil"/>
              <w:bottom w:val="nil"/>
              <w:right w:val="nil"/>
            </w:tcBorders>
            <w:shd w:val="clear" w:color="auto" w:fill="F2F2F2"/>
            <w:noWrap/>
            <w:vAlign w:val="center"/>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0,6403</w:t>
            </w:r>
          </w:p>
        </w:tc>
        <w:tc>
          <w:tcPr>
            <w:tcW w:w="900" w:type="pct"/>
            <w:tcBorders>
              <w:top w:val="nil"/>
              <w:left w:val="nil"/>
              <w:bottom w:val="nil"/>
              <w:right w:val="nil"/>
            </w:tcBorders>
            <w:shd w:val="clear" w:color="auto" w:fill="F2F2F2"/>
            <w:noWrap/>
            <w:vAlign w:val="center"/>
          </w:tcPr>
          <w:p w:rsidR="00677C93" w:rsidRPr="000E5487" w:rsidRDefault="00677C93"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0,7233</w:t>
            </w:r>
          </w:p>
        </w:tc>
        <w:tc>
          <w:tcPr>
            <w:tcW w:w="899" w:type="pct"/>
            <w:tcBorders>
              <w:top w:val="nil"/>
              <w:left w:val="nil"/>
              <w:bottom w:val="nil"/>
              <w:right w:val="nil"/>
            </w:tcBorders>
            <w:shd w:val="clear" w:color="auto" w:fill="F2F2F2"/>
            <w:noWrap/>
            <w:vAlign w:val="center"/>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0,0158*</w:t>
            </w:r>
          </w:p>
        </w:tc>
      </w:tr>
      <w:tr w:rsidR="00677C93" w:rsidRPr="000E5487" w:rsidTr="00677C93">
        <w:trPr>
          <w:trHeight w:val="260"/>
          <w:jc w:val="center"/>
        </w:trPr>
        <w:tc>
          <w:tcPr>
            <w:tcW w:w="2301" w:type="pct"/>
            <w:tcBorders>
              <w:top w:val="nil"/>
              <w:left w:val="nil"/>
            </w:tcBorders>
            <w:shd w:val="clear" w:color="auto" w:fill="auto"/>
            <w:vAlign w:val="center"/>
            <w:hideMark/>
          </w:tcPr>
          <w:p w:rsidR="00677C93" w:rsidRPr="000E5487" w:rsidRDefault="00677C93" w:rsidP="00485D63">
            <w:pPr>
              <w:spacing w:after="0" w:line="240" w:lineRule="auto"/>
              <w:rPr>
                <w:rFonts w:ascii="Times New Roman" w:hAnsi="Times New Roman"/>
                <w:sz w:val="20"/>
                <w:szCs w:val="20"/>
              </w:rPr>
            </w:pPr>
            <w:r w:rsidRPr="000E5487">
              <w:rPr>
                <w:rFonts w:ascii="Times New Roman" w:hAnsi="Times New Roman"/>
                <w:sz w:val="20"/>
                <w:szCs w:val="20"/>
              </w:rPr>
              <w:t>Padronização dos custos de produção</w:t>
            </w:r>
          </w:p>
        </w:tc>
        <w:tc>
          <w:tcPr>
            <w:tcW w:w="900" w:type="pct"/>
            <w:tcBorders>
              <w:top w:val="nil"/>
              <w:right w:val="nil"/>
            </w:tcBorders>
            <w:shd w:val="clear" w:color="auto" w:fill="auto"/>
            <w:noWrap/>
            <w:vAlign w:val="center"/>
            <w:hideMark/>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0,4142</w:t>
            </w:r>
          </w:p>
        </w:tc>
        <w:tc>
          <w:tcPr>
            <w:tcW w:w="900" w:type="pct"/>
            <w:tcBorders>
              <w:top w:val="nil"/>
              <w:left w:val="nil"/>
              <w:right w:val="nil"/>
            </w:tcBorders>
            <w:shd w:val="clear" w:color="auto" w:fill="auto"/>
            <w:noWrap/>
            <w:vAlign w:val="center"/>
            <w:hideMark/>
          </w:tcPr>
          <w:p w:rsidR="00677C93" w:rsidRPr="000E5487" w:rsidRDefault="00677C93"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0,6917</w:t>
            </w:r>
          </w:p>
        </w:tc>
        <w:tc>
          <w:tcPr>
            <w:tcW w:w="899" w:type="pct"/>
            <w:tcBorders>
              <w:top w:val="nil"/>
              <w:left w:val="nil"/>
              <w:right w:val="nil"/>
            </w:tcBorders>
            <w:shd w:val="clear" w:color="auto" w:fill="auto"/>
            <w:noWrap/>
            <w:vAlign w:val="center"/>
            <w:hideMark/>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0,6087</w:t>
            </w:r>
          </w:p>
        </w:tc>
      </w:tr>
      <w:tr w:rsidR="00677C93" w:rsidRPr="000E5487" w:rsidTr="00677C93">
        <w:trPr>
          <w:trHeight w:val="258"/>
          <w:jc w:val="center"/>
        </w:trPr>
        <w:tc>
          <w:tcPr>
            <w:tcW w:w="2301" w:type="pct"/>
            <w:tcBorders>
              <w:top w:val="nil"/>
              <w:left w:val="nil"/>
              <w:bottom w:val="single" w:sz="4" w:space="0" w:color="auto"/>
            </w:tcBorders>
            <w:shd w:val="clear" w:color="auto" w:fill="F2F2F2"/>
            <w:vAlign w:val="center"/>
            <w:hideMark/>
          </w:tcPr>
          <w:p w:rsidR="00677C93" w:rsidRPr="000E5487" w:rsidRDefault="00677C93" w:rsidP="00485D63">
            <w:pPr>
              <w:spacing w:after="0" w:line="240" w:lineRule="auto"/>
              <w:rPr>
                <w:rFonts w:ascii="Times New Roman" w:hAnsi="Times New Roman"/>
                <w:sz w:val="20"/>
                <w:szCs w:val="20"/>
              </w:rPr>
            </w:pPr>
            <w:r w:rsidRPr="000E5487">
              <w:rPr>
                <w:rFonts w:ascii="Times New Roman" w:hAnsi="Times New Roman"/>
                <w:sz w:val="20"/>
                <w:szCs w:val="20"/>
              </w:rPr>
              <w:t>Depreciação</w:t>
            </w:r>
          </w:p>
        </w:tc>
        <w:tc>
          <w:tcPr>
            <w:tcW w:w="900" w:type="pct"/>
            <w:tcBorders>
              <w:top w:val="nil"/>
              <w:bottom w:val="single" w:sz="4" w:space="0" w:color="auto"/>
              <w:right w:val="nil"/>
            </w:tcBorders>
            <w:shd w:val="clear" w:color="auto" w:fill="F2F2F2"/>
            <w:noWrap/>
            <w:vAlign w:val="center"/>
            <w:hideMark/>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1,0000</w:t>
            </w:r>
          </w:p>
        </w:tc>
        <w:tc>
          <w:tcPr>
            <w:tcW w:w="900" w:type="pct"/>
            <w:tcBorders>
              <w:top w:val="nil"/>
              <w:left w:val="nil"/>
              <w:bottom w:val="single" w:sz="4" w:space="0" w:color="auto"/>
              <w:right w:val="nil"/>
            </w:tcBorders>
            <w:shd w:val="clear" w:color="auto" w:fill="F2F2F2"/>
            <w:noWrap/>
            <w:vAlign w:val="center"/>
            <w:hideMark/>
          </w:tcPr>
          <w:p w:rsidR="00677C93" w:rsidRPr="000E5487" w:rsidRDefault="00677C93" w:rsidP="00485D63">
            <w:pPr>
              <w:spacing w:after="0" w:line="240" w:lineRule="auto"/>
              <w:ind w:hanging="3"/>
              <w:jc w:val="center"/>
              <w:rPr>
                <w:rFonts w:ascii="Times New Roman" w:hAnsi="Times New Roman"/>
                <w:color w:val="000000"/>
                <w:sz w:val="20"/>
                <w:szCs w:val="20"/>
              </w:rPr>
            </w:pPr>
            <w:r w:rsidRPr="000E5487">
              <w:rPr>
                <w:rFonts w:ascii="Times New Roman" w:hAnsi="Times New Roman"/>
                <w:color w:val="000000"/>
                <w:sz w:val="20"/>
                <w:szCs w:val="20"/>
              </w:rPr>
              <w:t>0,4458</w:t>
            </w:r>
          </w:p>
        </w:tc>
        <w:tc>
          <w:tcPr>
            <w:tcW w:w="899" w:type="pct"/>
            <w:tcBorders>
              <w:top w:val="nil"/>
              <w:left w:val="nil"/>
              <w:bottom w:val="single" w:sz="4" w:space="0" w:color="auto"/>
              <w:right w:val="nil"/>
            </w:tcBorders>
            <w:shd w:val="clear" w:color="auto" w:fill="F2F2F2"/>
            <w:noWrap/>
            <w:vAlign w:val="center"/>
            <w:hideMark/>
          </w:tcPr>
          <w:p w:rsidR="00677C93" w:rsidRPr="000E5487" w:rsidRDefault="00677C93" w:rsidP="00485D63">
            <w:pPr>
              <w:spacing w:after="0" w:line="240" w:lineRule="auto"/>
              <w:jc w:val="center"/>
              <w:rPr>
                <w:rFonts w:ascii="Times New Roman" w:hAnsi="Times New Roman"/>
                <w:color w:val="000000"/>
                <w:sz w:val="20"/>
                <w:szCs w:val="20"/>
              </w:rPr>
            </w:pPr>
            <w:r w:rsidRPr="000E5487">
              <w:rPr>
                <w:rFonts w:ascii="Times New Roman" w:hAnsi="Times New Roman"/>
                <w:color w:val="000000"/>
                <w:sz w:val="20"/>
                <w:szCs w:val="20"/>
              </w:rPr>
              <w:t>0,6904</w:t>
            </w:r>
          </w:p>
        </w:tc>
      </w:tr>
    </w:tbl>
    <w:p w:rsidR="00D33781" w:rsidRPr="000E5487" w:rsidRDefault="00041088" w:rsidP="00557D9C">
      <w:pPr>
        <w:spacing w:after="0" w:line="240" w:lineRule="auto"/>
        <w:ind w:left="142"/>
        <w:rPr>
          <w:rFonts w:ascii="Times New Roman" w:eastAsia="Arial Unicode MS" w:hAnsi="Times New Roman"/>
          <w:szCs w:val="24"/>
          <w:bdr w:val="nil"/>
        </w:rPr>
      </w:pPr>
      <w:r w:rsidRPr="000E5487">
        <w:rPr>
          <w:rFonts w:ascii="Times New Roman" w:eastAsia="Arial Unicode MS" w:hAnsi="Times New Roman"/>
          <w:sz w:val="20"/>
          <w:szCs w:val="24"/>
          <w:bdr w:val="nil"/>
        </w:rPr>
        <w:t xml:space="preserve">Legenda: </w:t>
      </w:r>
      <w:r w:rsidR="00D33781" w:rsidRPr="000E5487">
        <w:rPr>
          <w:rFonts w:ascii="Times New Roman" w:eastAsia="Arial Unicode MS" w:hAnsi="Times New Roman"/>
          <w:sz w:val="20"/>
          <w:szCs w:val="24"/>
          <w:bdr w:val="nil"/>
        </w:rPr>
        <w:t xml:space="preserve">* Valor </w:t>
      </w:r>
      <w:r w:rsidR="00D33781" w:rsidRPr="000E5487">
        <w:rPr>
          <w:rFonts w:ascii="Times New Roman" w:eastAsia="Arial Unicode MS" w:hAnsi="Times New Roman"/>
          <w:i/>
          <w:sz w:val="20"/>
          <w:szCs w:val="24"/>
          <w:bdr w:val="nil"/>
        </w:rPr>
        <w:t>p</w:t>
      </w:r>
      <w:r w:rsidR="00D33781" w:rsidRPr="000E5487">
        <w:rPr>
          <w:rFonts w:ascii="Times New Roman" w:eastAsia="Arial Unicode MS" w:hAnsi="Times New Roman"/>
          <w:sz w:val="20"/>
          <w:szCs w:val="24"/>
          <w:bdr w:val="nil"/>
        </w:rPr>
        <w:t xml:space="preserve"> &lt; 0,05.</w:t>
      </w:r>
    </w:p>
    <w:p w:rsidR="00041088" w:rsidRPr="000E5487" w:rsidRDefault="00041088" w:rsidP="00B747D7">
      <w:pPr>
        <w:spacing w:after="0" w:line="240" w:lineRule="auto"/>
        <w:ind w:firstLine="709"/>
        <w:jc w:val="both"/>
        <w:rPr>
          <w:rFonts w:ascii="Times New Roman" w:hAnsi="Times New Roman"/>
          <w:noProof/>
          <w:color w:val="000000"/>
          <w:szCs w:val="24"/>
        </w:rPr>
      </w:pPr>
    </w:p>
    <w:p w:rsidR="000B157E" w:rsidRDefault="0040384C" w:rsidP="00B747D7">
      <w:pPr>
        <w:spacing w:after="0" w:line="240" w:lineRule="auto"/>
        <w:ind w:firstLine="709"/>
        <w:jc w:val="both"/>
        <w:rPr>
          <w:rFonts w:ascii="Times New Roman" w:hAnsi="Times New Roman"/>
          <w:noProof/>
          <w:szCs w:val="24"/>
        </w:rPr>
      </w:pPr>
      <w:r w:rsidRPr="000E5487">
        <w:rPr>
          <w:rFonts w:ascii="Times New Roman" w:hAnsi="Times New Roman"/>
          <w:noProof/>
          <w:color w:val="000000"/>
          <w:szCs w:val="24"/>
        </w:rPr>
        <w:t>Há evidências amostrais suficientes, conforme apresentado na</w:t>
      </w:r>
      <w:r w:rsidR="003A0590" w:rsidRPr="000E5487">
        <w:rPr>
          <w:rFonts w:ascii="Times New Roman" w:hAnsi="Times New Roman"/>
          <w:noProof/>
          <w:szCs w:val="24"/>
        </w:rPr>
        <w:t xml:space="preserve"> Tabela 5</w:t>
      </w:r>
      <w:r w:rsidRPr="000E5487">
        <w:rPr>
          <w:rFonts w:ascii="Times New Roman" w:hAnsi="Times New Roman"/>
          <w:noProof/>
          <w:szCs w:val="24"/>
        </w:rPr>
        <w:t>, de</w:t>
      </w:r>
      <w:r w:rsidR="003A0590" w:rsidRPr="000E5487">
        <w:rPr>
          <w:rFonts w:ascii="Times New Roman" w:hAnsi="Times New Roman"/>
          <w:noProof/>
          <w:szCs w:val="24"/>
        </w:rPr>
        <w:t xml:space="preserve"> que </w:t>
      </w:r>
      <w:r w:rsidR="00891844" w:rsidRPr="000E5487">
        <w:rPr>
          <w:rFonts w:ascii="Times New Roman" w:hAnsi="Times New Roman"/>
          <w:noProof/>
          <w:szCs w:val="24"/>
        </w:rPr>
        <w:t xml:space="preserve">o tempo de </w:t>
      </w:r>
      <w:r w:rsidR="00C65B7B" w:rsidRPr="000E5487">
        <w:rPr>
          <w:rFonts w:ascii="Times New Roman" w:hAnsi="Times New Roman"/>
          <w:noProof/>
          <w:szCs w:val="24"/>
        </w:rPr>
        <w:t>experiência</w:t>
      </w:r>
      <w:r w:rsidR="00891844" w:rsidRPr="000E5487">
        <w:rPr>
          <w:rFonts w:ascii="Times New Roman" w:hAnsi="Times New Roman"/>
          <w:noProof/>
          <w:szCs w:val="24"/>
        </w:rPr>
        <w:t xml:space="preserve"> na mensuração de ativos biológicos apresentou associação significativa com as questões relativas ao método de mensuração do ativo biológico, definição da taxa de desconto do </w:t>
      </w:r>
      <w:r w:rsidR="00221AAC" w:rsidRPr="000E5487">
        <w:rPr>
          <w:rFonts w:ascii="Times New Roman" w:hAnsi="Times New Roman"/>
          <w:noProof/>
          <w:szCs w:val="24"/>
        </w:rPr>
        <w:t xml:space="preserve">fluxo de caixa, </w:t>
      </w:r>
      <w:r w:rsidR="00891844" w:rsidRPr="000E5487">
        <w:rPr>
          <w:rFonts w:ascii="Times New Roman" w:hAnsi="Times New Roman"/>
          <w:noProof/>
          <w:szCs w:val="24"/>
        </w:rPr>
        <w:t>coeficiente beta, utilização do risco</w:t>
      </w:r>
      <w:r w:rsidR="00221AAC" w:rsidRPr="000E5487">
        <w:rPr>
          <w:rFonts w:ascii="Times New Roman" w:hAnsi="Times New Roman"/>
          <w:noProof/>
          <w:szCs w:val="24"/>
        </w:rPr>
        <w:t xml:space="preserve"> </w:t>
      </w:r>
      <w:r w:rsidR="00C50B4B" w:rsidRPr="000E5487">
        <w:rPr>
          <w:rFonts w:ascii="Times New Roman" w:hAnsi="Times New Roman"/>
          <w:noProof/>
          <w:szCs w:val="24"/>
        </w:rPr>
        <w:t xml:space="preserve">país </w:t>
      </w:r>
      <w:r w:rsidR="00891844" w:rsidRPr="000E5487">
        <w:rPr>
          <w:rFonts w:ascii="Times New Roman" w:hAnsi="Times New Roman"/>
          <w:noProof/>
          <w:szCs w:val="24"/>
        </w:rPr>
        <w:t xml:space="preserve">e definição do horizonte de </w:t>
      </w:r>
      <w:r w:rsidR="00221AAC" w:rsidRPr="000E5487">
        <w:rPr>
          <w:rFonts w:ascii="Times New Roman" w:hAnsi="Times New Roman"/>
          <w:noProof/>
          <w:szCs w:val="24"/>
        </w:rPr>
        <w:t xml:space="preserve">projeção </w:t>
      </w:r>
      <w:r w:rsidR="00891844" w:rsidRPr="000E5487">
        <w:rPr>
          <w:rFonts w:ascii="Times New Roman" w:hAnsi="Times New Roman"/>
          <w:noProof/>
          <w:szCs w:val="24"/>
        </w:rPr>
        <w:t xml:space="preserve">do fluxo de caixa, com valores </w:t>
      </w:r>
      <w:r w:rsidR="00221AAC" w:rsidRPr="000E5487">
        <w:rPr>
          <w:rFonts w:ascii="Times New Roman" w:hAnsi="Times New Roman"/>
          <w:noProof/>
          <w:szCs w:val="24"/>
        </w:rPr>
        <w:t xml:space="preserve">para </w:t>
      </w:r>
      <w:r w:rsidR="00891844" w:rsidRPr="000E5487">
        <w:rPr>
          <w:rFonts w:ascii="Times New Roman" w:hAnsi="Times New Roman"/>
          <w:i/>
          <w:iCs/>
          <w:noProof/>
          <w:szCs w:val="24"/>
        </w:rPr>
        <w:t>p</w:t>
      </w:r>
      <w:r w:rsidR="00891844" w:rsidRPr="000E5487">
        <w:rPr>
          <w:rFonts w:ascii="Times New Roman" w:hAnsi="Times New Roman"/>
          <w:noProof/>
          <w:szCs w:val="24"/>
        </w:rPr>
        <w:t xml:space="preserve"> iguais a 0,0287; 0,045; 0,0470; 0,0195 e 0,158, respectivamente.</w:t>
      </w:r>
      <w:r w:rsidR="00ED78EF" w:rsidRPr="000E5487">
        <w:rPr>
          <w:rFonts w:ascii="Times New Roman" w:hAnsi="Times New Roman"/>
          <w:noProof/>
          <w:szCs w:val="24"/>
        </w:rPr>
        <w:t xml:space="preserve"> </w:t>
      </w:r>
      <w:r w:rsidR="000B157E" w:rsidRPr="000B157E">
        <w:rPr>
          <w:rFonts w:ascii="Times New Roman" w:hAnsi="Times New Roman"/>
          <w:noProof/>
          <w:szCs w:val="24"/>
        </w:rPr>
        <w:t>Quanto as demais associações investigadas, não foram encontradas evidências amostrais suficientes de que são significativas, de acordo com o teste exato de Fisher ao nível de 5% de significância.</w:t>
      </w:r>
    </w:p>
    <w:p w:rsidR="00285D1B" w:rsidRDefault="00374AD9"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Na Figura </w:t>
      </w:r>
      <w:r w:rsidR="00677C93">
        <w:rPr>
          <w:rFonts w:ascii="Times New Roman" w:hAnsi="Times New Roman"/>
          <w:noProof/>
          <w:szCs w:val="24"/>
        </w:rPr>
        <w:t>2</w:t>
      </w:r>
      <w:r w:rsidR="00C65B7B" w:rsidRPr="000E5487">
        <w:rPr>
          <w:rFonts w:ascii="Times New Roman" w:hAnsi="Times New Roman"/>
          <w:noProof/>
          <w:szCs w:val="24"/>
        </w:rPr>
        <w:t xml:space="preserve"> são detalhadas as faixas de experiência e os métodos de mensuração</w:t>
      </w:r>
      <w:r w:rsidR="009444C3" w:rsidRPr="000E5487">
        <w:rPr>
          <w:rFonts w:ascii="Times New Roman" w:hAnsi="Times New Roman"/>
          <w:noProof/>
          <w:szCs w:val="24"/>
        </w:rPr>
        <w:t xml:space="preserve"> de ativos biológicos mencionados</w:t>
      </w:r>
      <w:r w:rsidR="00C65B7B" w:rsidRPr="000E5487">
        <w:rPr>
          <w:rFonts w:ascii="Times New Roman" w:hAnsi="Times New Roman"/>
          <w:noProof/>
          <w:szCs w:val="24"/>
        </w:rPr>
        <w:t>.</w:t>
      </w:r>
    </w:p>
    <w:p w:rsidR="00557D9C" w:rsidRPr="000E5487" w:rsidRDefault="00557D9C" w:rsidP="00B747D7">
      <w:pPr>
        <w:spacing w:after="0" w:line="240" w:lineRule="auto"/>
        <w:ind w:firstLine="709"/>
        <w:jc w:val="both"/>
        <w:rPr>
          <w:rFonts w:ascii="Times New Roman" w:hAnsi="Times New Roman"/>
          <w:noProof/>
          <w:szCs w:val="24"/>
        </w:rPr>
      </w:pPr>
    </w:p>
    <w:p w:rsidR="00285D1B" w:rsidRPr="000E5487" w:rsidRDefault="000A1444" w:rsidP="00B747D7">
      <w:pPr>
        <w:pBdr>
          <w:top w:val="nil"/>
          <w:left w:val="nil"/>
          <w:bottom w:val="nil"/>
          <w:right w:val="nil"/>
          <w:between w:val="nil"/>
          <w:bar w:val="nil"/>
        </w:pBdr>
        <w:spacing w:after="0" w:line="240" w:lineRule="auto"/>
        <w:ind w:firstLine="709"/>
        <w:jc w:val="center"/>
        <w:rPr>
          <w:rFonts w:ascii="Times New Roman" w:eastAsia="Arial Unicode MS" w:hAnsi="Times New Roman"/>
          <w:szCs w:val="24"/>
          <w:bdr w:val="nil"/>
        </w:rPr>
      </w:pPr>
      <w:r w:rsidRPr="000E5487">
        <w:rPr>
          <w:rFonts w:ascii="Times New Roman" w:hAnsi="Times New Roman"/>
          <w:noProof/>
        </w:rPr>
        <w:drawing>
          <wp:inline distT="0" distB="0" distL="0" distR="0" wp14:anchorId="15D52A8C" wp14:editId="2DCDE83F">
            <wp:extent cx="4275190" cy="289585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5190" cy="2895851"/>
                    </a:xfrm>
                    <a:prstGeom prst="rect">
                      <a:avLst/>
                    </a:prstGeom>
                  </pic:spPr>
                </pic:pic>
              </a:graphicData>
            </a:graphic>
          </wp:inline>
        </w:drawing>
      </w:r>
    </w:p>
    <w:p w:rsidR="00285D1B" w:rsidRPr="00557D9C" w:rsidRDefault="00374AD9" w:rsidP="00557D9C">
      <w:pPr>
        <w:pBdr>
          <w:top w:val="nil"/>
          <w:left w:val="nil"/>
          <w:bottom w:val="nil"/>
          <w:right w:val="nil"/>
          <w:between w:val="nil"/>
          <w:bar w:val="nil"/>
        </w:pBdr>
        <w:spacing w:after="0" w:line="240" w:lineRule="auto"/>
        <w:jc w:val="center"/>
        <w:rPr>
          <w:rFonts w:ascii="Times New Roman" w:eastAsia="Arial Unicode MS" w:hAnsi="Times New Roman"/>
          <w:sz w:val="20"/>
          <w:szCs w:val="24"/>
          <w:bdr w:val="nil"/>
          <w:lang w:eastAsia="en-US"/>
        </w:rPr>
      </w:pPr>
      <w:r w:rsidRPr="00557D9C">
        <w:rPr>
          <w:rFonts w:ascii="Times New Roman" w:eastAsia="Arial Unicode MS" w:hAnsi="Times New Roman"/>
          <w:sz w:val="20"/>
          <w:szCs w:val="24"/>
          <w:bdr w:val="nil"/>
          <w:lang w:eastAsia="en-US"/>
        </w:rPr>
        <w:t xml:space="preserve">Figura </w:t>
      </w:r>
      <w:r w:rsidR="00041088" w:rsidRPr="00557D9C">
        <w:rPr>
          <w:rFonts w:ascii="Times New Roman" w:eastAsia="Arial Unicode MS" w:hAnsi="Times New Roman"/>
          <w:sz w:val="20"/>
          <w:szCs w:val="24"/>
          <w:bdr w:val="nil"/>
          <w:lang w:eastAsia="en-US"/>
        </w:rPr>
        <w:t>3</w:t>
      </w:r>
      <w:r w:rsidR="00285D1B" w:rsidRPr="00557D9C">
        <w:rPr>
          <w:rFonts w:ascii="Times New Roman" w:eastAsia="Arial Unicode MS" w:hAnsi="Times New Roman"/>
          <w:sz w:val="20"/>
          <w:szCs w:val="24"/>
          <w:bdr w:val="nil"/>
          <w:lang w:eastAsia="en-US"/>
        </w:rPr>
        <w:t xml:space="preserve"> –</w:t>
      </w:r>
      <w:r w:rsidR="00285D1B" w:rsidRPr="00557D9C">
        <w:rPr>
          <w:rFonts w:ascii="Times New Roman" w:eastAsia="Arial Unicode MS" w:hAnsi="Times New Roman"/>
          <w:b/>
          <w:sz w:val="20"/>
          <w:szCs w:val="24"/>
          <w:bdr w:val="nil"/>
          <w:lang w:eastAsia="en-US"/>
        </w:rPr>
        <w:t xml:space="preserve"> </w:t>
      </w:r>
      <w:r w:rsidR="00221AAC" w:rsidRPr="00557D9C">
        <w:rPr>
          <w:rFonts w:ascii="Times New Roman" w:eastAsia="Arial Unicode MS" w:hAnsi="Times New Roman"/>
          <w:sz w:val="20"/>
          <w:szCs w:val="24"/>
          <w:bdr w:val="nil"/>
          <w:lang w:eastAsia="en-US"/>
        </w:rPr>
        <w:t>M</w:t>
      </w:r>
      <w:r w:rsidR="00285D1B" w:rsidRPr="00557D9C">
        <w:rPr>
          <w:rFonts w:ascii="Times New Roman" w:eastAsia="Arial Unicode MS" w:hAnsi="Times New Roman"/>
          <w:sz w:val="20"/>
          <w:szCs w:val="24"/>
          <w:bdr w:val="nil"/>
          <w:lang w:eastAsia="en-US"/>
        </w:rPr>
        <w:t>étodo de mensuração do ativo biológico</w:t>
      </w:r>
      <w:r w:rsidR="00221AAC" w:rsidRPr="00557D9C">
        <w:rPr>
          <w:rFonts w:ascii="Times New Roman" w:eastAsia="Arial Unicode MS" w:hAnsi="Times New Roman"/>
          <w:sz w:val="20"/>
          <w:szCs w:val="24"/>
          <w:bdr w:val="nil"/>
          <w:lang w:eastAsia="en-US"/>
        </w:rPr>
        <w:t xml:space="preserve"> e </w:t>
      </w:r>
      <w:r w:rsidR="00285D1B" w:rsidRPr="00557D9C">
        <w:rPr>
          <w:rFonts w:ascii="Times New Roman" w:eastAsia="Arial Unicode MS" w:hAnsi="Times New Roman"/>
          <w:sz w:val="20"/>
          <w:szCs w:val="24"/>
          <w:bdr w:val="nil"/>
          <w:lang w:eastAsia="en-US"/>
        </w:rPr>
        <w:t xml:space="preserve">tempo de atuação </w:t>
      </w:r>
      <w:r w:rsidR="00221AAC" w:rsidRPr="00557D9C">
        <w:rPr>
          <w:rFonts w:ascii="Times New Roman" w:eastAsia="Arial Unicode MS" w:hAnsi="Times New Roman"/>
          <w:sz w:val="20"/>
          <w:szCs w:val="24"/>
          <w:bdr w:val="nil"/>
          <w:lang w:eastAsia="en-US"/>
        </w:rPr>
        <w:t xml:space="preserve">profissional em sua </w:t>
      </w:r>
      <w:r w:rsidR="00285D1B" w:rsidRPr="00557D9C">
        <w:rPr>
          <w:rFonts w:ascii="Times New Roman" w:eastAsia="Arial Unicode MS" w:hAnsi="Times New Roman"/>
          <w:sz w:val="20"/>
          <w:szCs w:val="24"/>
          <w:bdr w:val="nil"/>
          <w:lang w:eastAsia="en-US"/>
        </w:rPr>
        <w:t>mensuração</w:t>
      </w:r>
    </w:p>
    <w:p w:rsidR="00041088" w:rsidRPr="000E5487" w:rsidRDefault="00041088" w:rsidP="00B747D7">
      <w:pPr>
        <w:pBdr>
          <w:top w:val="nil"/>
          <w:left w:val="nil"/>
          <w:bottom w:val="nil"/>
          <w:right w:val="nil"/>
          <w:between w:val="nil"/>
          <w:bar w:val="nil"/>
        </w:pBdr>
        <w:spacing w:after="0" w:line="240" w:lineRule="auto"/>
        <w:ind w:firstLine="709"/>
        <w:rPr>
          <w:rFonts w:ascii="Times New Roman" w:eastAsia="Arial Unicode MS" w:hAnsi="Times New Roman"/>
          <w:szCs w:val="24"/>
          <w:bdr w:val="nil"/>
          <w:lang w:eastAsia="en-US"/>
        </w:rPr>
      </w:pPr>
    </w:p>
    <w:p w:rsidR="00285D1B" w:rsidRPr="000E5487" w:rsidRDefault="00285D1B"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Observa-se na Figura </w:t>
      </w:r>
      <w:r w:rsidR="00677C93">
        <w:rPr>
          <w:rFonts w:ascii="Times New Roman" w:hAnsi="Times New Roman"/>
          <w:noProof/>
          <w:szCs w:val="24"/>
        </w:rPr>
        <w:t>2</w:t>
      </w:r>
      <w:r w:rsidRPr="000E5487">
        <w:rPr>
          <w:rFonts w:ascii="Times New Roman" w:hAnsi="Times New Roman"/>
          <w:noProof/>
          <w:szCs w:val="24"/>
        </w:rPr>
        <w:t xml:space="preserve"> que tanto os </w:t>
      </w:r>
      <w:r w:rsidR="00221AAC" w:rsidRPr="000E5487">
        <w:rPr>
          <w:rFonts w:ascii="Times New Roman" w:hAnsi="Times New Roman"/>
          <w:noProof/>
          <w:szCs w:val="24"/>
        </w:rPr>
        <w:t xml:space="preserve">respondentes </w:t>
      </w:r>
      <w:r w:rsidRPr="000E5487">
        <w:rPr>
          <w:rFonts w:ascii="Times New Roman" w:hAnsi="Times New Roman"/>
          <w:noProof/>
          <w:szCs w:val="24"/>
        </w:rPr>
        <w:t xml:space="preserve">que possuem entre 3 e 4 anos de atuação na mensuração de ativos biológicos, quanto os que têm mais de 7 anos e a maior parte dos que têm de 5 a 7 anos utilizam o </w:t>
      </w:r>
      <w:r w:rsidR="008F14CC" w:rsidRPr="000E5487">
        <w:rPr>
          <w:rFonts w:ascii="Times New Roman" w:hAnsi="Times New Roman"/>
          <w:noProof/>
          <w:szCs w:val="24"/>
        </w:rPr>
        <w:t>V</w:t>
      </w:r>
      <w:r w:rsidRPr="000E5487">
        <w:rPr>
          <w:rFonts w:ascii="Times New Roman" w:hAnsi="Times New Roman"/>
          <w:noProof/>
          <w:szCs w:val="24"/>
        </w:rPr>
        <w:t xml:space="preserve">alor </w:t>
      </w:r>
      <w:r w:rsidR="008F14CC" w:rsidRPr="000E5487">
        <w:rPr>
          <w:rFonts w:ascii="Times New Roman" w:hAnsi="Times New Roman"/>
          <w:noProof/>
          <w:szCs w:val="24"/>
        </w:rPr>
        <w:t>J</w:t>
      </w:r>
      <w:r w:rsidRPr="000E5487">
        <w:rPr>
          <w:rFonts w:ascii="Times New Roman" w:hAnsi="Times New Roman"/>
          <w:noProof/>
          <w:szCs w:val="24"/>
        </w:rPr>
        <w:t xml:space="preserve">usto – </w:t>
      </w:r>
      <w:r w:rsidR="008F14CC" w:rsidRPr="000E5487">
        <w:rPr>
          <w:rFonts w:ascii="Times New Roman" w:hAnsi="Times New Roman"/>
          <w:noProof/>
          <w:szCs w:val="24"/>
        </w:rPr>
        <w:t>F</w:t>
      </w:r>
      <w:r w:rsidRPr="000E5487">
        <w:rPr>
          <w:rFonts w:ascii="Times New Roman" w:hAnsi="Times New Roman"/>
          <w:noProof/>
          <w:szCs w:val="24"/>
        </w:rPr>
        <w:t xml:space="preserve">luxo de </w:t>
      </w:r>
      <w:r w:rsidR="008F14CC" w:rsidRPr="000E5487">
        <w:rPr>
          <w:rFonts w:ascii="Times New Roman" w:hAnsi="Times New Roman"/>
          <w:noProof/>
          <w:szCs w:val="24"/>
        </w:rPr>
        <w:t>C</w:t>
      </w:r>
      <w:r w:rsidRPr="000E5487">
        <w:rPr>
          <w:rFonts w:ascii="Times New Roman" w:hAnsi="Times New Roman"/>
          <w:noProof/>
          <w:szCs w:val="24"/>
        </w:rPr>
        <w:t>aixa Descontado</w:t>
      </w:r>
      <w:r w:rsidR="00221AAC" w:rsidRPr="000E5487">
        <w:rPr>
          <w:rFonts w:ascii="Times New Roman" w:hAnsi="Times New Roman"/>
          <w:noProof/>
          <w:szCs w:val="24"/>
        </w:rPr>
        <w:t>,</w:t>
      </w:r>
      <w:r w:rsidRPr="000E5487">
        <w:rPr>
          <w:rFonts w:ascii="Times New Roman" w:hAnsi="Times New Roman"/>
          <w:noProof/>
          <w:szCs w:val="24"/>
        </w:rPr>
        <w:t xml:space="preserve"> como método de mensuração do ativo biológico</w:t>
      </w:r>
      <w:r w:rsidR="00221AAC" w:rsidRPr="000E5487">
        <w:rPr>
          <w:rFonts w:ascii="Times New Roman" w:hAnsi="Times New Roman"/>
          <w:noProof/>
          <w:szCs w:val="24"/>
        </w:rPr>
        <w:t>;</w:t>
      </w:r>
      <w:r w:rsidRPr="000E5487">
        <w:rPr>
          <w:rFonts w:ascii="Times New Roman" w:hAnsi="Times New Roman"/>
          <w:noProof/>
          <w:szCs w:val="24"/>
        </w:rPr>
        <w:t xml:space="preserve"> enquanto entre os </w:t>
      </w:r>
      <w:r w:rsidR="00221AAC" w:rsidRPr="000E5487">
        <w:rPr>
          <w:rFonts w:ascii="Times New Roman" w:hAnsi="Times New Roman"/>
          <w:noProof/>
          <w:szCs w:val="24"/>
        </w:rPr>
        <w:t xml:space="preserve">respondentes </w:t>
      </w:r>
      <w:r w:rsidRPr="000E5487">
        <w:rPr>
          <w:rFonts w:ascii="Times New Roman" w:hAnsi="Times New Roman"/>
          <w:noProof/>
          <w:szCs w:val="24"/>
        </w:rPr>
        <w:t>que têm até dois anos de exper</w:t>
      </w:r>
      <w:r w:rsidR="009444C3" w:rsidRPr="000E5487">
        <w:rPr>
          <w:rFonts w:ascii="Times New Roman" w:hAnsi="Times New Roman"/>
          <w:noProof/>
          <w:szCs w:val="24"/>
        </w:rPr>
        <w:t xml:space="preserve">iência, quase </w:t>
      </w:r>
      <w:r w:rsidR="00221AAC" w:rsidRPr="000E5487">
        <w:rPr>
          <w:rFonts w:ascii="Times New Roman" w:hAnsi="Times New Roman"/>
          <w:noProof/>
          <w:szCs w:val="24"/>
        </w:rPr>
        <w:t xml:space="preserve">a </w:t>
      </w:r>
      <w:r w:rsidR="009444C3" w:rsidRPr="000E5487">
        <w:rPr>
          <w:rFonts w:ascii="Times New Roman" w:hAnsi="Times New Roman"/>
          <w:noProof/>
          <w:szCs w:val="24"/>
        </w:rPr>
        <w:t>metade</w:t>
      </w:r>
      <w:r w:rsidR="00221AAC" w:rsidRPr="000E5487">
        <w:rPr>
          <w:rFonts w:ascii="Times New Roman" w:hAnsi="Times New Roman"/>
          <w:noProof/>
          <w:szCs w:val="24"/>
        </w:rPr>
        <w:t>,</w:t>
      </w:r>
      <w:r w:rsidR="009444C3" w:rsidRPr="000E5487">
        <w:rPr>
          <w:rFonts w:ascii="Times New Roman" w:hAnsi="Times New Roman"/>
          <w:noProof/>
          <w:szCs w:val="24"/>
        </w:rPr>
        <w:t xml:space="preserve"> utiliza o V</w:t>
      </w:r>
      <w:r w:rsidRPr="000E5487">
        <w:rPr>
          <w:rFonts w:ascii="Times New Roman" w:hAnsi="Times New Roman"/>
          <w:noProof/>
          <w:szCs w:val="24"/>
        </w:rPr>
        <w:t xml:space="preserve">alor </w:t>
      </w:r>
      <w:r w:rsidR="009444C3" w:rsidRPr="000E5487">
        <w:rPr>
          <w:rFonts w:ascii="Times New Roman" w:hAnsi="Times New Roman"/>
          <w:noProof/>
          <w:szCs w:val="24"/>
        </w:rPr>
        <w:t>J</w:t>
      </w:r>
      <w:r w:rsidRPr="000E5487">
        <w:rPr>
          <w:rFonts w:ascii="Times New Roman" w:hAnsi="Times New Roman"/>
          <w:noProof/>
          <w:szCs w:val="24"/>
        </w:rPr>
        <w:t xml:space="preserve">usto – Mercado </w:t>
      </w:r>
      <w:r w:rsidR="00221AAC" w:rsidRPr="000E5487">
        <w:rPr>
          <w:rFonts w:ascii="Times New Roman" w:hAnsi="Times New Roman"/>
          <w:noProof/>
          <w:szCs w:val="24"/>
        </w:rPr>
        <w:t>A</w:t>
      </w:r>
      <w:r w:rsidRPr="000E5487">
        <w:rPr>
          <w:rFonts w:ascii="Times New Roman" w:hAnsi="Times New Roman"/>
          <w:noProof/>
          <w:szCs w:val="24"/>
        </w:rPr>
        <w:t xml:space="preserve">tivo e  mais de 20% utilizam o </w:t>
      </w:r>
      <w:r w:rsidR="008F14CC" w:rsidRPr="000E5487">
        <w:rPr>
          <w:rFonts w:ascii="Times New Roman" w:hAnsi="Times New Roman"/>
          <w:noProof/>
          <w:szCs w:val="24"/>
        </w:rPr>
        <w:t>C</w:t>
      </w:r>
      <w:r w:rsidRPr="000E5487">
        <w:rPr>
          <w:rFonts w:ascii="Times New Roman" w:hAnsi="Times New Roman"/>
          <w:noProof/>
          <w:szCs w:val="24"/>
        </w:rPr>
        <w:t xml:space="preserve">usto </w:t>
      </w:r>
      <w:r w:rsidR="008F14CC" w:rsidRPr="000E5487">
        <w:rPr>
          <w:rFonts w:ascii="Times New Roman" w:hAnsi="Times New Roman"/>
          <w:noProof/>
          <w:szCs w:val="24"/>
        </w:rPr>
        <w:t>H</w:t>
      </w:r>
      <w:r w:rsidRPr="000E5487">
        <w:rPr>
          <w:rFonts w:ascii="Times New Roman" w:hAnsi="Times New Roman"/>
          <w:noProof/>
          <w:szCs w:val="24"/>
        </w:rPr>
        <w:t>istórico.</w:t>
      </w:r>
    </w:p>
    <w:p w:rsidR="009444C3" w:rsidRDefault="008204FF"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O tempo de experiência na mensuração de ativos biológicos também apresentou associação com a</w:t>
      </w:r>
      <w:r w:rsidR="009444C3" w:rsidRPr="000E5487">
        <w:rPr>
          <w:rFonts w:ascii="Times New Roman" w:hAnsi="Times New Roman"/>
          <w:noProof/>
          <w:szCs w:val="24"/>
        </w:rPr>
        <w:t xml:space="preserve"> definição da taxa de desconto </w:t>
      </w:r>
      <w:r w:rsidRPr="000E5487">
        <w:rPr>
          <w:rFonts w:ascii="Times New Roman" w:hAnsi="Times New Roman"/>
          <w:noProof/>
          <w:szCs w:val="24"/>
        </w:rPr>
        <w:t xml:space="preserve">do </w:t>
      </w:r>
      <w:r w:rsidR="008F14CC" w:rsidRPr="000E5487">
        <w:rPr>
          <w:rFonts w:ascii="Times New Roman" w:hAnsi="Times New Roman"/>
          <w:noProof/>
          <w:szCs w:val="24"/>
        </w:rPr>
        <w:t>fluxo de caixa</w:t>
      </w:r>
      <w:r w:rsidRPr="000E5487">
        <w:rPr>
          <w:rFonts w:ascii="Times New Roman" w:hAnsi="Times New Roman"/>
          <w:noProof/>
          <w:szCs w:val="24"/>
        </w:rPr>
        <w:t>.</w:t>
      </w:r>
      <w:r w:rsidR="009444C3" w:rsidRPr="000E5487">
        <w:rPr>
          <w:rFonts w:ascii="Times New Roman" w:hAnsi="Times New Roman"/>
          <w:noProof/>
          <w:szCs w:val="24"/>
        </w:rPr>
        <w:t xml:space="preserve"> </w:t>
      </w:r>
      <w:r w:rsidR="00A51B57" w:rsidRPr="000E5487">
        <w:rPr>
          <w:rFonts w:ascii="Times New Roman" w:hAnsi="Times New Roman"/>
          <w:noProof/>
          <w:szCs w:val="24"/>
        </w:rPr>
        <w:t xml:space="preserve">Essa relação é detalhada na </w:t>
      </w:r>
      <w:r w:rsidR="00677C93">
        <w:rPr>
          <w:rFonts w:ascii="Times New Roman" w:hAnsi="Times New Roman"/>
          <w:noProof/>
          <w:szCs w:val="24"/>
        </w:rPr>
        <w:t>Figura 3</w:t>
      </w:r>
      <w:r w:rsidR="00041088" w:rsidRPr="000E5487">
        <w:rPr>
          <w:rFonts w:ascii="Times New Roman" w:hAnsi="Times New Roman"/>
          <w:noProof/>
          <w:szCs w:val="24"/>
        </w:rPr>
        <w:t>.</w:t>
      </w:r>
    </w:p>
    <w:p w:rsidR="00557D9C" w:rsidRPr="000E5487" w:rsidRDefault="00557D9C" w:rsidP="00B747D7">
      <w:pPr>
        <w:spacing w:after="0" w:line="240" w:lineRule="auto"/>
        <w:ind w:firstLine="709"/>
        <w:jc w:val="both"/>
        <w:rPr>
          <w:rFonts w:ascii="Times New Roman" w:hAnsi="Times New Roman"/>
          <w:noProof/>
          <w:szCs w:val="24"/>
        </w:rPr>
      </w:pPr>
    </w:p>
    <w:p w:rsidR="00285D1B" w:rsidRPr="000E5487" w:rsidRDefault="000A1444" w:rsidP="00B747D7">
      <w:pPr>
        <w:pBdr>
          <w:top w:val="nil"/>
          <w:left w:val="nil"/>
          <w:bottom w:val="nil"/>
          <w:right w:val="nil"/>
          <w:between w:val="nil"/>
          <w:bar w:val="nil"/>
        </w:pBdr>
        <w:spacing w:after="0" w:line="240" w:lineRule="auto"/>
        <w:ind w:firstLine="709"/>
        <w:jc w:val="center"/>
        <w:rPr>
          <w:rFonts w:ascii="Times New Roman" w:eastAsia="Arial Unicode MS" w:hAnsi="Times New Roman"/>
          <w:szCs w:val="24"/>
          <w:bdr w:val="nil"/>
        </w:rPr>
      </w:pPr>
      <w:r w:rsidRPr="000E5487">
        <w:rPr>
          <w:rFonts w:ascii="Times New Roman" w:hAnsi="Times New Roman"/>
          <w:noProof/>
        </w:rPr>
        <w:drawing>
          <wp:inline distT="0" distB="0" distL="0" distR="0" wp14:anchorId="4F5372E1" wp14:editId="4F6B1234">
            <wp:extent cx="4275190" cy="2895851"/>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5190" cy="2895851"/>
                    </a:xfrm>
                    <a:prstGeom prst="rect">
                      <a:avLst/>
                    </a:prstGeom>
                  </pic:spPr>
                </pic:pic>
              </a:graphicData>
            </a:graphic>
          </wp:inline>
        </w:drawing>
      </w:r>
    </w:p>
    <w:p w:rsidR="00285D1B" w:rsidRPr="00557D9C" w:rsidRDefault="00374AD9" w:rsidP="00557D9C">
      <w:pPr>
        <w:pBdr>
          <w:top w:val="nil"/>
          <w:left w:val="nil"/>
          <w:bottom w:val="nil"/>
          <w:right w:val="nil"/>
          <w:between w:val="nil"/>
          <w:bar w:val="nil"/>
        </w:pBdr>
        <w:spacing w:after="0" w:line="240" w:lineRule="auto"/>
        <w:jc w:val="center"/>
        <w:rPr>
          <w:rFonts w:ascii="Times New Roman" w:eastAsia="Arial Unicode MS" w:hAnsi="Times New Roman"/>
          <w:sz w:val="20"/>
          <w:szCs w:val="24"/>
          <w:bdr w:val="nil"/>
          <w:lang w:eastAsia="en-US"/>
        </w:rPr>
      </w:pPr>
      <w:r w:rsidRPr="00557D9C">
        <w:rPr>
          <w:rFonts w:ascii="Times New Roman" w:eastAsia="Arial Unicode MS" w:hAnsi="Times New Roman"/>
          <w:sz w:val="20"/>
          <w:szCs w:val="24"/>
          <w:bdr w:val="nil"/>
          <w:lang w:eastAsia="en-US"/>
        </w:rPr>
        <w:t xml:space="preserve">Figura </w:t>
      </w:r>
      <w:r w:rsidR="00677C93" w:rsidRPr="00557D9C">
        <w:rPr>
          <w:rFonts w:ascii="Times New Roman" w:eastAsia="Arial Unicode MS" w:hAnsi="Times New Roman"/>
          <w:sz w:val="20"/>
          <w:szCs w:val="24"/>
          <w:bdr w:val="nil"/>
          <w:lang w:eastAsia="en-US"/>
        </w:rPr>
        <w:t>3</w:t>
      </w:r>
      <w:r w:rsidR="00285D1B" w:rsidRPr="00557D9C">
        <w:rPr>
          <w:rFonts w:ascii="Times New Roman" w:eastAsia="Arial Unicode MS" w:hAnsi="Times New Roman"/>
          <w:b/>
          <w:sz w:val="20"/>
          <w:szCs w:val="24"/>
          <w:bdr w:val="nil"/>
          <w:lang w:eastAsia="en-US"/>
        </w:rPr>
        <w:t xml:space="preserve"> – </w:t>
      </w:r>
      <w:r w:rsidR="008F14CC" w:rsidRPr="00557D9C">
        <w:rPr>
          <w:rFonts w:ascii="Times New Roman" w:eastAsia="Arial Unicode MS" w:hAnsi="Times New Roman"/>
          <w:sz w:val="20"/>
          <w:szCs w:val="24"/>
          <w:bdr w:val="nil"/>
          <w:lang w:eastAsia="en-US"/>
        </w:rPr>
        <w:t>T</w:t>
      </w:r>
      <w:r w:rsidR="00285D1B" w:rsidRPr="00557D9C">
        <w:rPr>
          <w:rFonts w:ascii="Times New Roman" w:eastAsia="Arial Unicode MS" w:hAnsi="Times New Roman"/>
          <w:sz w:val="20"/>
          <w:szCs w:val="24"/>
          <w:bdr w:val="nil"/>
          <w:lang w:eastAsia="en-US"/>
        </w:rPr>
        <w:t xml:space="preserve">axa de desconto </w:t>
      </w:r>
      <w:r w:rsidR="008F14CC" w:rsidRPr="00557D9C">
        <w:rPr>
          <w:rFonts w:ascii="Times New Roman" w:eastAsia="Arial Unicode MS" w:hAnsi="Times New Roman"/>
          <w:sz w:val="20"/>
          <w:szCs w:val="24"/>
          <w:bdr w:val="nil"/>
          <w:lang w:eastAsia="en-US"/>
        </w:rPr>
        <w:t xml:space="preserve">e </w:t>
      </w:r>
      <w:r w:rsidR="00285D1B" w:rsidRPr="00557D9C">
        <w:rPr>
          <w:rFonts w:ascii="Times New Roman" w:eastAsia="Arial Unicode MS" w:hAnsi="Times New Roman"/>
          <w:sz w:val="20"/>
          <w:szCs w:val="24"/>
          <w:bdr w:val="nil"/>
          <w:lang w:eastAsia="en-US"/>
        </w:rPr>
        <w:t xml:space="preserve">tempo de atuação </w:t>
      </w:r>
      <w:r w:rsidR="008F14CC" w:rsidRPr="00557D9C">
        <w:rPr>
          <w:rFonts w:ascii="Times New Roman" w:eastAsia="Arial Unicode MS" w:hAnsi="Times New Roman"/>
          <w:sz w:val="20"/>
          <w:szCs w:val="24"/>
          <w:bdr w:val="nil"/>
          <w:lang w:eastAsia="en-US"/>
        </w:rPr>
        <w:t xml:space="preserve">profissional </w:t>
      </w:r>
      <w:r w:rsidR="00285D1B" w:rsidRPr="00557D9C">
        <w:rPr>
          <w:rFonts w:ascii="Times New Roman" w:eastAsia="Arial Unicode MS" w:hAnsi="Times New Roman"/>
          <w:sz w:val="20"/>
          <w:szCs w:val="24"/>
          <w:bdr w:val="nil"/>
          <w:lang w:eastAsia="en-US"/>
        </w:rPr>
        <w:t>na mensuração de ativos biológicos</w:t>
      </w:r>
    </w:p>
    <w:p w:rsidR="00041088" w:rsidRPr="000E5487" w:rsidRDefault="00041088" w:rsidP="00B747D7">
      <w:pPr>
        <w:pBdr>
          <w:top w:val="nil"/>
          <w:left w:val="nil"/>
          <w:bottom w:val="nil"/>
          <w:right w:val="nil"/>
          <w:between w:val="nil"/>
          <w:bar w:val="nil"/>
        </w:pBdr>
        <w:spacing w:after="0" w:line="240" w:lineRule="auto"/>
        <w:ind w:firstLine="709"/>
        <w:rPr>
          <w:rFonts w:ascii="Times New Roman" w:eastAsia="Arial Unicode MS" w:hAnsi="Times New Roman"/>
          <w:szCs w:val="24"/>
          <w:bdr w:val="nil"/>
          <w:lang w:eastAsia="en-US"/>
        </w:rPr>
      </w:pPr>
    </w:p>
    <w:p w:rsidR="00285D1B" w:rsidRPr="000E5487" w:rsidRDefault="00041088"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Pela Figura </w:t>
      </w:r>
      <w:r w:rsidR="00677C93">
        <w:rPr>
          <w:rFonts w:ascii="Times New Roman" w:hAnsi="Times New Roman"/>
          <w:noProof/>
          <w:szCs w:val="24"/>
        </w:rPr>
        <w:t>3</w:t>
      </w:r>
      <w:r w:rsidR="00285D1B" w:rsidRPr="000E5487">
        <w:rPr>
          <w:rFonts w:ascii="Times New Roman" w:hAnsi="Times New Roman"/>
          <w:noProof/>
          <w:szCs w:val="24"/>
        </w:rPr>
        <w:t xml:space="preserve">, vê-se que entre os </w:t>
      </w:r>
      <w:r w:rsidR="008F14CC" w:rsidRPr="000E5487">
        <w:rPr>
          <w:rFonts w:ascii="Times New Roman" w:hAnsi="Times New Roman"/>
          <w:noProof/>
          <w:szCs w:val="24"/>
        </w:rPr>
        <w:t xml:space="preserve">respondentes </w:t>
      </w:r>
      <w:r w:rsidR="00285D1B" w:rsidRPr="000E5487">
        <w:rPr>
          <w:rFonts w:ascii="Times New Roman" w:hAnsi="Times New Roman"/>
          <w:noProof/>
          <w:szCs w:val="24"/>
        </w:rPr>
        <w:t>que possuem entre 3 e 4 anos de experiência na mensuração dos ativos biológicos, quase três quartos utilizam taxas de juros obtidas com base nas teorias de precificação</w:t>
      </w:r>
      <w:r w:rsidR="005A2933" w:rsidRPr="000E5487">
        <w:rPr>
          <w:rFonts w:ascii="Times New Roman" w:hAnsi="Times New Roman"/>
          <w:noProof/>
          <w:szCs w:val="24"/>
        </w:rPr>
        <w:t xml:space="preserve"> de ativos</w:t>
      </w:r>
      <w:r w:rsidR="00285D1B" w:rsidRPr="000E5487">
        <w:rPr>
          <w:rFonts w:ascii="Times New Roman" w:hAnsi="Times New Roman"/>
          <w:noProof/>
          <w:szCs w:val="24"/>
        </w:rPr>
        <w:t xml:space="preserve">, enquanto um terço dos que têm até dois anos de atuação </w:t>
      </w:r>
      <w:r w:rsidR="008F14CC" w:rsidRPr="000E5487">
        <w:rPr>
          <w:rFonts w:ascii="Times New Roman" w:hAnsi="Times New Roman"/>
          <w:noProof/>
          <w:szCs w:val="24"/>
        </w:rPr>
        <w:t xml:space="preserve">também o utilizam e </w:t>
      </w:r>
      <w:r w:rsidR="00285D1B" w:rsidRPr="000E5487">
        <w:rPr>
          <w:rFonts w:ascii="Times New Roman" w:hAnsi="Times New Roman"/>
          <w:noProof/>
          <w:szCs w:val="24"/>
        </w:rPr>
        <w:t>nenhum dos respondentes com mais de 5 anos de atuação fazem uso de tal taxa</w:t>
      </w:r>
      <w:r w:rsidR="005A2933" w:rsidRPr="000E5487">
        <w:rPr>
          <w:rFonts w:ascii="Times New Roman" w:hAnsi="Times New Roman"/>
          <w:noProof/>
          <w:szCs w:val="24"/>
        </w:rPr>
        <w:t xml:space="preserve">, pois optam pela utilização de taxas obtidas com base nos números contábeis, como o </w:t>
      </w:r>
      <w:r w:rsidR="00677C93">
        <w:rPr>
          <w:rFonts w:ascii="Times New Roman" w:hAnsi="Times New Roman"/>
          <w:noProof/>
          <w:szCs w:val="24"/>
        </w:rPr>
        <w:t>WACC</w:t>
      </w:r>
      <w:r w:rsidR="00285D1B" w:rsidRPr="000E5487">
        <w:rPr>
          <w:rFonts w:ascii="Times New Roman" w:hAnsi="Times New Roman"/>
          <w:noProof/>
          <w:szCs w:val="24"/>
        </w:rPr>
        <w:t>.</w:t>
      </w:r>
    </w:p>
    <w:p w:rsidR="00A51B57" w:rsidRDefault="00A51B57" w:rsidP="00B747D7">
      <w:pPr>
        <w:spacing w:after="0" w:line="240" w:lineRule="auto"/>
        <w:ind w:firstLine="709"/>
        <w:jc w:val="both"/>
        <w:rPr>
          <w:rFonts w:ascii="Times New Roman" w:eastAsia="Arial Unicode MS" w:hAnsi="Times New Roman"/>
          <w:szCs w:val="24"/>
          <w:bdr w:val="nil"/>
          <w:lang w:eastAsia="en-US"/>
        </w:rPr>
      </w:pPr>
      <w:r w:rsidRPr="000E5487">
        <w:rPr>
          <w:rFonts w:ascii="Times New Roman" w:hAnsi="Times New Roman"/>
          <w:noProof/>
          <w:szCs w:val="24"/>
        </w:rPr>
        <w:t xml:space="preserve">A Figura </w:t>
      </w:r>
      <w:r w:rsidR="00677C93">
        <w:rPr>
          <w:rFonts w:ascii="Times New Roman" w:hAnsi="Times New Roman"/>
          <w:noProof/>
          <w:szCs w:val="24"/>
        </w:rPr>
        <w:t>4</w:t>
      </w:r>
      <w:r w:rsidRPr="000E5487">
        <w:rPr>
          <w:rFonts w:ascii="Times New Roman" w:hAnsi="Times New Roman"/>
          <w:noProof/>
          <w:szCs w:val="24"/>
        </w:rPr>
        <w:t xml:space="preserve"> demonstra a associação da escolha do </w:t>
      </w:r>
      <w:r w:rsidRPr="000E5487">
        <w:rPr>
          <w:rFonts w:ascii="Times New Roman" w:eastAsia="Arial Unicode MS" w:hAnsi="Times New Roman"/>
          <w:szCs w:val="24"/>
          <w:bdr w:val="nil"/>
          <w:lang w:eastAsia="en-US"/>
        </w:rPr>
        <w:t>coeficiente beta com o tempo de experiência na mensuração de ativos biológicos dos</w:t>
      </w:r>
      <w:r w:rsidR="00DF42F4" w:rsidRPr="000E5487">
        <w:rPr>
          <w:rFonts w:ascii="Times New Roman" w:eastAsia="Arial Unicode MS" w:hAnsi="Times New Roman"/>
          <w:szCs w:val="24"/>
          <w:bdr w:val="nil"/>
          <w:lang w:eastAsia="en-US"/>
        </w:rPr>
        <w:t xml:space="preserve"> </w:t>
      </w:r>
      <w:r w:rsidRPr="000E5487">
        <w:rPr>
          <w:rFonts w:ascii="Times New Roman" w:eastAsia="Arial Unicode MS" w:hAnsi="Times New Roman"/>
          <w:szCs w:val="24"/>
          <w:bdr w:val="nil"/>
          <w:lang w:eastAsia="en-US"/>
        </w:rPr>
        <w:t xml:space="preserve"> profissionais participantes da pesquisa.</w:t>
      </w:r>
    </w:p>
    <w:p w:rsidR="00EC257C" w:rsidRPr="000E5487" w:rsidRDefault="00EC257C" w:rsidP="00B747D7">
      <w:pPr>
        <w:spacing w:after="0" w:line="240" w:lineRule="auto"/>
        <w:ind w:firstLine="709"/>
        <w:jc w:val="both"/>
        <w:rPr>
          <w:rFonts w:ascii="Times New Roman" w:hAnsi="Times New Roman"/>
          <w:noProof/>
          <w:szCs w:val="24"/>
        </w:rPr>
      </w:pPr>
    </w:p>
    <w:p w:rsidR="00285D1B" w:rsidRPr="000E5487" w:rsidRDefault="000A1444" w:rsidP="00B747D7">
      <w:pPr>
        <w:pBdr>
          <w:top w:val="nil"/>
          <w:left w:val="nil"/>
          <w:bottom w:val="nil"/>
          <w:right w:val="nil"/>
          <w:between w:val="nil"/>
          <w:bar w:val="nil"/>
        </w:pBdr>
        <w:spacing w:after="0" w:line="240" w:lineRule="auto"/>
        <w:ind w:firstLine="709"/>
        <w:jc w:val="center"/>
        <w:rPr>
          <w:rFonts w:ascii="Times New Roman" w:eastAsia="Arial Unicode MS" w:hAnsi="Times New Roman"/>
          <w:szCs w:val="24"/>
          <w:bdr w:val="nil"/>
        </w:rPr>
      </w:pPr>
      <w:r w:rsidRPr="000E5487">
        <w:rPr>
          <w:rFonts w:ascii="Times New Roman" w:hAnsi="Times New Roman"/>
          <w:noProof/>
        </w:rPr>
        <w:drawing>
          <wp:inline distT="0" distB="0" distL="0" distR="0" wp14:anchorId="59A64761" wp14:editId="5B0D430E">
            <wp:extent cx="4275190" cy="2895851"/>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5190" cy="2895851"/>
                    </a:xfrm>
                    <a:prstGeom prst="rect">
                      <a:avLst/>
                    </a:prstGeom>
                  </pic:spPr>
                </pic:pic>
              </a:graphicData>
            </a:graphic>
          </wp:inline>
        </w:drawing>
      </w:r>
    </w:p>
    <w:p w:rsidR="00285D1B" w:rsidRPr="00EC257C" w:rsidRDefault="00677C93" w:rsidP="00EC257C">
      <w:pPr>
        <w:pBdr>
          <w:top w:val="nil"/>
          <w:left w:val="nil"/>
          <w:bottom w:val="nil"/>
          <w:right w:val="nil"/>
          <w:between w:val="nil"/>
          <w:bar w:val="nil"/>
        </w:pBdr>
        <w:spacing w:after="0" w:line="240" w:lineRule="auto"/>
        <w:jc w:val="center"/>
        <w:rPr>
          <w:rFonts w:ascii="Times New Roman" w:eastAsia="Arial Unicode MS" w:hAnsi="Times New Roman"/>
          <w:sz w:val="20"/>
          <w:szCs w:val="24"/>
          <w:bdr w:val="nil"/>
          <w:lang w:eastAsia="en-US"/>
        </w:rPr>
      </w:pPr>
      <w:r w:rsidRPr="00EC257C">
        <w:rPr>
          <w:rFonts w:ascii="Times New Roman" w:eastAsia="Arial Unicode MS" w:hAnsi="Times New Roman"/>
          <w:sz w:val="20"/>
          <w:szCs w:val="24"/>
          <w:bdr w:val="nil"/>
          <w:lang w:eastAsia="en-US"/>
        </w:rPr>
        <w:t>Figura 4</w:t>
      </w:r>
      <w:r w:rsidR="00285D1B" w:rsidRPr="00EC257C">
        <w:rPr>
          <w:rFonts w:ascii="Times New Roman" w:eastAsia="Arial Unicode MS" w:hAnsi="Times New Roman"/>
          <w:sz w:val="20"/>
          <w:szCs w:val="24"/>
          <w:bdr w:val="nil"/>
          <w:lang w:eastAsia="en-US"/>
        </w:rPr>
        <w:t xml:space="preserve"> – </w:t>
      </w:r>
      <w:r w:rsidR="00DF42F4" w:rsidRPr="00EC257C">
        <w:rPr>
          <w:rFonts w:ascii="Times New Roman" w:eastAsia="Arial Unicode MS" w:hAnsi="Times New Roman"/>
          <w:sz w:val="20"/>
          <w:szCs w:val="24"/>
          <w:bdr w:val="nil"/>
          <w:lang w:eastAsia="en-US"/>
        </w:rPr>
        <w:t>Co</w:t>
      </w:r>
      <w:r w:rsidR="00285D1B" w:rsidRPr="00EC257C">
        <w:rPr>
          <w:rFonts w:ascii="Times New Roman" w:eastAsia="Arial Unicode MS" w:hAnsi="Times New Roman"/>
          <w:sz w:val="20"/>
          <w:szCs w:val="24"/>
          <w:bdr w:val="nil"/>
          <w:lang w:eastAsia="en-US"/>
        </w:rPr>
        <w:t>eficiente beta</w:t>
      </w:r>
      <w:r w:rsidR="00DF42F4" w:rsidRPr="00EC257C">
        <w:rPr>
          <w:rFonts w:ascii="Times New Roman" w:eastAsia="Arial Unicode MS" w:hAnsi="Times New Roman"/>
          <w:sz w:val="20"/>
          <w:szCs w:val="24"/>
          <w:bdr w:val="nil"/>
          <w:lang w:eastAsia="en-US"/>
        </w:rPr>
        <w:t xml:space="preserve"> e </w:t>
      </w:r>
      <w:r w:rsidR="00285D1B" w:rsidRPr="00EC257C">
        <w:rPr>
          <w:rFonts w:ascii="Times New Roman" w:eastAsia="Arial Unicode MS" w:hAnsi="Times New Roman"/>
          <w:sz w:val="20"/>
          <w:szCs w:val="24"/>
          <w:bdr w:val="nil"/>
          <w:lang w:eastAsia="en-US"/>
        </w:rPr>
        <w:t xml:space="preserve">tempo de </w:t>
      </w:r>
      <w:r w:rsidR="00DF42F4" w:rsidRPr="00EC257C">
        <w:rPr>
          <w:rFonts w:ascii="Times New Roman" w:eastAsia="Arial Unicode MS" w:hAnsi="Times New Roman"/>
          <w:sz w:val="20"/>
          <w:szCs w:val="24"/>
          <w:bdr w:val="nil"/>
          <w:lang w:eastAsia="en-US"/>
        </w:rPr>
        <w:t xml:space="preserve">atuação profissional na </w:t>
      </w:r>
      <w:r w:rsidR="00285D1B" w:rsidRPr="00EC257C">
        <w:rPr>
          <w:rFonts w:ascii="Times New Roman" w:eastAsia="Arial Unicode MS" w:hAnsi="Times New Roman"/>
          <w:sz w:val="20"/>
          <w:szCs w:val="24"/>
          <w:bdr w:val="nil"/>
          <w:lang w:eastAsia="en-US"/>
        </w:rPr>
        <w:t>mensuração de ativos biológicos</w:t>
      </w:r>
    </w:p>
    <w:p w:rsidR="00184173" w:rsidRPr="000E5487" w:rsidRDefault="00184173" w:rsidP="00B747D7">
      <w:pPr>
        <w:pBdr>
          <w:top w:val="nil"/>
          <w:left w:val="nil"/>
          <w:bottom w:val="nil"/>
          <w:right w:val="nil"/>
          <w:between w:val="nil"/>
          <w:bar w:val="nil"/>
        </w:pBdr>
        <w:spacing w:after="0" w:line="240" w:lineRule="auto"/>
        <w:ind w:firstLine="709"/>
        <w:jc w:val="both"/>
        <w:rPr>
          <w:rFonts w:ascii="Times New Roman" w:eastAsia="Arial Unicode MS" w:hAnsi="Times New Roman"/>
          <w:szCs w:val="24"/>
          <w:bdr w:val="nil"/>
          <w:lang w:eastAsia="en-US"/>
        </w:rPr>
      </w:pPr>
    </w:p>
    <w:p w:rsidR="00285D1B" w:rsidRPr="000E5487" w:rsidRDefault="00285D1B"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Como apresentado na Figura </w:t>
      </w:r>
      <w:r w:rsidR="00677C93">
        <w:rPr>
          <w:rFonts w:ascii="Times New Roman" w:hAnsi="Times New Roman"/>
          <w:noProof/>
          <w:szCs w:val="24"/>
        </w:rPr>
        <w:t>4</w:t>
      </w:r>
      <w:r w:rsidRPr="000E5487">
        <w:rPr>
          <w:rFonts w:ascii="Times New Roman" w:hAnsi="Times New Roman"/>
          <w:noProof/>
          <w:szCs w:val="24"/>
        </w:rPr>
        <w:t>, nota-se que a desalavancagem d</w:t>
      </w:r>
      <w:r w:rsidR="00DF42F4" w:rsidRPr="000E5487">
        <w:rPr>
          <w:rFonts w:ascii="Times New Roman" w:hAnsi="Times New Roman"/>
          <w:noProof/>
          <w:szCs w:val="24"/>
        </w:rPr>
        <w:t xml:space="preserve">o </w:t>
      </w:r>
      <w:r w:rsidRPr="000E5487">
        <w:rPr>
          <w:rFonts w:ascii="Times New Roman" w:hAnsi="Times New Roman"/>
          <w:noProof/>
          <w:szCs w:val="24"/>
        </w:rPr>
        <w:t xml:space="preserve">beta de uma empresa comparável </w:t>
      </w:r>
      <w:r w:rsidR="00DF42F4" w:rsidRPr="000E5487">
        <w:rPr>
          <w:rFonts w:ascii="Times New Roman" w:hAnsi="Times New Roman"/>
          <w:noProof/>
          <w:szCs w:val="24"/>
        </w:rPr>
        <w:t xml:space="preserve">e a consequente alavancagem na empresa onde se mensura o ativo biológico com o objetivo de determinar seu risco sistemático, </w:t>
      </w:r>
      <w:r w:rsidRPr="000E5487">
        <w:rPr>
          <w:rFonts w:ascii="Times New Roman" w:hAnsi="Times New Roman"/>
          <w:noProof/>
          <w:szCs w:val="24"/>
        </w:rPr>
        <w:t xml:space="preserve">é a </w:t>
      </w:r>
      <w:r w:rsidR="00DF42F4" w:rsidRPr="000E5487">
        <w:rPr>
          <w:rFonts w:ascii="Times New Roman" w:hAnsi="Times New Roman"/>
          <w:noProof/>
          <w:szCs w:val="24"/>
        </w:rPr>
        <w:t xml:space="preserve">prática utilizada por 70% dos respondentes </w:t>
      </w:r>
      <w:r w:rsidRPr="000E5487">
        <w:rPr>
          <w:rFonts w:ascii="Times New Roman" w:hAnsi="Times New Roman"/>
          <w:noProof/>
          <w:szCs w:val="24"/>
        </w:rPr>
        <w:t>que possuem de 3 a 4 anos de experiência na mensuração de ativos biológicos</w:t>
      </w:r>
      <w:r w:rsidR="00DF42F4" w:rsidRPr="000E5487">
        <w:rPr>
          <w:rFonts w:ascii="Times New Roman" w:hAnsi="Times New Roman"/>
          <w:noProof/>
          <w:szCs w:val="24"/>
        </w:rPr>
        <w:t xml:space="preserve">. </w:t>
      </w:r>
      <w:r w:rsidRPr="000E5487">
        <w:rPr>
          <w:rFonts w:ascii="Times New Roman" w:hAnsi="Times New Roman"/>
          <w:noProof/>
          <w:szCs w:val="24"/>
        </w:rPr>
        <w:t xml:space="preserve">Por outro lado, </w:t>
      </w:r>
      <w:r w:rsidR="002A22E4" w:rsidRPr="000E5487">
        <w:rPr>
          <w:rFonts w:ascii="Times New Roman" w:hAnsi="Times New Roman"/>
          <w:noProof/>
          <w:szCs w:val="24"/>
        </w:rPr>
        <w:t xml:space="preserve">a </w:t>
      </w:r>
      <w:r w:rsidRPr="000E5487">
        <w:rPr>
          <w:rFonts w:ascii="Times New Roman" w:hAnsi="Times New Roman"/>
          <w:noProof/>
          <w:szCs w:val="24"/>
        </w:rPr>
        <w:t xml:space="preserve"> </w:t>
      </w:r>
      <w:r w:rsidR="002A22E4" w:rsidRPr="000E5487">
        <w:rPr>
          <w:rFonts w:ascii="Times New Roman" w:hAnsi="Times New Roman"/>
          <w:noProof/>
          <w:szCs w:val="24"/>
        </w:rPr>
        <w:t xml:space="preserve">identificação do </w:t>
      </w:r>
      <w:r w:rsidRPr="000E5487">
        <w:rPr>
          <w:rFonts w:ascii="Times New Roman" w:hAnsi="Times New Roman"/>
          <w:noProof/>
          <w:szCs w:val="24"/>
        </w:rPr>
        <w:t xml:space="preserve">coeficiente beta pela regressão dos </w:t>
      </w:r>
      <w:r w:rsidR="008E1ABE" w:rsidRPr="000E5487">
        <w:rPr>
          <w:rFonts w:ascii="Times New Roman" w:hAnsi="Times New Roman"/>
          <w:noProof/>
          <w:szCs w:val="24"/>
        </w:rPr>
        <w:t>r</w:t>
      </w:r>
      <w:r w:rsidRPr="000E5487">
        <w:rPr>
          <w:rFonts w:ascii="Times New Roman" w:hAnsi="Times New Roman"/>
          <w:noProof/>
          <w:szCs w:val="24"/>
        </w:rPr>
        <w:t>etornos da empresa em relação a uma carteira de</w:t>
      </w:r>
      <w:r w:rsidR="008E1ABE" w:rsidRPr="000E5487">
        <w:rPr>
          <w:rFonts w:ascii="Times New Roman" w:hAnsi="Times New Roman"/>
          <w:noProof/>
          <w:szCs w:val="24"/>
        </w:rPr>
        <w:t xml:space="preserve"> mercado</w:t>
      </w:r>
      <w:r w:rsidRPr="000E5487">
        <w:rPr>
          <w:rFonts w:ascii="Times New Roman" w:hAnsi="Times New Roman"/>
          <w:noProof/>
          <w:szCs w:val="24"/>
        </w:rPr>
        <w:t xml:space="preserve"> é o </w:t>
      </w:r>
      <w:r w:rsidR="00DF42F4" w:rsidRPr="000E5487">
        <w:rPr>
          <w:rFonts w:ascii="Times New Roman" w:hAnsi="Times New Roman"/>
          <w:noProof/>
          <w:szCs w:val="24"/>
        </w:rPr>
        <w:t xml:space="preserve">método de cálculo utilizado pela </w:t>
      </w:r>
      <w:r w:rsidRPr="000E5487">
        <w:rPr>
          <w:rFonts w:ascii="Times New Roman" w:hAnsi="Times New Roman"/>
          <w:noProof/>
          <w:szCs w:val="24"/>
        </w:rPr>
        <w:t>maior parte dos profissionais com até 2 anos e com mais de 5 anos de experiência.</w:t>
      </w:r>
    </w:p>
    <w:p w:rsidR="0040384C" w:rsidRDefault="0040384C"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A utilização do risco país na </w:t>
      </w:r>
      <w:r w:rsidR="009C354C" w:rsidRPr="000E5487">
        <w:rPr>
          <w:rFonts w:ascii="Times New Roman" w:hAnsi="Times New Roman"/>
          <w:noProof/>
          <w:szCs w:val="24"/>
        </w:rPr>
        <w:t xml:space="preserve">determinação </w:t>
      </w:r>
      <w:r w:rsidRPr="000E5487">
        <w:rPr>
          <w:rFonts w:ascii="Times New Roman" w:hAnsi="Times New Roman"/>
          <w:noProof/>
          <w:szCs w:val="24"/>
        </w:rPr>
        <w:t xml:space="preserve">da taxa de desconto </w:t>
      </w:r>
      <w:r w:rsidR="00425159" w:rsidRPr="000E5487">
        <w:rPr>
          <w:rFonts w:ascii="Times New Roman" w:hAnsi="Times New Roman"/>
          <w:noProof/>
          <w:szCs w:val="24"/>
        </w:rPr>
        <w:t xml:space="preserve">do fluxo de caixa </w:t>
      </w:r>
      <w:r w:rsidRPr="000E5487">
        <w:rPr>
          <w:rFonts w:ascii="Times New Roman" w:hAnsi="Times New Roman"/>
          <w:noProof/>
          <w:szCs w:val="24"/>
        </w:rPr>
        <w:t xml:space="preserve">está associada </w:t>
      </w:r>
      <w:r w:rsidR="00425159" w:rsidRPr="000E5487">
        <w:rPr>
          <w:rFonts w:ascii="Times New Roman" w:hAnsi="Times New Roman"/>
          <w:noProof/>
          <w:szCs w:val="24"/>
        </w:rPr>
        <w:t xml:space="preserve">à </w:t>
      </w:r>
      <w:r w:rsidRPr="000E5487">
        <w:rPr>
          <w:rFonts w:ascii="Times New Roman" w:hAnsi="Times New Roman"/>
          <w:noProof/>
          <w:szCs w:val="24"/>
        </w:rPr>
        <w:t xml:space="preserve">experiência na mensuração de ativos biológicos, conforme detalhado na Figura </w:t>
      </w:r>
      <w:r w:rsidR="00677C93">
        <w:rPr>
          <w:rFonts w:ascii="Times New Roman" w:hAnsi="Times New Roman"/>
          <w:noProof/>
          <w:szCs w:val="24"/>
        </w:rPr>
        <w:t>5</w:t>
      </w:r>
      <w:r w:rsidRPr="000E5487">
        <w:rPr>
          <w:rFonts w:ascii="Times New Roman" w:hAnsi="Times New Roman"/>
          <w:noProof/>
          <w:szCs w:val="24"/>
        </w:rPr>
        <w:t>.</w:t>
      </w:r>
    </w:p>
    <w:p w:rsidR="00A421FF" w:rsidRPr="000E5487" w:rsidRDefault="00A421FF" w:rsidP="00B747D7">
      <w:pPr>
        <w:spacing w:after="0" w:line="240" w:lineRule="auto"/>
        <w:ind w:firstLine="709"/>
        <w:jc w:val="both"/>
        <w:rPr>
          <w:rFonts w:ascii="Times New Roman" w:hAnsi="Times New Roman"/>
          <w:noProof/>
          <w:szCs w:val="24"/>
        </w:rPr>
      </w:pPr>
    </w:p>
    <w:p w:rsidR="00285D1B" w:rsidRPr="000E5487" w:rsidRDefault="000A1444" w:rsidP="00B747D7">
      <w:pPr>
        <w:pBdr>
          <w:top w:val="nil"/>
          <w:left w:val="nil"/>
          <w:bottom w:val="nil"/>
          <w:right w:val="nil"/>
          <w:between w:val="nil"/>
          <w:bar w:val="nil"/>
        </w:pBdr>
        <w:spacing w:after="0" w:line="240" w:lineRule="auto"/>
        <w:ind w:firstLine="709"/>
        <w:jc w:val="center"/>
        <w:rPr>
          <w:rFonts w:ascii="Times New Roman" w:eastAsia="Arial Unicode MS" w:hAnsi="Times New Roman"/>
          <w:szCs w:val="24"/>
          <w:bdr w:val="nil"/>
        </w:rPr>
      </w:pPr>
      <w:r w:rsidRPr="000E5487">
        <w:rPr>
          <w:rFonts w:ascii="Times New Roman" w:hAnsi="Times New Roman"/>
          <w:noProof/>
        </w:rPr>
        <w:drawing>
          <wp:inline distT="0" distB="0" distL="0" distR="0" wp14:anchorId="26D262BA" wp14:editId="70224FF6">
            <wp:extent cx="3627434" cy="2895851"/>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7434" cy="2895851"/>
                    </a:xfrm>
                    <a:prstGeom prst="rect">
                      <a:avLst/>
                    </a:prstGeom>
                  </pic:spPr>
                </pic:pic>
              </a:graphicData>
            </a:graphic>
          </wp:inline>
        </w:drawing>
      </w:r>
    </w:p>
    <w:p w:rsidR="00285D1B" w:rsidRPr="00A421FF" w:rsidRDefault="00285D1B" w:rsidP="00A421FF">
      <w:pPr>
        <w:pBdr>
          <w:top w:val="nil"/>
          <w:left w:val="nil"/>
          <w:bottom w:val="nil"/>
          <w:right w:val="nil"/>
          <w:between w:val="nil"/>
          <w:bar w:val="nil"/>
        </w:pBdr>
        <w:spacing w:after="0" w:line="240" w:lineRule="auto"/>
        <w:jc w:val="center"/>
        <w:rPr>
          <w:rFonts w:ascii="Times New Roman" w:eastAsia="Arial Unicode MS" w:hAnsi="Times New Roman"/>
          <w:sz w:val="20"/>
          <w:szCs w:val="24"/>
          <w:bdr w:val="nil"/>
          <w:lang w:eastAsia="en-US"/>
        </w:rPr>
      </w:pPr>
      <w:r w:rsidRPr="00A421FF">
        <w:rPr>
          <w:rFonts w:ascii="Times New Roman" w:eastAsia="Arial Unicode MS" w:hAnsi="Times New Roman"/>
          <w:sz w:val="20"/>
          <w:szCs w:val="24"/>
          <w:bdr w:val="nil"/>
          <w:lang w:eastAsia="en-US"/>
        </w:rPr>
        <w:t xml:space="preserve">Figura </w:t>
      </w:r>
      <w:r w:rsidR="00677C93" w:rsidRPr="00A421FF">
        <w:rPr>
          <w:rFonts w:ascii="Times New Roman" w:eastAsia="Arial Unicode MS" w:hAnsi="Times New Roman"/>
          <w:sz w:val="20"/>
          <w:szCs w:val="24"/>
          <w:bdr w:val="nil"/>
          <w:lang w:eastAsia="en-US"/>
        </w:rPr>
        <w:t>5</w:t>
      </w:r>
      <w:r w:rsidRPr="00A421FF">
        <w:rPr>
          <w:rFonts w:ascii="Times New Roman" w:eastAsia="Arial Unicode MS" w:hAnsi="Times New Roman"/>
          <w:sz w:val="20"/>
          <w:szCs w:val="24"/>
          <w:bdr w:val="nil"/>
          <w:lang w:eastAsia="en-US"/>
        </w:rPr>
        <w:t xml:space="preserve"> – </w:t>
      </w:r>
      <w:r w:rsidR="00425159" w:rsidRPr="00A421FF">
        <w:rPr>
          <w:rFonts w:ascii="Times New Roman" w:eastAsia="Arial Unicode MS" w:hAnsi="Times New Roman"/>
          <w:sz w:val="20"/>
          <w:szCs w:val="24"/>
          <w:bdr w:val="nil"/>
          <w:lang w:eastAsia="en-US"/>
        </w:rPr>
        <w:t>R</w:t>
      </w:r>
      <w:r w:rsidRPr="00A421FF">
        <w:rPr>
          <w:rFonts w:ascii="Times New Roman" w:eastAsia="Arial Unicode MS" w:hAnsi="Times New Roman"/>
          <w:sz w:val="20"/>
          <w:szCs w:val="24"/>
          <w:bdr w:val="nil"/>
          <w:lang w:eastAsia="en-US"/>
        </w:rPr>
        <w:t xml:space="preserve">isco país </w:t>
      </w:r>
      <w:r w:rsidR="00425159" w:rsidRPr="00A421FF">
        <w:rPr>
          <w:rFonts w:ascii="Times New Roman" w:eastAsia="Arial Unicode MS" w:hAnsi="Times New Roman"/>
          <w:sz w:val="20"/>
          <w:szCs w:val="24"/>
          <w:bdr w:val="nil"/>
          <w:lang w:eastAsia="en-US"/>
        </w:rPr>
        <w:t xml:space="preserve">e </w:t>
      </w:r>
      <w:r w:rsidRPr="00A421FF">
        <w:rPr>
          <w:rFonts w:ascii="Times New Roman" w:eastAsia="Arial Unicode MS" w:hAnsi="Times New Roman"/>
          <w:sz w:val="20"/>
          <w:szCs w:val="24"/>
          <w:bdr w:val="nil"/>
          <w:lang w:eastAsia="en-US"/>
        </w:rPr>
        <w:t xml:space="preserve">tempo de atuação </w:t>
      </w:r>
      <w:r w:rsidR="00425159" w:rsidRPr="00A421FF">
        <w:rPr>
          <w:rFonts w:ascii="Times New Roman" w:eastAsia="Arial Unicode MS" w:hAnsi="Times New Roman"/>
          <w:sz w:val="20"/>
          <w:szCs w:val="24"/>
          <w:bdr w:val="nil"/>
          <w:lang w:eastAsia="en-US"/>
        </w:rPr>
        <w:t xml:space="preserve">profissional na </w:t>
      </w:r>
      <w:r w:rsidRPr="00A421FF">
        <w:rPr>
          <w:rFonts w:ascii="Times New Roman" w:eastAsia="Arial Unicode MS" w:hAnsi="Times New Roman"/>
          <w:sz w:val="20"/>
          <w:szCs w:val="24"/>
          <w:bdr w:val="nil"/>
          <w:lang w:eastAsia="en-US"/>
        </w:rPr>
        <w:t>mensuração de ativos biológicos</w:t>
      </w:r>
    </w:p>
    <w:p w:rsidR="0028732D" w:rsidRPr="000E5487" w:rsidRDefault="0028732D" w:rsidP="00B747D7">
      <w:pPr>
        <w:spacing w:after="0" w:line="240" w:lineRule="auto"/>
        <w:ind w:firstLine="709"/>
        <w:jc w:val="both"/>
        <w:rPr>
          <w:rFonts w:ascii="Times New Roman" w:hAnsi="Times New Roman"/>
          <w:noProof/>
          <w:szCs w:val="24"/>
        </w:rPr>
      </w:pPr>
    </w:p>
    <w:p w:rsidR="00285D1B" w:rsidRPr="000E5487" w:rsidRDefault="00285D1B"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Pela Figura </w:t>
      </w:r>
      <w:r w:rsidR="00677C93">
        <w:rPr>
          <w:rFonts w:ascii="Times New Roman" w:hAnsi="Times New Roman"/>
          <w:noProof/>
          <w:szCs w:val="24"/>
        </w:rPr>
        <w:t>5</w:t>
      </w:r>
      <w:r w:rsidRPr="000E5487">
        <w:rPr>
          <w:rFonts w:ascii="Times New Roman" w:hAnsi="Times New Roman"/>
          <w:noProof/>
          <w:szCs w:val="24"/>
        </w:rPr>
        <w:t xml:space="preserve">, nota-se que todos os </w:t>
      </w:r>
      <w:r w:rsidR="008738AE" w:rsidRPr="000E5487">
        <w:rPr>
          <w:rFonts w:ascii="Times New Roman" w:hAnsi="Times New Roman"/>
          <w:noProof/>
          <w:szCs w:val="24"/>
        </w:rPr>
        <w:t xml:space="preserve">respondentes </w:t>
      </w:r>
      <w:r w:rsidRPr="000E5487">
        <w:rPr>
          <w:rFonts w:ascii="Times New Roman" w:hAnsi="Times New Roman"/>
          <w:noProof/>
          <w:szCs w:val="24"/>
        </w:rPr>
        <w:t xml:space="preserve">com até 2 anos </w:t>
      </w:r>
      <w:r w:rsidR="000E08D0" w:rsidRPr="000E5487">
        <w:rPr>
          <w:rFonts w:ascii="Times New Roman" w:hAnsi="Times New Roman"/>
          <w:noProof/>
          <w:szCs w:val="24"/>
        </w:rPr>
        <w:t xml:space="preserve">e </w:t>
      </w:r>
      <w:r w:rsidRPr="000E5487">
        <w:rPr>
          <w:rFonts w:ascii="Times New Roman" w:hAnsi="Times New Roman"/>
          <w:noProof/>
          <w:szCs w:val="24"/>
        </w:rPr>
        <w:t xml:space="preserve">mais de 7 anos de atuação </w:t>
      </w:r>
      <w:r w:rsidR="00AC419C" w:rsidRPr="000E5487">
        <w:rPr>
          <w:rFonts w:ascii="Times New Roman" w:hAnsi="Times New Roman"/>
          <w:noProof/>
          <w:szCs w:val="24"/>
        </w:rPr>
        <w:t xml:space="preserve">profissional </w:t>
      </w:r>
      <w:r w:rsidRPr="000E5487">
        <w:rPr>
          <w:rFonts w:ascii="Times New Roman" w:hAnsi="Times New Roman"/>
          <w:noProof/>
          <w:szCs w:val="24"/>
        </w:rPr>
        <w:t>na mensuração dos ativos biológicos</w:t>
      </w:r>
      <w:r w:rsidR="000E08D0" w:rsidRPr="000E5487">
        <w:rPr>
          <w:rFonts w:ascii="Times New Roman" w:hAnsi="Times New Roman"/>
          <w:noProof/>
          <w:szCs w:val="24"/>
        </w:rPr>
        <w:t>,</w:t>
      </w:r>
      <w:r w:rsidRPr="000E5487">
        <w:rPr>
          <w:rFonts w:ascii="Times New Roman" w:hAnsi="Times New Roman"/>
          <w:noProof/>
          <w:szCs w:val="24"/>
        </w:rPr>
        <w:t xml:space="preserve"> não consideram o risco país no cálculo</w:t>
      </w:r>
      <w:r w:rsidR="000E08D0" w:rsidRPr="000E5487">
        <w:rPr>
          <w:rFonts w:ascii="Times New Roman" w:hAnsi="Times New Roman"/>
          <w:noProof/>
          <w:szCs w:val="24"/>
        </w:rPr>
        <w:t xml:space="preserve"> da taxa de desconto que irá atualizar os fluxos de caixa, </w:t>
      </w:r>
      <w:r w:rsidR="008738AE" w:rsidRPr="000E5487">
        <w:rPr>
          <w:rFonts w:ascii="Times New Roman" w:hAnsi="Times New Roman"/>
          <w:noProof/>
          <w:szCs w:val="24"/>
        </w:rPr>
        <w:t xml:space="preserve">como também o mesmo ocorre com </w:t>
      </w:r>
      <w:r w:rsidR="000E08D0" w:rsidRPr="000E5487">
        <w:rPr>
          <w:rFonts w:ascii="Times New Roman" w:hAnsi="Times New Roman"/>
          <w:noProof/>
          <w:szCs w:val="24"/>
        </w:rPr>
        <w:t xml:space="preserve">aproximadamente </w:t>
      </w:r>
      <w:r w:rsidRPr="000E5487">
        <w:rPr>
          <w:rFonts w:ascii="Times New Roman" w:hAnsi="Times New Roman"/>
          <w:noProof/>
          <w:szCs w:val="24"/>
        </w:rPr>
        <w:t xml:space="preserve">90% dos </w:t>
      </w:r>
      <w:r w:rsidR="008738AE" w:rsidRPr="000E5487">
        <w:rPr>
          <w:rFonts w:ascii="Times New Roman" w:hAnsi="Times New Roman"/>
          <w:noProof/>
          <w:szCs w:val="24"/>
        </w:rPr>
        <w:t xml:space="preserve">respondentes </w:t>
      </w:r>
      <w:r w:rsidRPr="000E5487">
        <w:rPr>
          <w:rFonts w:ascii="Times New Roman" w:hAnsi="Times New Roman"/>
          <w:noProof/>
          <w:szCs w:val="24"/>
        </w:rPr>
        <w:t>que possuem entre 5 e 7 anos de experiência</w:t>
      </w:r>
      <w:r w:rsidR="008738AE" w:rsidRPr="000E5487">
        <w:rPr>
          <w:rFonts w:ascii="Times New Roman" w:hAnsi="Times New Roman"/>
          <w:noProof/>
          <w:szCs w:val="24"/>
        </w:rPr>
        <w:t xml:space="preserve"> na mensuração dos ativos biológico. O risco </w:t>
      </w:r>
      <w:r w:rsidRPr="000E5487">
        <w:rPr>
          <w:rFonts w:ascii="Times New Roman" w:hAnsi="Times New Roman"/>
          <w:noProof/>
          <w:szCs w:val="24"/>
        </w:rPr>
        <w:t>país é mais freq</w:t>
      </w:r>
      <w:r w:rsidR="008738AE" w:rsidRPr="000E5487">
        <w:rPr>
          <w:rFonts w:ascii="Times New Roman" w:hAnsi="Times New Roman"/>
          <w:noProof/>
          <w:szCs w:val="24"/>
        </w:rPr>
        <w:t>u</w:t>
      </w:r>
      <w:r w:rsidRPr="000E5487">
        <w:rPr>
          <w:rFonts w:ascii="Times New Roman" w:hAnsi="Times New Roman"/>
          <w:noProof/>
          <w:szCs w:val="24"/>
        </w:rPr>
        <w:t xml:space="preserve">entemente utilizado entre </w:t>
      </w:r>
      <w:r w:rsidR="008738AE" w:rsidRPr="000E5487">
        <w:rPr>
          <w:rFonts w:ascii="Times New Roman" w:hAnsi="Times New Roman"/>
          <w:noProof/>
          <w:szCs w:val="24"/>
        </w:rPr>
        <w:t xml:space="preserve">os respondentes que possuem entre </w:t>
      </w:r>
      <w:r w:rsidRPr="000E5487">
        <w:rPr>
          <w:rFonts w:ascii="Times New Roman" w:hAnsi="Times New Roman"/>
          <w:noProof/>
          <w:szCs w:val="24"/>
        </w:rPr>
        <w:t>3 a 4 anos de experiência</w:t>
      </w:r>
      <w:r w:rsidR="008738AE" w:rsidRPr="000E5487">
        <w:rPr>
          <w:rFonts w:ascii="Times New Roman" w:hAnsi="Times New Roman"/>
          <w:noProof/>
          <w:szCs w:val="24"/>
        </w:rPr>
        <w:t xml:space="preserve"> profissional.</w:t>
      </w:r>
    </w:p>
    <w:p w:rsidR="0040384C" w:rsidRPr="000E5487" w:rsidRDefault="0040384C" w:rsidP="00B747D7">
      <w:pPr>
        <w:spacing w:after="0" w:line="240" w:lineRule="auto"/>
        <w:ind w:firstLine="709"/>
        <w:jc w:val="both"/>
        <w:rPr>
          <w:rFonts w:ascii="Times New Roman" w:hAnsi="Times New Roman"/>
          <w:noProof/>
          <w:szCs w:val="24"/>
        </w:rPr>
      </w:pPr>
      <w:r w:rsidRPr="000E5487">
        <w:rPr>
          <w:rFonts w:ascii="Times New Roman" w:eastAsia="Arial Unicode MS" w:hAnsi="Times New Roman"/>
          <w:szCs w:val="24"/>
          <w:bdr w:val="nil"/>
          <w:lang w:eastAsia="en-US"/>
        </w:rPr>
        <w:t xml:space="preserve">A definição do horizonte de projeção dos fluxos de caixa também está associado ao tempo de atuação na mensuração de ativos biológicos dos profissionais contábeis responsáveis pela avaliação. O detalhamento dessa associação é apresentado na Figura </w:t>
      </w:r>
      <w:r w:rsidR="00677C93">
        <w:rPr>
          <w:rFonts w:ascii="Times New Roman" w:eastAsia="Arial Unicode MS" w:hAnsi="Times New Roman"/>
          <w:szCs w:val="24"/>
          <w:bdr w:val="nil"/>
          <w:lang w:eastAsia="en-US"/>
        </w:rPr>
        <w:t>6</w:t>
      </w:r>
      <w:r w:rsidRPr="000E5487">
        <w:rPr>
          <w:rFonts w:ascii="Times New Roman" w:eastAsia="Arial Unicode MS" w:hAnsi="Times New Roman"/>
          <w:szCs w:val="24"/>
          <w:bdr w:val="nil"/>
          <w:lang w:eastAsia="en-US"/>
        </w:rPr>
        <w:t>.</w:t>
      </w:r>
    </w:p>
    <w:p w:rsidR="00285D1B" w:rsidRPr="000E5487" w:rsidRDefault="000A1444" w:rsidP="00B747D7">
      <w:pPr>
        <w:pBdr>
          <w:top w:val="nil"/>
          <w:left w:val="nil"/>
          <w:bottom w:val="nil"/>
          <w:right w:val="nil"/>
          <w:between w:val="nil"/>
          <w:bar w:val="nil"/>
        </w:pBdr>
        <w:spacing w:after="0" w:line="240" w:lineRule="auto"/>
        <w:ind w:firstLine="709"/>
        <w:jc w:val="center"/>
        <w:rPr>
          <w:rFonts w:ascii="Times New Roman" w:eastAsia="Arial Unicode MS" w:hAnsi="Times New Roman"/>
          <w:szCs w:val="24"/>
          <w:bdr w:val="nil"/>
        </w:rPr>
      </w:pPr>
      <w:r w:rsidRPr="000E5487">
        <w:rPr>
          <w:rFonts w:ascii="Times New Roman" w:hAnsi="Times New Roman"/>
          <w:noProof/>
        </w:rPr>
        <w:drawing>
          <wp:inline distT="0" distB="0" distL="0" distR="0" wp14:anchorId="6F627AC3" wp14:editId="300C8859">
            <wp:extent cx="4107536" cy="2895851"/>
            <wp:effectExtent l="0" t="0" r="762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7536" cy="2895851"/>
                    </a:xfrm>
                    <a:prstGeom prst="rect">
                      <a:avLst/>
                    </a:prstGeom>
                  </pic:spPr>
                </pic:pic>
              </a:graphicData>
            </a:graphic>
          </wp:inline>
        </w:drawing>
      </w:r>
    </w:p>
    <w:p w:rsidR="00285D1B" w:rsidRPr="002317A4" w:rsidRDefault="00374AD9" w:rsidP="002317A4">
      <w:pPr>
        <w:pBdr>
          <w:top w:val="nil"/>
          <w:left w:val="nil"/>
          <w:bottom w:val="nil"/>
          <w:right w:val="nil"/>
          <w:between w:val="nil"/>
          <w:bar w:val="nil"/>
        </w:pBdr>
        <w:spacing w:after="0" w:line="240" w:lineRule="auto"/>
        <w:jc w:val="center"/>
        <w:rPr>
          <w:rFonts w:ascii="Times New Roman" w:eastAsia="Arial Unicode MS" w:hAnsi="Times New Roman"/>
          <w:sz w:val="20"/>
          <w:szCs w:val="24"/>
          <w:bdr w:val="nil"/>
          <w:lang w:eastAsia="en-US"/>
        </w:rPr>
      </w:pPr>
      <w:r w:rsidRPr="002317A4">
        <w:rPr>
          <w:rFonts w:ascii="Times New Roman" w:eastAsia="Arial Unicode MS" w:hAnsi="Times New Roman"/>
          <w:sz w:val="20"/>
          <w:szCs w:val="24"/>
          <w:bdr w:val="nil"/>
          <w:lang w:eastAsia="en-US"/>
        </w:rPr>
        <w:t xml:space="preserve">Figura </w:t>
      </w:r>
      <w:r w:rsidR="00677C93" w:rsidRPr="002317A4">
        <w:rPr>
          <w:rFonts w:ascii="Times New Roman" w:eastAsia="Arial Unicode MS" w:hAnsi="Times New Roman"/>
          <w:sz w:val="20"/>
          <w:szCs w:val="24"/>
          <w:bdr w:val="nil"/>
          <w:lang w:eastAsia="en-US"/>
        </w:rPr>
        <w:t>6</w:t>
      </w:r>
      <w:r w:rsidR="00285D1B" w:rsidRPr="002317A4">
        <w:rPr>
          <w:rFonts w:ascii="Times New Roman" w:eastAsia="Arial Unicode MS" w:hAnsi="Times New Roman"/>
          <w:sz w:val="20"/>
          <w:szCs w:val="24"/>
          <w:bdr w:val="nil"/>
          <w:lang w:eastAsia="en-US"/>
        </w:rPr>
        <w:t xml:space="preserve"> – </w:t>
      </w:r>
      <w:r w:rsidR="00327C17" w:rsidRPr="002317A4">
        <w:rPr>
          <w:rFonts w:ascii="Times New Roman" w:eastAsia="Arial Unicode MS" w:hAnsi="Times New Roman"/>
          <w:sz w:val="20"/>
          <w:szCs w:val="24"/>
          <w:bdr w:val="nil"/>
          <w:lang w:eastAsia="en-US"/>
        </w:rPr>
        <w:t>Ho</w:t>
      </w:r>
      <w:r w:rsidR="00285D1B" w:rsidRPr="002317A4">
        <w:rPr>
          <w:rFonts w:ascii="Times New Roman" w:eastAsia="Arial Unicode MS" w:hAnsi="Times New Roman"/>
          <w:sz w:val="20"/>
          <w:szCs w:val="24"/>
          <w:bdr w:val="nil"/>
          <w:lang w:eastAsia="en-US"/>
        </w:rPr>
        <w:t xml:space="preserve">rizonte de </w:t>
      </w:r>
      <w:r w:rsidR="00327C17" w:rsidRPr="002317A4">
        <w:rPr>
          <w:rFonts w:ascii="Times New Roman" w:eastAsia="Arial Unicode MS" w:hAnsi="Times New Roman"/>
          <w:sz w:val="20"/>
          <w:szCs w:val="24"/>
          <w:bdr w:val="nil"/>
          <w:lang w:eastAsia="en-US"/>
        </w:rPr>
        <w:t xml:space="preserve">projeção </w:t>
      </w:r>
      <w:r w:rsidR="00285D1B" w:rsidRPr="002317A4">
        <w:rPr>
          <w:rFonts w:ascii="Times New Roman" w:eastAsia="Arial Unicode MS" w:hAnsi="Times New Roman"/>
          <w:sz w:val="20"/>
          <w:szCs w:val="24"/>
          <w:bdr w:val="nil"/>
          <w:lang w:eastAsia="en-US"/>
        </w:rPr>
        <w:t>do fluxo de caixa</w:t>
      </w:r>
      <w:r w:rsidR="00327C17" w:rsidRPr="002317A4">
        <w:rPr>
          <w:rFonts w:ascii="Times New Roman" w:eastAsia="Arial Unicode MS" w:hAnsi="Times New Roman"/>
          <w:sz w:val="20"/>
          <w:szCs w:val="24"/>
          <w:bdr w:val="nil"/>
          <w:lang w:eastAsia="en-US"/>
        </w:rPr>
        <w:t xml:space="preserve"> e </w:t>
      </w:r>
      <w:r w:rsidR="00285D1B" w:rsidRPr="002317A4">
        <w:rPr>
          <w:rFonts w:ascii="Times New Roman" w:eastAsia="Arial Unicode MS" w:hAnsi="Times New Roman"/>
          <w:sz w:val="20"/>
          <w:szCs w:val="24"/>
          <w:bdr w:val="nil"/>
          <w:lang w:eastAsia="en-US"/>
        </w:rPr>
        <w:t xml:space="preserve">tempo de atuação </w:t>
      </w:r>
      <w:r w:rsidR="00327C17" w:rsidRPr="002317A4">
        <w:rPr>
          <w:rFonts w:ascii="Times New Roman" w:eastAsia="Arial Unicode MS" w:hAnsi="Times New Roman"/>
          <w:sz w:val="20"/>
          <w:szCs w:val="24"/>
          <w:bdr w:val="nil"/>
          <w:lang w:eastAsia="en-US"/>
        </w:rPr>
        <w:t xml:space="preserve">profissional </w:t>
      </w:r>
      <w:r w:rsidR="00285D1B" w:rsidRPr="002317A4">
        <w:rPr>
          <w:rFonts w:ascii="Times New Roman" w:eastAsia="Arial Unicode MS" w:hAnsi="Times New Roman"/>
          <w:sz w:val="20"/>
          <w:szCs w:val="24"/>
          <w:bdr w:val="nil"/>
          <w:lang w:eastAsia="en-US"/>
        </w:rPr>
        <w:t>na mensuração de ativos biológicos</w:t>
      </w:r>
    </w:p>
    <w:p w:rsidR="00C65B7B" w:rsidRPr="000E5487" w:rsidRDefault="00C65B7B" w:rsidP="00B747D7">
      <w:pPr>
        <w:pBdr>
          <w:top w:val="nil"/>
          <w:left w:val="nil"/>
          <w:bottom w:val="nil"/>
          <w:right w:val="nil"/>
          <w:between w:val="nil"/>
          <w:bar w:val="nil"/>
        </w:pBdr>
        <w:spacing w:after="0" w:line="240" w:lineRule="auto"/>
        <w:ind w:firstLine="709"/>
        <w:rPr>
          <w:rFonts w:ascii="Times New Roman" w:eastAsia="Arial Unicode MS" w:hAnsi="Times New Roman"/>
          <w:szCs w:val="24"/>
          <w:bdr w:val="nil"/>
          <w:lang w:eastAsia="en-US"/>
        </w:rPr>
      </w:pPr>
    </w:p>
    <w:p w:rsidR="00285D1B" w:rsidRPr="000E5487" w:rsidRDefault="00285D1B" w:rsidP="00B747D7">
      <w:pPr>
        <w:spacing w:after="0" w:line="240" w:lineRule="auto"/>
        <w:ind w:firstLine="709"/>
        <w:jc w:val="both"/>
        <w:rPr>
          <w:rFonts w:ascii="Times New Roman" w:hAnsi="Times New Roman"/>
          <w:noProof/>
          <w:szCs w:val="24"/>
        </w:rPr>
      </w:pPr>
      <w:r w:rsidRPr="000E5487">
        <w:rPr>
          <w:rFonts w:ascii="Times New Roman" w:hAnsi="Times New Roman"/>
          <w:noProof/>
          <w:szCs w:val="24"/>
        </w:rPr>
        <w:t xml:space="preserve">Em relação ao modo como é definido o horizonte de </w:t>
      </w:r>
      <w:r w:rsidR="00327C17" w:rsidRPr="000E5487">
        <w:rPr>
          <w:rFonts w:ascii="Times New Roman" w:hAnsi="Times New Roman"/>
          <w:noProof/>
          <w:szCs w:val="24"/>
        </w:rPr>
        <w:t xml:space="preserve">projeção </w:t>
      </w:r>
      <w:r w:rsidRPr="000E5487">
        <w:rPr>
          <w:rFonts w:ascii="Times New Roman" w:hAnsi="Times New Roman"/>
          <w:noProof/>
          <w:szCs w:val="24"/>
        </w:rPr>
        <w:t xml:space="preserve">fluxo de caixa, vê-se na Figura </w:t>
      </w:r>
      <w:r w:rsidR="00677C93">
        <w:rPr>
          <w:rFonts w:ascii="Times New Roman" w:hAnsi="Times New Roman"/>
          <w:noProof/>
          <w:szCs w:val="24"/>
        </w:rPr>
        <w:t>6</w:t>
      </w:r>
      <w:r w:rsidRPr="000E5487">
        <w:rPr>
          <w:rFonts w:ascii="Times New Roman" w:hAnsi="Times New Roman"/>
          <w:noProof/>
          <w:szCs w:val="24"/>
        </w:rPr>
        <w:t xml:space="preserve"> que apenas dois terços dos </w:t>
      </w:r>
      <w:r w:rsidR="00327C17" w:rsidRPr="000E5487">
        <w:rPr>
          <w:rFonts w:ascii="Times New Roman" w:hAnsi="Times New Roman"/>
          <w:noProof/>
          <w:szCs w:val="24"/>
        </w:rPr>
        <w:t>respondentes</w:t>
      </w:r>
      <w:r w:rsidR="00280AD9" w:rsidRPr="000E5487">
        <w:rPr>
          <w:rFonts w:ascii="Times New Roman" w:hAnsi="Times New Roman"/>
          <w:noProof/>
          <w:szCs w:val="24"/>
        </w:rPr>
        <w:t>,</w:t>
      </w:r>
      <w:r w:rsidR="00327C17" w:rsidRPr="000E5487">
        <w:rPr>
          <w:rFonts w:ascii="Times New Roman" w:hAnsi="Times New Roman"/>
          <w:noProof/>
          <w:szCs w:val="24"/>
        </w:rPr>
        <w:t xml:space="preserve"> </w:t>
      </w:r>
      <w:r w:rsidRPr="000E5487">
        <w:rPr>
          <w:rFonts w:ascii="Times New Roman" w:hAnsi="Times New Roman"/>
          <w:noProof/>
          <w:szCs w:val="24"/>
        </w:rPr>
        <w:t>com até dois anos de experiência na mensuração de ativos biológicos</w:t>
      </w:r>
      <w:r w:rsidR="00280AD9" w:rsidRPr="000E5487">
        <w:rPr>
          <w:rFonts w:ascii="Times New Roman" w:hAnsi="Times New Roman"/>
          <w:noProof/>
          <w:szCs w:val="24"/>
        </w:rPr>
        <w:t>,</w:t>
      </w:r>
      <w:r w:rsidRPr="000E5487">
        <w:rPr>
          <w:rFonts w:ascii="Times New Roman" w:hAnsi="Times New Roman"/>
          <w:noProof/>
          <w:szCs w:val="24"/>
        </w:rPr>
        <w:t xml:space="preserve"> utiliza o tempo para plantio, desenvolvimento e colheita estimado, enquando todos os </w:t>
      </w:r>
      <w:r w:rsidR="00327C17" w:rsidRPr="000E5487">
        <w:rPr>
          <w:rFonts w:ascii="Times New Roman" w:hAnsi="Times New Roman"/>
          <w:noProof/>
          <w:szCs w:val="24"/>
        </w:rPr>
        <w:t xml:space="preserve">respondentes </w:t>
      </w:r>
      <w:r w:rsidRPr="000E5487">
        <w:rPr>
          <w:rFonts w:ascii="Times New Roman" w:hAnsi="Times New Roman"/>
          <w:noProof/>
          <w:szCs w:val="24"/>
        </w:rPr>
        <w:t xml:space="preserve">com mais de </w:t>
      </w:r>
      <w:r w:rsidR="00280AD9" w:rsidRPr="000E5487">
        <w:rPr>
          <w:rFonts w:ascii="Times New Roman" w:hAnsi="Times New Roman"/>
          <w:noProof/>
          <w:szCs w:val="24"/>
        </w:rPr>
        <w:t xml:space="preserve">dois </w:t>
      </w:r>
      <w:r w:rsidRPr="000E5487">
        <w:rPr>
          <w:rFonts w:ascii="Times New Roman" w:hAnsi="Times New Roman"/>
          <w:noProof/>
          <w:szCs w:val="24"/>
        </w:rPr>
        <w:t>anos de experiência utiliza a média histórica do tempo de vida da planta.</w:t>
      </w:r>
    </w:p>
    <w:p w:rsidR="00A64F4A" w:rsidRDefault="00DE7B6A" w:rsidP="00B747D7">
      <w:pPr>
        <w:spacing w:after="0" w:line="240" w:lineRule="auto"/>
        <w:ind w:firstLine="709"/>
        <w:jc w:val="both"/>
        <w:rPr>
          <w:rFonts w:ascii="Times New Roman" w:hAnsi="Times New Roman"/>
          <w:noProof/>
          <w:szCs w:val="24"/>
        </w:rPr>
      </w:pPr>
      <w:r>
        <w:rPr>
          <w:rFonts w:ascii="Times New Roman" w:hAnsi="Times New Roman"/>
          <w:noProof/>
          <w:szCs w:val="24"/>
        </w:rPr>
        <w:t>Os</w:t>
      </w:r>
      <w:r w:rsidR="007609EB" w:rsidRPr="000E5487">
        <w:rPr>
          <w:rFonts w:ascii="Times New Roman" w:hAnsi="Times New Roman"/>
          <w:noProof/>
          <w:szCs w:val="24"/>
        </w:rPr>
        <w:t xml:space="preserve"> resultado</w:t>
      </w:r>
      <w:r>
        <w:rPr>
          <w:rFonts w:ascii="Times New Roman" w:hAnsi="Times New Roman"/>
          <w:noProof/>
          <w:szCs w:val="24"/>
        </w:rPr>
        <w:t>s aqui apresentados</w:t>
      </w:r>
      <w:r w:rsidR="007609EB" w:rsidRPr="000E5487">
        <w:rPr>
          <w:rFonts w:ascii="Times New Roman" w:hAnsi="Times New Roman"/>
          <w:noProof/>
          <w:szCs w:val="24"/>
        </w:rPr>
        <w:t xml:space="preserve"> demonstra</w:t>
      </w:r>
      <w:r>
        <w:rPr>
          <w:rFonts w:ascii="Times New Roman" w:hAnsi="Times New Roman"/>
          <w:noProof/>
          <w:szCs w:val="24"/>
        </w:rPr>
        <w:t>m</w:t>
      </w:r>
      <w:r w:rsidR="007609EB" w:rsidRPr="000E5487">
        <w:rPr>
          <w:rFonts w:ascii="Times New Roman" w:hAnsi="Times New Roman"/>
          <w:noProof/>
          <w:szCs w:val="24"/>
        </w:rPr>
        <w:t xml:space="preserve"> que a experiência do profissional contábil na mensuração de ativos biológicos </w:t>
      </w:r>
      <w:r w:rsidR="00FF1245" w:rsidRPr="000E5487">
        <w:rPr>
          <w:rFonts w:ascii="Times New Roman" w:hAnsi="Times New Roman"/>
          <w:noProof/>
          <w:szCs w:val="24"/>
        </w:rPr>
        <w:t>pode explicar</w:t>
      </w:r>
      <w:r w:rsidR="007609EB" w:rsidRPr="000E5487">
        <w:rPr>
          <w:rFonts w:ascii="Times New Roman" w:hAnsi="Times New Roman"/>
          <w:noProof/>
          <w:szCs w:val="24"/>
        </w:rPr>
        <w:t xml:space="preserve"> as suas escolhas contábeis, </w:t>
      </w:r>
      <w:r w:rsidR="00FF1245" w:rsidRPr="000E5487">
        <w:rPr>
          <w:rFonts w:ascii="Times New Roman" w:hAnsi="Times New Roman"/>
          <w:noProof/>
          <w:szCs w:val="24"/>
        </w:rPr>
        <w:t xml:space="preserve">ou seja, profissionais com mais experiência em aplicar </w:t>
      </w:r>
      <w:r w:rsidR="00FE2393">
        <w:rPr>
          <w:rFonts w:ascii="Times New Roman" w:hAnsi="Times New Roman"/>
          <w:noProof/>
          <w:szCs w:val="24"/>
        </w:rPr>
        <w:t>a IAS 41</w:t>
      </w:r>
      <w:r w:rsidR="00FF1245" w:rsidRPr="000E5487">
        <w:rPr>
          <w:rFonts w:ascii="Times New Roman" w:hAnsi="Times New Roman"/>
          <w:noProof/>
          <w:szCs w:val="24"/>
        </w:rPr>
        <w:t xml:space="preserve"> fazem escolhas diferentes, </w:t>
      </w:r>
      <w:r w:rsidR="007609EB" w:rsidRPr="000E5487">
        <w:rPr>
          <w:rFonts w:ascii="Times New Roman" w:hAnsi="Times New Roman"/>
          <w:noProof/>
          <w:szCs w:val="24"/>
        </w:rPr>
        <w:t>o que implica em diferenças no valor do ativo e</w:t>
      </w:r>
      <w:r w:rsidR="002C5864" w:rsidRPr="000E5487">
        <w:rPr>
          <w:rFonts w:ascii="Times New Roman" w:hAnsi="Times New Roman"/>
          <w:noProof/>
          <w:szCs w:val="24"/>
        </w:rPr>
        <w:t>,</w:t>
      </w:r>
      <w:r w:rsidR="007609EB" w:rsidRPr="000E5487">
        <w:rPr>
          <w:rFonts w:ascii="Times New Roman" w:hAnsi="Times New Roman"/>
          <w:noProof/>
          <w:szCs w:val="24"/>
        </w:rPr>
        <w:t xml:space="preserve"> consequentemente no patrimônio da entidade.</w:t>
      </w:r>
      <w:r w:rsidR="008E1ABE" w:rsidRPr="000E5487">
        <w:rPr>
          <w:rFonts w:ascii="Times New Roman" w:hAnsi="Times New Roman"/>
          <w:noProof/>
          <w:szCs w:val="24"/>
        </w:rPr>
        <w:t xml:space="preserve"> Um exemplo dessas escolhas é o uso do </w:t>
      </w:r>
      <w:r w:rsidR="004850BD">
        <w:rPr>
          <w:rFonts w:ascii="Times New Roman" w:hAnsi="Times New Roman"/>
          <w:noProof/>
          <w:szCs w:val="24"/>
        </w:rPr>
        <w:t>WACC</w:t>
      </w:r>
      <w:r w:rsidR="008E1ABE" w:rsidRPr="000E5487">
        <w:rPr>
          <w:rFonts w:ascii="Times New Roman" w:hAnsi="Times New Roman"/>
          <w:noProof/>
          <w:szCs w:val="24"/>
        </w:rPr>
        <w:t xml:space="preserve"> e da regressão dos retornos da empresa em relação a uma carteira de mercado</w:t>
      </w:r>
      <w:r w:rsidR="004A159D" w:rsidRPr="000E5487">
        <w:rPr>
          <w:rFonts w:ascii="Times New Roman" w:hAnsi="Times New Roman"/>
          <w:noProof/>
          <w:szCs w:val="24"/>
        </w:rPr>
        <w:t xml:space="preserve"> na determinação da taxa de desconto do fluxo de caixa projetado, </w:t>
      </w:r>
      <w:r w:rsidR="008E1ABE" w:rsidRPr="000E5487">
        <w:rPr>
          <w:rFonts w:ascii="Times New Roman" w:hAnsi="Times New Roman"/>
          <w:noProof/>
          <w:szCs w:val="24"/>
        </w:rPr>
        <w:t>pelos profissionais com mais de cinco anos de experiência</w:t>
      </w:r>
      <w:r w:rsidR="004A159D" w:rsidRPr="000E5487">
        <w:rPr>
          <w:rFonts w:ascii="Times New Roman" w:hAnsi="Times New Roman"/>
          <w:noProof/>
          <w:szCs w:val="24"/>
        </w:rPr>
        <w:t>.</w:t>
      </w:r>
    </w:p>
    <w:p w:rsidR="00D95D87" w:rsidRDefault="00FF2DB1" w:rsidP="00B747D7">
      <w:pPr>
        <w:spacing w:after="0" w:line="240" w:lineRule="auto"/>
        <w:ind w:firstLine="709"/>
        <w:jc w:val="both"/>
        <w:rPr>
          <w:rFonts w:ascii="Times New Roman" w:eastAsia="Calibri" w:hAnsi="Times New Roman"/>
          <w:color w:val="000000"/>
          <w:szCs w:val="24"/>
          <w:lang w:eastAsia="en-US"/>
        </w:rPr>
      </w:pPr>
      <w:r>
        <w:rPr>
          <w:rFonts w:ascii="Times New Roman" w:hAnsi="Times New Roman"/>
          <w:noProof/>
          <w:szCs w:val="24"/>
        </w:rPr>
        <w:t>Esses achados contribuem para o debate das escolhas contábeis, no sentido de que a avaliação de ativos biológicos está associada não só ao perfil corporativo das organizações</w:t>
      </w:r>
      <w:r w:rsidR="00600FCC">
        <w:rPr>
          <w:rFonts w:ascii="Times New Roman" w:hAnsi="Times New Roman"/>
          <w:noProof/>
          <w:szCs w:val="24"/>
        </w:rPr>
        <w:t>,</w:t>
      </w:r>
      <w:r>
        <w:rPr>
          <w:rFonts w:ascii="Times New Roman" w:hAnsi="Times New Roman"/>
          <w:noProof/>
          <w:szCs w:val="24"/>
        </w:rPr>
        <w:t xml:space="preserve"> mas também aos profissionais contábeis responsáveis por tomar decisões técnicas que influenciam no valor final do ativo avaliado. Essa associação corrobora e amplia a discussão levantada por </w:t>
      </w:r>
      <w:r w:rsidR="000645A6">
        <w:rPr>
          <w:rFonts w:ascii="Times New Roman" w:hAnsi="Times New Roman"/>
          <w:noProof/>
          <w:szCs w:val="24"/>
        </w:rPr>
        <w:fldChar w:fldCharType="begin" w:fldLock="1"/>
      </w:r>
      <w:r w:rsidR="000645A6">
        <w:rPr>
          <w:rFonts w:ascii="Times New Roman" w:hAnsi="Times New Roman"/>
          <w:noProof/>
          <w:szCs w:val="24"/>
        </w:rPr>
        <w:instrText>ADDIN CSL_CITATION {"citationItems":[{"id":"ITEM-1","itemData":{"DOI":"10.1080/09638180.2010.496547","ISBN":"0963-8180","ISSN":"09638180","abstract":"The IFRS mandatory adoption in European countries is an excellent\\ncontext from which to assess the validity of accounting choice theory,\\nwhich postulates that information asymmetry, contractual efficiency\\n(agency costs) and managerial opportunism reasons could drive the\\nchoice. With this aim, we test the impact of these factors to explain\\nthe adoption of fair value for investment properties (IAS 40) in the\\nreal estate industry, taking into account the `revaluation' option\\noffered by IFRS1 and using historical cost without revaluations as a\\nbaseline category for comparison purposes. We select a sample of\\nEuropean real estate companies from Finland, France, Germany, Greece,\\nItaly, Spain and Sweden, all first-time adopters of the IFRS. Using a\\nmultinomial logistic model, we show that information asymmetry,\\ncontractual efficiency and managerial opportunism could account for the\\nfair value choice. Particularly, the most significant findings are that\\nsize as a proxy of political costs reduces the likelihood of using fair\\nvalue while market-to-book ratio is negatively associated with the fair\\nvalue choice. On the other hand, leverage, another typical proxy of\\ncontracting costs, seems not to influence the choice. This evidence\\nconfirms the current validity of traditional accounting choice theory\\neven if it reveals, in such a context, the irrelevance of the usual\\nrelations between accounting choice and leverage.","author":[{"dropping-particle":"","family":"Quagli","given":"A.","non-dropping-particle":"","parse-names":false,"suffix":""},{"dropping-particle":"","family":"Avallone","given":"F.","non-dropping-particle":"","parse-names":false,"suffix":""}],"container-title":"European Accounting Review","id":"ITEM-1","issue":"3","issued":{"date-parts":[["2010"]]},"page":"461-493","title":"Fair value or cost model? Drivers of choice for IAS 40 in the real estate industry","type":"article-journal","volume":"19"},"uris":["http://www.mendeley.com/documents/?uuid=7c29e25a-5a43-45b6-91c2-d5a79b044963"]}],"mendeley":{"formattedCitation":"(QUAGLI; AVALLONE, 2010)","manualFormatting":"Quagli e Avallone (2010)","plainTextFormattedCitation":"(QUAGLI; AVALLONE, 2010)","previouslyFormattedCitation":"(QUAGLI; AVALLONE, 2010)"},"properties":{"noteIndex":0},"schema":"https://github.com/citation-style-language/schema/raw/master/csl-citation.json"}</w:instrText>
      </w:r>
      <w:r w:rsidR="000645A6">
        <w:rPr>
          <w:rFonts w:ascii="Times New Roman" w:hAnsi="Times New Roman"/>
          <w:noProof/>
          <w:szCs w:val="24"/>
        </w:rPr>
        <w:fldChar w:fldCharType="separate"/>
      </w:r>
      <w:r w:rsidR="000645A6" w:rsidRPr="000645A6">
        <w:rPr>
          <w:rFonts w:ascii="Times New Roman" w:hAnsi="Times New Roman"/>
          <w:noProof/>
          <w:szCs w:val="24"/>
        </w:rPr>
        <w:t>Q</w:t>
      </w:r>
      <w:r w:rsidR="000645A6">
        <w:rPr>
          <w:rFonts w:ascii="Times New Roman" w:hAnsi="Times New Roman"/>
          <w:noProof/>
          <w:szCs w:val="24"/>
        </w:rPr>
        <w:t>uagli e</w:t>
      </w:r>
      <w:r w:rsidR="000645A6" w:rsidRPr="000645A6">
        <w:rPr>
          <w:rFonts w:ascii="Times New Roman" w:hAnsi="Times New Roman"/>
          <w:noProof/>
          <w:szCs w:val="24"/>
        </w:rPr>
        <w:t xml:space="preserve"> Avallone </w:t>
      </w:r>
      <w:r w:rsidR="000645A6">
        <w:rPr>
          <w:rFonts w:ascii="Times New Roman" w:hAnsi="Times New Roman"/>
          <w:noProof/>
          <w:szCs w:val="24"/>
        </w:rPr>
        <w:t>(</w:t>
      </w:r>
      <w:r w:rsidR="000645A6" w:rsidRPr="000645A6">
        <w:rPr>
          <w:rFonts w:ascii="Times New Roman" w:hAnsi="Times New Roman"/>
          <w:noProof/>
          <w:szCs w:val="24"/>
        </w:rPr>
        <w:t>2010)</w:t>
      </w:r>
      <w:r w:rsidR="000645A6">
        <w:rPr>
          <w:rFonts w:ascii="Times New Roman" w:hAnsi="Times New Roman"/>
          <w:noProof/>
          <w:szCs w:val="24"/>
        </w:rPr>
        <w:fldChar w:fldCharType="end"/>
      </w:r>
      <w:r>
        <w:rPr>
          <w:rFonts w:ascii="Times New Roman" w:eastAsia="Calibri" w:hAnsi="Times New Roman"/>
          <w:color w:val="000000"/>
          <w:szCs w:val="24"/>
          <w:lang w:eastAsia="en-US"/>
        </w:rPr>
        <w:t xml:space="preserve"> no sentido de </w:t>
      </w:r>
      <w:r w:rsidRPr="000E5487">
        <w:rPr>
          <w:rFonts w:ascii="Times New Roman" w:eastAsia="Calibri" w:hAnsi="Times New Roman"/>
          <w:color w:val="000000"/>
          <w:szCs w:val="24"/>
          <w:lang w:eastAsia="en-US"/>
        </w:rPr>
        <w:t>que</w:t>
      </w:r>
      <w:r>
        <w:rPr>
          <w:rFonts w:ascii="Times New Roman" w:eastAsia="Calibri" w:hAnsi="Times New Roman"/>
          <w:color w:val="000000"/>
          <w:szCs w:val="24"/>
          <w:lang w:eastAsia="en-US"/>
        </w:rPr>
        <w:t>, não só</w:t>
      </w:r>
      <w:r w:rsidRPr="000E5487">
        <w:rPr>
          <w:rFonts w:ascii="Times New Roman" w:eastAsia="Calibri" w:hAnsi="Times New Roman"/>
          <w:color w:val="000000"/>
          <w:szCs w:val="24"/>
          <w:lang w:eastAsia="en-US"/>
        </w:rPr>
        <w:t xml:space="preserve"> o </w:t>
      </w:r>
      <w:r w:rsidRPr="000E5487">
        <w:rPr>
          <w:rFonts w:ascii="Times New Roman" w:eastAsia="Calibri" w:hAnsi="Times New Roman"/>
          <w:i/>
          <w:color w:val="000000"/>
          <w:szCs w:val="24"/>
          <w:lang w:eastAsia="en-US"/>
        </w:rPr>
        <w:t>background</w:t>
      </w:r>
      <w:r w:rsidRPr="000E5487">
        <w:rPr>
          <w:rFonts w:ascii="Times New Roman" w:eastAsia="Calibri" w:hAnsi="Times New Roman"/>
          <w:color w:val="000000"/>
          <w:szCs w:val="24"/>
          <w:lang w:eastAsia="en-US"/>
        </w:rPr>
        <w:t xml:space="preserve"> cultural individual dos </w:t>
      </w:r>
      <w:r>
        <w:rPr>
          <w:rFonts w:ascii="Times New Roman" w:eastAsia="Calibri" w:hAnsi="Times New Roman"/>
          <w:color w:val="000000"/>
          <w:szCs w:val="24"/>
          <w:lang w:eastAsia="en-US"/>
        </w:rPr>
        <w:t>profissionais</w:t>
      </w:r>
      <w:r w:rsidRPr="000E5487">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 xml:space="preserve">mas a experiência e o </w:t>
      </w:r>
      <w:r w:rsidRPr="00FF2DB1">
        <w:rPr>
          <w:rFonts w:ascii="Times New Roman" w:eastAsia="Calibri" w:hAnsi="Times New Roman"/>
          <w:i/>
          <w:color w:val="000000"/>
          <w:szCs w:val="24"/>
          <w:lang w:eastAsia="en-US"/>
        </w:rPr>
        <w:t>know-how</w:t>
      </w:r>
      <w:r>
        <w:rPr>
          <w:rFonts w:ascii="Times New Roman" w:eastAsia="Calibri" w:hAnsi="Times New Roman"/>
          <w:color w:val="000000"/>
          <w:szCs w:val="24"/>
          <w:lang w:eastAsia="en-US"/>
        </w:rPr>
        <w:t xml:space="preserve"> aliados</w:t>
      </w:r>
      <w:r w:rsidRPr="000E5487">
        <w:rPr>
          <w:rFonts w:ascii="Times New Roman" w:eastAsia="Calibri" w:hAnsi="Times New Roman"/>
          <w:color w:val="000000"/>
          <w:szCs w:val="24"/>
          <w:lang w:eastAsia="en-US"/>
        </w:rPr>
        <w:t xml:space="preserve"> a governança cor</w:t>
      </w:r>
      <w:r>
        <w:rPr>
          <w:rFonts w:ascii="Times New Roman" w:eastAsia="Calibri" w:hAnsi="Times New Roman"/>
          <w:color w:val="000000"/>
          <w:szCs w:val="24"/>
          <w:lang w:eastAsia="en-US"/>
        </w:rPr>
        <w:t>p</w:t>
      </w:r>
      <w:r w:rsidRPr="000E5487">
        <w:rPr>
          <w:rFonts w:ascii="Times New Roman" w:eastAsia="Calibri" w:hAnsi="Times New Roman"/>
          <w:color w:val="000000"/>
          <w:szCs w:val="24"/>
          <w:lang w:eastAsia="en-US"/>
        </w:rPr>
        <w:t>orativa</w:t>
      </w:r>
      <w:r>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podem explicar as escolhas contábeis.</w:t>
      </w:r>
      <w:r w:rsidR="00D95D87">
        <w:rPr>
          <w:rFonts w:ascii="Times New Roman" w:eastAsia="Calibri" w:hAnsi="Times New Roman"/>
          <w:color w:val="000000"/>
          <w:szCs w:val="24"/>
          <w:lang w:eastAsia="en-US"/>
        </w:rPr>
        <w:t xml:space="preserve"> </w:t>
      </w:r>
    </w:p>
    <w:p w:rsidR="00FF2DB1" w:rsidRPr="0055082C" w:rsidRDefault="00D95D87" w:rsidP="00B747D7">
      <w:pPr>
        <w:spacing w:after="0" w:line="240" w:lineRule="auto"/>
        <w:ind w:firstLine="709"/>
        <w:jc w:val="both"/>
        <w:rPr>
          <w:rFonts w:ascii="Times New Roman" w:eastAsia="Calibri" w:hAnsi="Times New Roman"/>
          <w:color w:val="000000"/>
          <w:szCs w:val="24"/>
          <w:lang w:eastAsia="en-US"/>
        </w:rPr>
      </w:pPr>
      <w:r>
        <w:rPr>
          <w:rFonts w:ascii="Times New Roman" w:eastAsia="Calibri" w:hAnsi="Times New Roman"/>
          <w:color w:val="000000"/>
          <w:szCs w:val="24"/>
          <w:lang w:eastAsia="en-US"/>
        </w:rPr>
        <w:t xml:space="preserve">No contexto da aplicação da IAS 41 no agronegócio brasileiro, apresenta-se aqui uma contribuição ao estudo de </w:t>
      </w:r>
      <w:r w:rsidR="000645A6">
        <w:rPr>
          <w:rFonts w:ascii="Times New Roman" w:eastAsia="Calibri" w:hAnsi="Times New Roman"/>
          <w:color w:val="000000"/>
          <w:szCs w:val="24"/>
          <w:lang w:eastAsia="en-US"/>
        </w:rPr>
        <w:fldChar w:fldCharType="begin" w:fldLock="1"/>
      </w:r>
      <w:r w:rsidR="000645A6">
        <w:rPr>
          <w:rFonts w:ascii="Times New Roman" w:eastAsia="Calibri" w:hAnsi="Times New Roman"/>
          <w:color w:val="000000"/>
          <w:szCs w:val="24"/>
          <w:lang w:eastAsia="en-US"/>
        </w:rPr>
        <w:instrText>ADDIN CSL_CITATION {"citationItems":[{"id":"ITEM-1","itemData":{"DOI":"10.1016/j.cpa.2013.03.005","ISBN":"1045-2354","ISSN":"10959955","abstract":"We investigate the translation and application of global accounting standards in a local context, with Romania as our country case study. Our theoretical framework is derived from institutional theory. We develop this by complementing isomorphism (. DiMaggio and Powell, 1983) with an emphasis on the behavior of actors and with the different strategic responses that organizations enact as a result of the institutional pressures toward conformity, following Oliver (1991). We contend that local actors play a more important role in triggering organizational responses than is implied by Oliver's (1991) framework in the application of International Financial Reporting Standards (IFRS). This is because organizational responses to these global standards are conditioned by the interplay between actors, who are searching for legitimacy and the attainment of their own (mutually conflicting) interests.Contrary to earlier institutional propositions, we find that acquiescence strategies may occur even when there is a great degree of constituent multiplicity, and that avoidance may occur in entities with a smaller degree of multiplicity. We thus argue that countries are not homogeneous in terms of accounting practices. Finally we suggest that intra-organizational interests and actions are important for IFRS implementation, and future research should investigate this in depth.","author":[{"dropping-particle":"","family":"Albu","given":"Cătălin Nicolae","non-dropping-particle":"","parse-names":false,"suffix":""},{"dropping-particle":"","family":"Albu","given":"Nadia","non-dropping-particle":"","parse-names":false,"suffix":""},{"dropping-particle":"","family":"Alexander","given":"David","non-dropping-particle":"","parse-names":false,"suffix":""}],"container-title":"Critical Perspectives on Accounting","id":"ITEM-1","issue":"6","issued":{"date-parts":[["2014"]]},"page":"489-510","title":"When global accounting standards meet the local context-Insights from an emerging economy","type":"article-journal","volume":"25"},"uris":["http://www.mendeley.com/documents/?uuid=18f3c0cf-2c31-4694-bd9e-280d5b75d5a0"]}],"mendeley":{"formattedCitation":"(ALBU; ALBU; ALEXANDER, 2014)","manualFormatting":"Albu, Albu e Alexander (2014)","plainTextFormattedCitation":"(ALBU; ALBU; ALEXANDER, 2014)","previouslyFormattedCitation":"(ALBU; ALBU; ALEXANDER, 2014)"},"properties":{"noteIndex":0},"schema":"https://github.com/citation-style-language/schema/raw/master/csl-citation.json"}</w:instrText>
      </w:r>
      <w:r w:rsidR="000645A6">
        <w:rPr>
          <w:rFonts w:ascii="Times New Roman" w:eastAsia="Calibri" w:hAnsi="Times New Roman"/>
          <w:color w:val="000000"/>
          <w:szCs w:val="24"/>
          <w:lang w:eastAsia="en-US"/>
        </w:rPr>
        <w:fldChar w:fldCharType="separate"/>
      </w:r>
      <w:r w:rsidR="000645A6" w:rsidRPr="000645A6">
        <w:rPr>
          <w:rFonts w:ascii="Times New Roman" w:eastAsia="Calibri" w:hAnsi="Times New Roman"/>
          <w:noProof/>
          <w:color w:val="000000"/>
          <w:szCs w:val="24"/>
          <w:lang w:eastAsia="en-US"/>
        </w:rPr>
        <w:t>Albu</w:t>
      </w:r>
      <w:r w:rsidR="000645A6">
        <w:rPr>
          <w:rFonts w:ascii="Times New Roman" w:eastAsia="Calibri" w:hAnsi="Times New Roman"/>
          <w:noProof/>
          <w:color w:val="000000"/>
          <w:szCs w:val="24"/>
          <w:lang w:eastAsia="en-US"/>
        </w:rPr>
        <w:t>,</w:t>
      </w:r>
      <w:r w:rsidR="000645A6" w:rsidRPr="000645A6">
        <w:rPr>
          <w:rFonts w:ascii="Times New Roman" w:eastAsia="Calibri" w:hAnsi="Times New Roman"/>
          <w:noProof/>
          <w:color w:val="000000"/>
          <w:szCs w:val="24"/>
          <w:lang w:eastAsia="en-US"/>
        </w:rPr>
        <w:t xml:space="preserve"> Alb</w:t>
      </w:r>
      <w:r w:rsidR="000645A6">
        <w:rPr>
          <w:rFonts w:ascii="Times New Roman" w:eastAsia="Calibri" w:hAnsi="Times New Roman"/>
          <w:noProof/>
          <w:color w:val="000000"/>
          <w:szCs w:val="24"/>
          <w:lang w:eastAsia="en-US"/>
        </w:rPr>
        <w:t>u e Alexander</w:t>
      </w:r>
      <w:r w:rsidR="000645A6" w:rsidRPr="000645A6">
        <w:rPr>
          <w:rFonts w:ascii="Times New Roman" w:eastAsia="Calibri" w:hAnsi="Times New Roman"/>
          <w:noProof/>
          <w:color w:val="000000"/>
          <w:szCs w:val="24"/>
          <w:lang w:eastAsia="en-US"/>
        </w:rPr>
        <w:t xml:space="preserve"> </w:t>
      </w:r>
      <w:r w:rsidR="000645A6">
        <w:rPr>
          <w:rFonts w:ascii="Times New Roman" w:eastAsia="Calibri" w:hAnsi="Times New Roman"/>
          <w:noProof/>
          <w:color w:val="000000"/>
          <w:szCs w:val="24"/>
          <w:lang w:eastAsia="en-US"/>
        </w:rPr>
        <w:t>(</w:t>
      </w:r>
      <w:r w:rsidR="000645A6" w:rsidRPr="000645A6">
        <w:rPr>
          <w:rFonts w:ascii="Times New Roman" w:eastAsia="Calibri" w:hAnsi="Times New Roman"/>
          <w:noProof/>
          <w:color w:val="000000"/>
          <w:szCs w:val="24"/>
          <w:lang w:eastAsia="en-US"/>
        </w:rPr>
        <w:t>2014)</w:t>
      </w:r>
      <w:r w:rsidR="000645A6">
        <w:rPr>
          <w:rFonts w:ascii="Times New Roman" w:eastAsia="Calibri" w:hAnsi="Times New Roman"/>
          <w:color w:val="000000"/>
          <w:szCs w:val="24"/>
          <w:lang w:eastAsia="en-US"/>
        </w:rPr>
        <w:fldChar w:fldCharType="end"/>
      </w:r>
      <w:r>
        <w:rPr>
          <w:rFonts w:ascii="Times New Roman" w:eastAsia="Calibri" w:hAnsi="Times New Roman"/>
          <w:color w:val="000000"/>
          <w:szCs w:val="24"/>
          <w:lang w:eastAsia="en-US"/>
        </w:rPr>
        <w:t>, por verifica</w:t>
      </w:r>
      <w:r w:rsidR="0045504F">
        <w:rPr>
          <w:rFonts w:ascii="Times New Roman" w:eastAsia="Calibri" w:hAnsi="Times New Roman"/>
          <w:color w:val="000000"/>
          <w:szCs w:val="24"/>
          <w:lang w:eastAsia="en-US"/>
        </w:rPr>
        <w:t>r</w:t>
      </w:r>
      <w:r>
        <w:rPr>
          <w:rFonts w:ascii="Times New Roman" w:eastAsia="Calibri" w:hAnsi="Times New Roman"/>
          <w:color w:val="000000"/>
          <w:szCs w:val="24"/>
          <w:lang w:eastAsia="en-US"/>
        </w:rPr>
        <w:t>-se que</w:t>
      </w:r>
      <w:r w:rsidR="0045504F">
        <w:rPr>
          <w:rFonts w:ascii="Times New Roman" w:eastAsia="Calibri" w:hAnsi="Times New Roman"/>
          <w:color w:val="000000"/>
          <w:szCs w:val="24"/>
          <w:lang w:eastAsia="en-US"/>
        </w:rPr>
        <w:t>,</w:t>
      </w:r>
      <w:r>
        <w:rPr>
          <w:rFonts w:ascii="Times New Roman" w:eastAsia="Calibri" w:hAnsi="Times New Roman"/>
          <w:color w:val="000000"/>
          <w:szCs w:val="24"/>
          <w:lang w:eastAsia="en-US"/>
        </w:rPr>
        <w:t xml:space="preserve"> </w:t>
      </w:r>
      <w:r w:rsidR="00FF2DB1" w:rsidRPr="000E5487">
        <w:rPr>
          <w:rFonts w:ascii="Times New Roman" w:eastAsia="Calibri" w:hAnsi="Times New Roman"/>
          <w:color w:val="000000"/>
          <w:szCs w:val="24"/>
          <w:lang w:eastAsia="en-US"/>
        </w:rPr>
        <w:t>a imp</w:t>
      </w:r>
      <w:r w:rsidR="0045504F">
        <w:rPr>
          <w:rFonts w:ascii="Times New Roman" w:eastAsia="Calibri" w:hAnsi="Times New Roman"/>
          <w:color w:val="000000"/>
          <w:szCs w:val="24"/>
          <w:lang w:eastAsia="en-US"/>
        </w:rPr>
        <w:t>lementação e aplicação das IFRS</w:t>
      </w:r>
      <w:r w:rsidR="00FF2DB1" w:rsidRPr="000E5487">
        <w:rPr>
          <w:rFonts w:ascii="Times New Roman" w:eastAsia="Calibri" w:hAnsi="Times New Roman"/>
          <w:color w:val="000000"/>
          <w:szCs w:val="24"/>
          <w:lang w:eastAsia="en-US"/>
        </w:rPr>
        <w:t xml:space="preserve"> </w:t>
      </w:r>
      <w:r>
        <w:rPr>
          <w:rFonts w:ascii="Times New Roman" w:eastAsia="Calibri" w:hAnsi="Times New Roman"/>
          <w:color w:val="000000"/>
          <w:szCs w:val="24"/>
          <w:lang w:eastAsia="en-US"/>
        </w:rPr>
        <w:t>estão atreladas a</w:t>
      </w:r>
      <w:r w:rsidR="00661F71">
        <w:rPr>
          <w:rFonts w:ascii="Times New Roman" w:eastAsia="Calibri" w:hAnsi="Times New Roman"/>
          <w:color w:val="000000"/>
          <w:szCs w:val="24"/>
          <w:lang w:eastAsia="en-US"/>
        </w:rPr>
        <w:t>o perfil do profissional que faz as escolhas contábeis, reforçando que  aplicação das normas estão ligadas aos</w:t>
      </w:r>
      <w:r>
        <w:rPr>
          <w:rFonts w:ascii="Times New Roman" w:eastAsia="Calibri" w:hAnsi="Times New Roman"/>
          <w:color w:val="000000"/>
          <w:szCs w:val="24"/>
          <w:lang w:eastAsia="en-US"/>
        </w:rPr>
        <w:t xml:space="preserve"> aspectos</w:t>
      </w:r>
      <w:r w:rsidR="00FF2DB1" w:rsidRPr="000E5487">
        <w:rPr>
          <w:rFonts w:ascii="Times New Roman" w:eastAsia="Calibri" w:hAnsi="Times New Roman"/>
          <w:color w:val="000000"/>
          <w:szCs w:val="24"/>
          <w:lang w:eastAsia="en-US"/>
        </w:rPr>
        <w:t xml:space="preserve"> sociais, subjetiv</w:t>
      </w:r>
      <w:r>
        <w:rPr>
          <w:rFonts w:ascii="Times New Roman" w:eastAsia="Calibri" w:hAnsi="Times New Roman"/>
          <w:color w:val="000000"/>
          <w:szCs w:val="24"/>
          <w:lang w:eastAsia="en-US"/>
        </w:rPr>
        <w:t>o</w:t>
      </w:r>
      <w:r w:rsidR="00FF2DB1" w:rsidRPr="000E5487">
        <w:rPr>
          <w:rFonts w:ascii="Times New Roman" w:eastAsia="Calibri" w:hAnsi="Times New Roman"/>
          <w:color w:val="000000"/>
          <w:szCs w:val="24"/>
          <w:lang w:eastAsia="en-US"/>
        </w:rPr>
        <w:t>s e</w:t>
      </w:r>
      <w:r>
        <w:rPr>
          <w:rFonts w:ascii="Times New Roman" w:eastAsia="Calibri" w:hAnsi="Times New Roman"/>
          <w:color w:val="000000"/>
          <w:szCs w:val="24"/>
          <w:lang w:eastAsia="en-US"/>
        </w:rPr>
        <w:t xml:space="preserve"> principalmente</w:t>
      </w:r>
      <w:r w:rsidR="00FF2DB1" w:rsidRPr="000E5487">
        <w:rPr>
          <w:rFonts w:ascii="Times New Roman" w:eastAsia="Calibri" w:hAnsi="Times New Roman"/>
          <w:color w:val="000000"/>
          <w:szCs w:val="24"/>
          <w:lang w:eastAsia="en-US"/>
        </w:rPr>
        <w:t xml:space="preserve"> sobre pessoas.</w:t>
      </w:r>
      <w:r>
        <w:rPr>
          <w:rFonts w:ascii="Times New Roman" w:eastAsia="Calibri" w:hAnsi="Times New Roman"/>
          <w:color w:val="000000"/>
          <w:szCs w:val="24"/>
          <w:lang w:eastAsia="en-US"/>
        </w:rPr>
        <w:t xml:space="preserve"> </w:t>
      </w:r>
      <w:r w:rsidR="00DE7B6A">
        <w:rPr>
          <w:rFonts w:ascii="Times New Roman" w:eastAsia="Calibri" w:hAnsi="Times New Roman"/>
          <w:color w:val="000000"/>
          <w:szCs w:val="24"/>
          <w:lang w:eastAsia="en-US"/>
        </w:rPr>
        <w:t>Esses achado</w:t>
      </w:r>
      <w:r w:rsidR="00A10AD4">
        <w:rPr>
          <w:rFonts w:ascii="Times New Roman" w:eastAsia="Calibri" w:hAnsi="Times New Roman"/>
          <w:color w:val="000000"/>
          <w:szCs w:val="24"/>
          <w:lang w:eastAsia="en-US"/>
        </w:rPr>
        <w:t xml:space="preserve"> apoiam o estudo de </w:t>
      </w:r>
      <w:r w:rsidR="00FF2DB1" w:rsidRPr="000E5487">
        <w:rPr>
          <w:rFonts w:ascii="Times New Roman" w:eastAsia="Calibri" w:hAnsi="Times New Roman"/>
          <w:color w:val="000000"/>
          <w:szCs w:val="24"/>
          <w:lang w:eastAsia="en-US"/>
        </w:rPr>
        <w:fldChar w:fldCharType="begin" w:fldLock="1"/>
      </w:r>
      <w:r w:rsidR="000645A6">
        <w:rPr>
          <w:rFonts w:ascii="Times New Roman" w:eastAsia="Calibri" w:hAnsi="Times New Roman"/>
          <w:color w:val="000000"/>
          <w:szCs w:val="24"/>
          <w:lang w:eastAsia="en-US"/>
        </w:rPr>
        <w:instrText>ADDIN CSL_CITATION {"citationItems":[{"id":"ITEM-1","itemData":{"DOI":"10.1016/j.intaccaudtax.2004.09.002","ISBN":"10619518","ISSN":"10619518","abstract":"The International Accounting Standards Board (IASB) acquired greater legitimacy and stature when the European Union (EU) decided to require all listed companies to prepare consolidated accounts based on International Financial Reporting Standards (IFRS) beginning in 2005. This study examines the progress and perceived impediments to convergence in 17 European countries directly affected by the EU's decision. These include: (1) the 10 new EU member countries, (2) EU candidate countries, (3) European Economic Area (EEA) countries, and (4) Switzerland. We utilize data collected by the six largest international accounting firms during their 2002 convergence survey. Additionally, we analyze subsequent events and studies. While all surveyed countries will either require or effectively allow listed companies to prepare consolidated financial statements in accordance with IFRS by 2005, few are expected to require IFRS for non-listed companies. This suggests the development of a \"two-standard\" system. The two most significant impediments to convergence identified by the survey appear to be the complicated nature of particular IFRS (including financial instruments) and the tax-orientation of many national accounting systems. Other barriers to convergence include underdeveloped national capital markets, insufficient guidance on first-time application of IFRS, and limited experience with certain types of transactions (e.g. pensions). © 2004 Elsevier Inc. All rights reserved.","author":[{"dropping-particle":"","family":"Larson","given":"Robert K.","non-dropping-particle":"","parse-names":false,"suffix":""},{"dropping-particle":"","family":"Street","given":"Donna L.","non-dropping-particle":"","parse-names":false,"suffix":""}],"container-title":"Journal of International Accounting, Auditing and Taxation","id":"ITEM-1","issue":"2","issued":{"date-parts":[["2004"]]},"page":"89-119","title":"Convergence with IFRS in an expanding Europe: Progress and obstacles identified by large accounting firms' survey","type":"article-journal","volume":"13"},"uris":["http://www.mendeley.com/documents/?uuid=dff3d5a5-4723-4db0-ac3a-188a7d63882a"]}],"mendeley":{"formattedCitation":"(LARSON; STREET, 2004)","manualFormatting":"Larson e Street (2004)","plainTextFormattedCitation":"(LARSON; STREET, 2004)","previouslyFormattedCitation":"(LARSON; STREET, 2004)"},"properties":{"noteIndex":0},"schema":"https://github.com/citation-style-language/schema/raw/master/csl-citation.json"}</w:instrText>
      </w:r>
      <w:r w:rsidR="00FF2DB1" w:rsidRPr="000E5487">
        <w:rPr>
          <w:rFonts w:ascii="Times New Roman" w:eastAsia="Calibri" w:hAnsi="Times New Roman"/>
          <w:color w:val="000000"/>
          <w:szCs w:val="24"/>
          <w:lang w:eastAsia="en-US"/>
        </w:rPr>
        <w:fldChar w:fldCharType="separate"/>
      </w:r>
      <w:r w:rsidR="000645A6" w:rsidRPr="000645A6">
        <w:rPr>
          <w:rFonts w:ascii="Times New Roman" w:eastAsia="Calibri" w:hAnsi="Times New Roman"/>
          <w:noProof/>
          <w:color w:val="000000"/>
          <w:szCs w:val="24"/>
          <w:lang w:eastAsia="en-US"/>
        </w:rPr>
        <w:t>Larson</w:t>
      </w:r>
      <w:r w:rsidR="000645A6">
        <w:rPr>
          <w:rFonts w:ascii="Times New Roman" w:eastAsia="Calibri" w:hAnsi="Times New Roman"/>
          <w:noProof/>
          <w:color w:val="000000"/>
          <w:szCs w:val="24"/>
          <w:lang w:eastAsia="en-US"/>
        </w:rPr>
        <w:t xml:space="preserve"> e</w:t>
      </w:r>
      <w:r w:rsidR="000645A6" w:rsidRPr="000645A6">
        <w:rPr>
          <w:rFonts w:ascii="Times New Roman" w:eastAsia="Calibri" w:hAnsi="Times New Roman"/>
          <w:noProof/>
          <w:color w:val="000000"/>
          <w:szCs w:val="24"/>
          <w:lang w:eastAsia="en-US"/>
        </w:rPr>
        <w:t xml:space="preserve"> Street </w:t>
      </w:r>
      <w:r w:rsidR="000645A6">
        <w:rPr>
          <w:rFonts w:ascii="Times New Roman" w:eastAsia="Calibri" w:hAnsi="Times New Roman"/>
          <w:noProof/>
          <w:color w:val="000000"/>
          <w:szCs w:val="24"/>
          <w:lang w:eastAsia="en-US"/>
        </w:rPr>
        <w:t>(</w:t>
      </w:r>
      <w:r w:rsidR="000645A6" w:rsidRPr="000645A6">
        <w:rPr>
          <w:rFonts w:ascii="Times New Roman" w:eastAsia="Calibri" w:hAnsi="Times New Roman"/>
          <w:noProof/>
          <w:color w:val="000000"/>
          <w:szCs w:val="24"/>
          <w:lang w:eastAsia="en-US"/>
        </w:rPr>
        <w:t>2004)</w:t>
      </w:r>
      <w:r w:rsidR="00FF2DB1" w:rsidRPr="000E5487">
        <w:rPr>
          <w:rFonts w:ascii="Times New Roman" w:eastAsia="Calibri" w:hAnsi="Times New Roman"/>
          <w:color w:val="000000"/>
          <w:szCs w:val="24"/>
          <w:lang w:eastAsia="en-US"/>
        </w:rPr>
        <w:fldChar w:fldCharType="end"/>
      </w:r>
      <w:r w:rsidR="00A10AD4">
        <w:rPr>
          <w:rFonts w:ascii="Times New Roman" w:eastAsia="Calibri" w:hAnsi="Times New Roman"/>
          <w:color w:val="000000"/>
          <w:szCs w:val="24"/>
          <w:lang w:eastAsia="en-US"/>
        </w:rPr>
        <w:t xml:space="preserve"> no que diz respeito ao</w:t>
      </w:r>
      <w:r w:rsidR="00A10AD4" w:rsidRPr="00A10AD4">
        <w:rPr>
          <w:rFonts w:ascii="Times New Roman" w:eastAsia="Calibri" w:hAnsi="Times New Roman"/>
          <w:color w:val="000000"/>
          <w:szCs w:val="24"/>
          <w:lang w:eastAsia="en-US"/>
        </w:rPr>
        <w:t xml:space="preserve"> impacto dos atores sociais na implementação de normas e políticas contábeis, </w:t>
      </w:r>
      <w:r w:rsidR="00A10AD4">
        <w:rPr>
          <w:rFonts w:ascii="Times New Roman" w:eastAsia="Calibri" w:hAnsi="Times New Roman"/>
          <w:color w:val="000000"/>
          <w:szCs w:val="24"/>
          <w:lang w:eastAsia="en-US"/>
        </w:rPr>
        <w:t xml:space="preserve">podendo a experiência profissional na mensuração de ativos biológicos, ser </w:t>
      </w:r>
      <w:r w:rsidR="00A10AD4" w:rsidRPr="00A10AD4">
        <w:rPr>
          <w:rFonts w:ascii="Times New Roman" w:eastAsia="Calibri" w:hAnsi="Times New Roman"/>
          <w:color w:val="000000"/>
          <w:szCs w:val="24"/>
          <w:lang w:eastAsia="en-US"/>
        </w:rPr>
        <w:t>um</w:t>
      </w:r>
      <w:r w:rsidR="00A10AD4">
        <w:rPr>
          <w:rFonts w:ascii="Times New Roman" w:eastAsia="Calibri" w:hAnsi="Times New Roman"/>
          <w:color w:val="000000"/>
          <w:szCs w:val="24"/>
          <w:lang w:eastAsia="en-US"/>
        </w:rPr>
        <w:t xml:space="preserve">a barreira para adoção da IAS 41 no contexto brasileiro, além de </w:t>
      </w:r>
      <w:r w:rsidR="00FF2DB1" w:rsidRPr="000E5487">
        <w:rPr>
          <w:rFonts w:ascii="Times New Roman" w:eastAsia="Calibri" w:hAnsi="Times New Roman"/>
          <w:color w:val="000000"/>
          <w:szCs w:val="24"/>
          <w:lang w:eastAsia="en-US"/>
        </w:rPr>
        <w:t>impactar na comparabilidade das demonstrações contábeis</w:t>
      </w:r>
      <w:r w:rsidR="00FF2DB1">
        <w:rPr>
          <w:rFonts w:ascii="Times New Roman" w:eastAsia="Calibri" w:hAnsi="Times New Roman"/>
          <w:color w:val="000000"/>
          <w:szCs w:val="24"/>
          <w:lang w:eastAsia="en-US"/>
        </w:rPr>
        <w:t xml:space="preserve"> </w:t>
      </w:r>
      <w:r w:rsidR="00FF2DB1">
        <w:rPr>
          <w:rFonts w:ascii="Times New Roman" w:eastAsia="Calibri" w:hAnsi="Times New Roman"/>
          <w:color w:val="000000"/>
          <w:szCs w:val="24"/>
          <w:lang w:eastAsia="en-US"/>
        </w:rPr>
        <w:fldChar w:fldCharType="begin" w:fldLock="1"/>
      </w:r>
      <w:r w:rsidR="00FF2DB1">
        <w:rPr>
          <w:rFonts w:ascii="Times New Roman" w:eastAsia="Calibri" w:hAnsi="Times New Roman"/>
          <w:color w:val="000000"/>
          <w:szCs w:val="24"/>
          <w:lang w:eastAsia="en-US"/>
        </w:rPr>
        <w:instrText>ADDIN CSL_CITATION {"citationItems":[{"id":"ITEM-1","itemData":{"DOI":"10.1016/j.bar.2010.10.003","ISBN":"08908389","ISSN":"08908389","PMID":"857499650","abstract":"This study investigates the use of fair value measurement by 228 listed companies in the UK and Australia around the time of adoption of IFRS from 1 January 2005. We test whether within and between country comparability in policy choices (as measured by T indices) has changed in relation to (a) mandatory and (b) optional use of fair value measurement. Mandatory requirements related to financial instruments (IAS 39) and share-based payments (IFRS 2) have increased comparability, with a weaker effect for biological assets (IAS 41). In relation to the optional use of fair value, comparability increased in relation to property (IAS 16) because some companies discontinued fair value measurement. Under IAS 39, the fair value option for other financial assets and other financial liabilities decreased comparability. Options to use fair value in other areas (intangible assets, plant and equipment and investment properties) are not generally taken up, either for on-going measurement or on IFRS adoption (under the 'deemed cost' option). The results suggest a conservative approach and/or lack of incentives to use fair value measurement for most companies. Exceptions include some banks and insurance companies (for other financial assets and liabilities) and companies holding investment properties. © 2010 Elsevier Ltd.","author":[{"dropping-particle":"","family":"Cairns","given":"David","non-dropping-particle":"","parse-names":false,"suffix":""},{"dropping-particle":"","family":"Massoudi","given":"Dianne","non-dropping-particle":"","parse-names":false,"suffix":""},{"dropping-particle":"","family":"Taplin","given":"Ross","non-dropping-particle":"","parse-names":false,"suffix":""},{"dropping-particle":"","family":"Tarca","given":"Ann","non-dropping-particle":"","parse-names":false,"suffix":""}],"container-title":"British Accounting Review","id":"ITEM-1","issue":"1","issued":{"date-parts":[["2011"]]},"page":"1-21","publisher":"Elsevier Ltd","title":"IFRS fair value measurement and accounting policy choice in the United Kingdom and Australia","type":"article-journal","volume":"43"},"uris":["http://www.mendeley.com/documents/?uuid=cfc06069-32a6-42d7-b827-7a1e610a8719"]},{"id":"ITEM-2","itemData":{"DOI":"10.21714/1984-3925_2017v20n1a7","ISSN":"19843925","author":[{"dropping-particle":"","family":"Botinha","given":"Reiner Alves","non-dropping-particle":"","parse-names":false,"suffix":""},{"dropping-particle":"","family":"Lemes","given":"Sirlei","non-dropping-particle":"","parse-names":false,"suffix":""}],"container-title":"Contabilidade, Gestão e Governança","id":"ITEM-2","issue":"1","issued":{"date-parts":[["2017","4","20"]]},"page":"113-132","title":"Comparabilidade das Escolhas Contábeis em Propriedades para Investimentos de Empresas Listadas na BM&amp;FBOVESPA e NYSE","type":"article-journal","volume":"20"},"uris":["http://www.mendeley.com/documents/?uuid=41e61983-5c3f-4dac-9bf8-a1713fa62057"]}],"mendeley":{"formattedCitation":"(BOTINHA; LEMES, 2017; CAIRNS et al., 2011)","plainTextFormattedCitation":"(BOTINHA; LEMES, 2017; CAIRNS et al., 2011)","previouslyFormattedCitation":"(BOTINHA; LEMES, 2017; CAIRNS et al., 2011)"},"properties":{"noteIndex":0},"schema":"https://github.com/citation-style-language/schema/raw/master/csl-citation.json"}</w:instrText>
      </w:r>
      <w:r w:rsidR="00FF2DB1">
        <w:rPr>
          <w:rFonts w:ascii="Times New Roman" w:eastAsia="Calibri" w:hAnsi="Times New Roman"/>
          <w:color w:val="000000"/>
          <w:szCs w:val="24"/>
          <w:lang w:eastAsia="en-US"/>
        </w:rPr>
        <w:fldChar w:fldCharType="separate"/>
      </w:r>
      <w:r w:rsidR="00FF2DB1" w:rsidRPr="00CB1F8E">
        <w:rPr>
          <w:rFonts w:ascii="Times New Roman" w:eastAsia="Calibri" w:hAnsi="Times New Roman"/>
          <w:noProof/>
          <w:color w:val="000000"/>
          <w:szCs w:val="24"/>
          <w:lang w:eastAsia="en-US"/>
        </w:rPr>
        <w:t>(BOTINHA; LEMES, 2017; CAIRNS et al., 2011)</w:t>
      </w:r>
      <w:r w:rsidR="00FF2DB1">
        <w:rPr>
          <w:rFonts w:ascii="Times New Roman" w:eastAsia="Calibri" w:hAnsi="Times New Roman"/>
          <w:color w:val="000000"/>
          <w:szCs w:val="24"/>
          <w:lang w:eastAsia="en-US"/>
        </w:rPr>
        <w:fldChar w:fldCharType="end"/>
      </w:r>
      <w:r w:rsidR="00FF2DB1" w:rsidRPr="000E5487">
        <w:rPr>
          <w:rFonts w:ascii="Times New Roman" w:eastAsia="Calibri" w:hAnsi="Times New Roman"/>
          <w:color w:val="000000"/>
          <w:szCs w:val="24"/>
          <w:lang w:eastAsia="en-US"/>
        </w:rPr>
        <w:t xml:space="preserve">, </w:t>
      </w:r>
      <w:r w:rsidR="00DE7B6A">
        <w:rPr>
          <w:rFonts w:ascii="Times New Roman" w:eastAsia="Calibri" w:hAnsi="Times New Roman"/>
          <w:color w:val="000000"/>
          <w:szCs w:val="24"/>
          <w:lang w:eastAsia="en-US"/>
        </w:rPr>
        <w:t>e em uma perspectiva mais ampla, pode</w:t>
      </w:r>
      <w:r w:rsidR="00A10AD4">
        <w:rPr>
          <w:rFonts w:ascii="Times New Roman" w:eastAsia="Calibri" w:hAnsi="Times New Roman"/>
          <w:color w:val="000000"/>
          <w:szCs w:val="24"/>
          <w:lang w:eastAsia="en-US"/>
        </w:rPr>
        <w:t xml:space="preserve"> ser uma das causas para a permanência das</w:t>
      </w:r>
      <w:r w:rsidR="00FF2DB1" w:rsidRPr="000E5487">
        <w:rPr>
          <w:rFonts w:ascii="Times New Roman" w:eastAsia="Calibri" w:hAnsi="Times New Roman"/>
          <w:color w:val="000000"/>
          <w:szCs w:val="24"/>
          <w:lang w:eastAsia="en-US"/>
        </w:rPr>
        <w:t xml:space="preserve"> diferenças significativas </w:t>
      </w:r>
      <w:r w:rsidR="00A10AD4">
        <w:rPr>
          <w:rFonts w:ascii="Times New Roman" w:eastAsia="Calibri" w:hAnsi="Times New Roman"/>
          <w:color w:val="000000"/>
          <w:szCs w:val="24"/>
          <w:lang w:eastAsia="en-US"/>
        </w:rPr>
        <w:t>na Contabilidade</w:t>
      </w:r>
      <w:r w:rsidR="00DE7B6A">
        <w:rPr>
          <w:rFonts w:ascii="Times New Roman" w:eastAsia="Calibri" w:hAnsi="Times New Roman"/>
          <w:color w:val="000000"/>
          <w:szCs w:val="24"/>
          <w:lang w:eastAsia="en-US"/>
        </w:rPr>
        <w:t xml:space="preserve"> verificada por </w:t>
      </w:r>
      <w:r w:rsidR="00DE7B6A">
        <w:rPr>
          <w:rFonts w:ascii="Times New Roman" w:eastAsia="Calibri" w:hAnsi="Times New Roman"/>
          <w:color w:val="000000"/>
          <w:szCs w:val="24"/>
          <w:lang w:eastAsia="en-US"/>
        </w:rPr>
        <w:fldChar w:fldCharType="begin" w:fldLock="1"/>
      </w:r>
      <w:r w:rsidR="00DE7B6A">
        <w:rPr>
          <w:rFonts w:ascii="Times New Roman" w:eastAsia="Calibri" w:hAnsi="Times New Roman"/>
          <w:color w:val="000000"/>
          <w:szCs w:val="24"/>
          <w:lang w:eastAsia="en-US"/>
        </w:rPr>
        <w:instrText>ADDIN CSL_CITATION {"citationItems":[{"id":"ITEM-1","itemData":{"DOI":"10.1016/j.jacceco.2012.03.001","ISBN":"0165-4101","ISSN":"01654101","PMID":"1021725752","abstract":"This study examines whether application of IFRS by non-US firms results in accounting amounts comparable to those resulting from application of US GAAP by US firms. IFRS firms have greater accounting system and value relevance comparability with US firms when IFRS firms apply IFRS than when they applied domestic standards. Comparability is greater for firms that adopt IFRS mandatorily, firms in common law and high enforcement countries, and in more recent years. Earnings smoothing, accrual quality, and timeliness are potential sources of the greater comparability. Although application of IFRS has enhanced financial reporting comparability with US firms, significant differences remain.","author":[{"dropping-particle":"","family":"Barth","given":"Mary E.","non-dropping-particle":"","parse-names":false,"suffix":""},{"dropping-particle":"","family":"Landsman","given":"Wayne R.","non-dropping-particle":"","parse-names":false,"suffix":""},{"dropping-particle":"","family":"Lang","given":"Mark","non-dropping-particle":"","parse-names":false,"suffix":""},{"dropping-particle":"","family":"Williams","given":"Christopher","non-dropping-particle":"","parse-names":false,"suffix":""}],"container-title":"Journal of Accounting and Economics","id":"ITEM-1","issue":"1","issued":{"date-parts":[["2012"]]},"page":"68-93","publisher":"Elsevier","title":"Are IFRS-based and US GAAP-based accounting amounts comparable?","type":"article-journal","volume":"54"},"uris":["http://www.mendeley.com/documents/?uuid=249eb6c4-8276-4c5b-a657-0d4b3f2bb0b0"]}],"mendeley":{"formattedCitation":"(BARTH et al., 2012)","manualFormatting":"Barth et al. (2012)","plainTextFormattedCitation":"(BARTH et al., 2012)","previouslyFormattedCitation":"(BARTH et al., 2012)"},"properties":{"noteIndex":0},"schema":"https://github.com/citation-style-language/schema/raw/master/csl-citation.json"}</w:instrText>
      </w:r>
      <w:r w:rsidR="00DE7B6A">
        <w:rPr>
          <w:rFonts w:ascii="Times New Roman" w:eastAsia="Calibri" w:hAnsi="Times New Roman"/>
          <w:color w:val="000000"/>
          <w:szCs w:val="24"/>
          <w:lang w:eastAsia="en-US"/>
        </w:rPr>
        <w:fldChar w:fldCharType="separate"/>
      </w:r>
      <w:r w:rsidR="00DE7B6A" w:rsidRPr="000645A6">
        <w:rPr>
          <w:rFonts w:ascii="Times New Roman" w:eastAsia="Calibri" w:hAnsi="Times New Roman"/>
          <w:noProof/>
          <w:color w:val="000000"/>
          <w:szCs w:val="24"/>
          <w:lang w:eastAsia="en-US"/>
        </w:rPr>
        <w:t>Barth</w:t>
      </w:r>
      <w:r w:rsidR="00DE7B6A">
        <w:rPr>
          <w:rFonts w:ascii="Times New Roman" w:eastAsia="Calibri" w:hAnsi="Times New Roman"/>
          <w:noProof/>
          <w:color w:val="000000"/>
          <w:szCs w:val="24"/>
          <w:lang w:eastAsia="en-US"/>
        </w:rPr>
        <w:t xml:space="preserve"> et al.</w:t>
      </w:r>
      <w:r w:rsidR="00DE7B6A" w:rsidRPr="000645A6">
        <w:rPr>
          <w:rFonts w:ascii="Times New Roman" w:eastAsia="Calibri" w:hAnsi="Times New Roman"/>
          <w:noProof/>
          <w:color w:val="000000"/>
          <w:szCs w:val="24"/>
          <w:lang w:eastAsia="en-US"/>
        </w:rPr>
        <w:t xml:space="preserve"> </w:t>
      </w:r>
      <w:r w:rsidR="00DE7B6A">
        <w:rPr>
          <w:rFonts w:ascii="Times New Roman" w:eastAsia="Calibri" w:hAnsi="Times New Roman"/>
          <w:noProof/>
          <w:color w:val="000000"/>
          <w:szCs w:val="24"/>
          <w:lang w:eastAsia="en-US"/>
        </w:rPr>
        <w:t>(</w:t>
      </w:r>
      <w:r w:rsidR="00DE7B6A" w:rsidRPr="000645A6">
        <w:rPr>
          <w:rFonts w:ascii="Times New Roman" w:eastAsia="Calibri" w:hAnsi="Times New Roman"/>
          <w:noProof/>
          <w:color w:val="000000"/>
          <w:szCs w:val="24"/>
          <w:lang w:eastAsia="en-US"/>
        </w:rPr>
        <w:t>2012)</w:t>
      </w:r>
      <w:r w:rsidR="00DE7B6A">
        <w:rPr>
          <w:rFonts w:ascii="Times New Roman" w:eastAsia="Calibri" w:hAnsi="Times New Roman"/>
          <w:color w:val="000000"/>
          <w:szCs w:val="24"/>
          <w:lang w:eastAsia="en-US"/>
        </w:rPr>
        <w:fldChar w:fldCharType="end"/>
      </w:r>
      <w:r w:rsidR="00600FCC">
        <w:rPr>
          <w:rFonts w:ascii="Times New Roman" w:eastAsia="Calibri" w:hAnsi="Times New Roman"/>
          <w:color w:val="000000"/>
          <w:szCs w:val="24"/>
          <w:lang w:eastAsia="en-US"/>
        </w:rPr>
        <w:t>,</w:t>
      </w:r>
      <w:r w:rsidR="00A10AD4">
        <w:rPr>
          <w:rFonts w:ascii="Times New Roman" w:eastAsia="Calibri" w:hAnsi="Times New Roman"/>
          <w:color w:val="000000"/>
          <w:szCs w:val="24"/>
          <w:lang w:eastAsia="en-US"/>
        </w:rPr>
        <w:t xml:space="preserve"> mesmo</w:t>
      </w:r>
      <w:r w:rsidR="00FF2DB1" w:rsidRPr="000E5487">
        <w:rPr>
          <w:rFonts w:ascii="Times New Roman" w:eastAsia="Calibri" w:hAnsi="Times New Roman"/>
          <w:color w:val="000000"/>
          <w:szCs w:val="24"/>
          <w:lang w:eastAsia="en-US"/>
        </w:rPr>
        <w:t xml:space="preserve"> após a adoção das IFRS.</w:t>
      </w:r>
    </w:p>
    <w:p w:rsidR="00AF2A51" w:rsidRDefault="00AF2A51" w:rsidP="00AF2A51">
      <w:pPr>
        <w:spacing w:after="0" w:line="240" w:lineRule="auto"/>
        <w:jc w:val="both"/>
        <w:rPr>
          <w:rFonts w:ascii="Times New Roman" w:hAnsi="Times New Roman"/>
          <w:b/>
          <w:noProof/>
          <w:szCs w:val="24"/>
        </w:rPr>
      </w:pPr>
    </w:p>
    <w:p w:rsidR="00C94C16" w:rsidRPr="000E5487" w:rsidRDefault="00AF2A51" w:rsidP="00AF2A51">
      <w:pPr>
        <w:spacing w:after="120" w:line="240" w:lineRule="auto"/>
        <w:jc w:val="both"/>
        <w:rPr>
          <w:rFonts w:ascii="Times New Roman" w:hAnsi="Times New Roman"/>
          <w:noProof/>
          <w:szCs w:val="24"/>
        </w:rPr>
      </w:pPr>
      <w:r>
        <w:rPr>
          <w:rFonts w:ascii="Times New Roman" w:hAnsi="Times New Roman"/>
          <w:b/>
          <w:noProof/>
          <w:szCs w:val="24"/>
        </w:rPr>
        <w:t>5</w:t>
      </w:r>
      <w:r w:rsidR="00C94C16" w:rsidRPr="000E5487">
        <w:rPr>
          <w:rFonts w:ascii="Times New Roman" w:hAnsi="Times New Roman"/>
          <w:noProof/>
          <w:szCs w:val="24"/>
        </w:rPr>
        <w:t xml:space="preserve"> </w:t>
      </w:r>
      <w:r w:rsidRPr="000E5487">
        <w:rPr>
          <w:rFonts w:ascii="Times New Roman" w:hAnsi="Times New Roman"/>
          <w:b/>
          <w:noProof/>
          <w:szCs w:val="24"/>
        </w:rPr>
        <w:t>Considerações Finais</w:t>
      </w:r>
    </w:p>
    <w:p w:rsidR="00857067" w:rsidRPr="000E5487" w:rsidRDefault="00857067" w:rsidP="00B747D7">
      <w:pPr>
        <w:pBdr>
          <w:top w:val="nil"/>
          <w:left w:val="nil"/>
          <w:bottom w:val="nil"/>
          <w:right w:val="nil"/>
          <w:between w:val="nil"/>
          <w:bar w:val="nil"/>
        </w:pBd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Este estudo identificou as escolhas contábeis no contexto da mensuração </w:t>
      </w:r>
      <w:r w:rsidR="009578DE" w:rsidRPr="000E5487">
        <w:rPr>
          <w:rFonts w:ascii="Times New Roman" w:eastAsia="Calibri" w:hAnsi="Times New Roman"/>
          <w:color w:val="000000"/>
          <w:szCs w:val="24"/>
          <w:lang w:eastAsia="en-US"/>
        </w:rPr>
        <w:t>de ativos biológicos e verificou</w:t>
      </w:r>
      <w:r w:rsidRPr="000E5487">
        <w:rPr>
          <w:rFonts w:ascii="Times New Roman" w:eastAsia="Calibri" w:hAnsi="Times New Roman"/>
          <w:color w:val="000000"/>
          <w:szCs w:val="24"/>
          <w:lang w:eastAsia="en-US"/>
        </w:rPr>
        <w:t xml:space="preserve"> se tais escolhas estão associadas ao perfil dos profissionais que os mensuram</w:t>
      </w:r>
      <w:r w:rsidR="009578DE" w:rsidRPr="000E5487">
        <w:rPr>
          <w:rFonts w:ascii="Times New Roman" w:eastAsia="Calibri" w:hAnsi="Times New Roman"/>
          <w:color w:val="000000"/>
          <w:szCs w:val="24"/>
          <w:lang w:eastAsia="en-US"/>
        </w:rPr>
        <w:t xml:space="preserve">. Os </w:t>
      </w:r>
      <w:r w:rsidR="006E39B5" w:rsidRPr="000E5487">
        <w:rPr>
          <w:rFonts w:ascii="Times New Roman" w:eastAsia="Calibri" w:hAnsi="Times New Roman"/>
          <w:color w:val="000000"/>
          <w:szCs w:val="24"/>
          <w:lang w:eastAsia="en-US"/>
        </w:rPr>
        <w:t xml:space="preserve">resultados </w:t>
      </w:r>
      <w:r w:rsidR="009578DE" w:rsidRPr="000E5487">
        <w:rPr>
          <w:rFonts w:ascii="Times New Roman" w:eastAsia="Calibri" w:hAnsi="Times New Roman"/>
          <w:color w:val="000000"/>
          <w:szCs w:val="24"/>
          <w:lang w:eastAsia="en-US"/>
        </w:rPr>
        <w:t>permitem inferir que não há uma padronização das técnicas e procedimentos de mensuração. Porém</w:t>
      </w:r>
      <w:r w:rsidR="006E39B5" w:rsidRPr="000E5487">
        <w:rPr>
          <w:rFonts w:ascii="Times New Roman" w:eastAsia="Calibri" w:hAnsi="Times New Roman"/>
          <w:color w:val="000000"/>
          <w:szCs w:val="24"/>
          <w:lang w:eastAsia="en-US"/>
        </w:rPr>
        <w:t>,</w:t>
      </w:r>
      <w:r w:rsidR="009578DE" w:rsidRPr="000E5487">
        <w:rPr>
          <w:rFonts w:ascii="Times New Roman" w:eastAsia="Calibri" w:hAnsi="Times New Roman"/>
          <w:color w:val="000000"/>
          <w:szCs w:val="24"/>
          <w:lang w:eastAsia="en-US"/>
        </w:rPr>
        <w:t xml:space="preserve"> existem algumas tendências de padrões tais como, o uso do Fluxo de Caixa Descontado (FCD), do modelo CAPM para estimar o custo do capital próprio, da taxa Selic como um título livre de risco e do Ibovespa como referência da carteira de mercado.</w:t>
      </w:r>
    </w:p>
    <w:p w:rsidR="007B2336" w:rsidRPr="000E5487" w:rsidRDefault="00F52BE1" w:rsidP="00B747D7">
      <w:pPr>
        <w:pBdr>
          <w:top w:val="nil"/>
          <w:left w:val="nil"/>
          <w:bottom w:val="nil"/>
          <w:right w:val="nil"/>
          <w:between w:val="nil"/>
          <w:bar w:val="nil"/>
        </w:pBd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A contribuição </w:t>
      </w:r>
      <w:r w:rsidR="004A159D" w:rsidRPr="000E5487">
        <w:rPr>
          <w:rFonts w:ascii="Times New Roman" w:eastAsia="Calibri" w:hAnsi="Times New Roman"/>
          <w:color w:val="000000"/>
          <w:szCs w:val="24"/>
          <w:lang w:eastAsia="en-US"/>
        </w:rPr>
        <w:t xml:space="preserve">do presente estudo </w:t>
      </w:r>
      <w:r w:rsidRPr="000E5487">
        <w:rPr>
          <w:rFonts w:ascii="Times New Roman" w:eastAsia="Calibri" w:hAnsi="Times New Roman"/>
          <w:color w:val="000000"/>
          <w:szCs w:val="24"/>
          <w:lang w:eastAsia="en-US"/>
        </w:rPr>
        <w:t>reside</w:t>
      </w:r>
      <w:r w:rsidR="006E39B5"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principalmente</w:t>
      </w:r>
      <w:r w:rsidR="006E39B5"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na identificação das múltiplas escolhas contábeis </w:t>
      </w:r>
      <w:r w:rsidR="00600FCC">
        <w:rPr>
          <w:rFonts w:ascii="Times New Roman" w:eastAsia="Calibri" w:hAnsi="Times New Roman"/>
          <w:color w:val="000000"/>
          <w:szCs w:val="24"/>
          <w:lang w:eastAsia="en-US"/>
        </w:rPr>
        <w:t xml:space="preserve">no contexto da mensuração </w:t>
      </w:r>
      <w:r w:rsidRPr="000E5487">
        <w:rPr>
          <w:rFonts w:ascii="Times New Roman" w:eastAsia="Calibri" w:hAnsi="Times New Roman"/>
          <w:color w:val="000000"/>
          <w:szCs w:val="24"/>
          <w:lang w:eastAsia="en-US"/>
        </w:rPr>
        <w:t>de ativos biológicos</w:t>
      </w:r>
      <w:r w:rsidR="004A159D"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considerando os detalhes e particularidades da maioria das técnicas e procedimentos contábeis </w:t>
      </w:r>
      <w:r w:rsidR="009578DE" w:rsidRPr="000E5487">
        <w:rPr>
          <w:rFonts w:ascii="Times New Roman" w:eastAsia="Calibri" w:hAnsi="Times New Roman"/>
          <w:color w:val="000000"/>
          <w:szCs w:val="24"/>
          <w:lang w:eastAsia="en-US"/>
        </w:rPr>
        <w:t>dada à escassez de informações dessa natureza conforme mencionado por</w:t>
      </w:r>
      <w:r w:rsidR="00823B5C">
        <w:rPr>
          <w:rFonts w:ascii="Times New Roman" w:eastAsia="Calibri" w:hAnsi="Times New Roman"/>
          <w:color w:val="000000"/>
          <w:szCs w:val="24"/>
          <w:lang w:eastAsia="en-US"/>
        </w:rPr>
        <w:t xml:space="preserve"> </w:t>
      </w:r>
      <w:r w:rsidR="00823B5C">
        <w:rPr>
          <w:rFonts w:ascii="Times New Roman" w:eastAsia="Calibri" w:hAnsi="Times New Roman"/>
          <w:color w:val="000000"/>
          <w:szCs w:val="24"/>
          <w:lang w:eastAsia="en-US"/>
        </w:rPr>
        <w:fldChar w:fldCharType="begin" w:fldLock="1"/>
      </w:r>
      <w:r w:rsidR="00823B5C">
        <w:rPr>
          <w:rFonts w:ascii="Times New Roman" w:eastAsia="Calibri" w:hAnsi="Times New Roman"/>
          <w:color w:val="000000"/>
          <w:szCs w:val="24"/>
          <w:lang w:eastAsia="en-US"/>
        </w:rPr>
        <w:instrText>ADDIN CSL_CITATION {"citationItems":[{"id":"ITEM-1","itemData":{"DOI":"10.5007/2175-8069.2016v13n29p129","ISSN":"2175-8069","abstract":"Neste ensaio, é promovida uma discussão crítica a respeito das teorias e das principais obras que tratam do estudo das escolhas contábeis, com o objetivo de despertar provocações e reflexões para o desenvolvimento de pesquisas sobre esse tema. A literatura da área ofereceu contribuições ao longo dos anos, porém questões, como a existência de uma teoria consolidada das escolhas contábeis e os determinantes das múltiplas escolhas contábeis, ainda não estão claras. As principais contribuições deste estudo são: oferecer uma triangulação teórica com base em discussões fundamentadas sobre a Teoria Contratual da Firma, sobre as teorias econômicas que consubstanciam a chamada ‘Teoria Positiva da Contabilidade’ e sobre a Teoria Institucional; e propor reflexões para o estudo de múltiplos fatores determinantes e consequências econômicas das escolhas contábeis, empregando diferentes abordagens metodológicas. Acredita-se que as amarrações teóricas e hipotéticas (assim como suaslimitações) derivadas da interação entre as teorias aqui criticadas possam despertar a necessidade de reestruturações das pesquisas em escolhas contábeis, tanto em termos teóricos quanto metodológicos.","author":[{"dropping-particle":"da","family":"Silva","given":"Denise Mendes","non-dropping-particle":"","parse-names":false,"suffix":""},{"dropping-particle":"","family":"Martins","given":"Vinícius Aversari","non-dropping-particle":"","parse-names":false,"suffix":""},{"dropping-particle":"","family":"Lemes","given":"Sirlei","non-dropping-particle":"","parse-names":false,"suffix":""}],"container-title":"Revista Contemporânea de Contabilidade","id":"ITEM-1","issue":"29","issued":{"date-parts":[["2016"]]},"page":"129-156","title":"Escolhas Contábeis: reflexões para a pesquisa","type":"article-journal","volume":"13"},"uris":["http://www.mendeley.com/documents/?uuid=1370162b-6430-4a82-9cfc-f4c93966aa9c"]}],"mendeley":{"formattedCitation":"(SILVA; MARTINS; LEMES, 2016)","manualFormatting":"Silva, Martins e Lemes (2016)","plainTextFormattedCitation":"(SILVA; MARTINS; LEMES, 2016)","previouslyFormattedCitation":"(SILVA; MARTINS; LEMES, 2016)"},"properties":{"noteIndex":0},"schema":"https://github.com/citation-style-language/schema/raw/master/csl-citation.json"}</w:instrText>
      </w:r>
      <w:r w:rsidR="00823B5C">
        <w:rPr>
          <w:rFonts w:ascii="Times New Roman" w:eastAsia="Calibri" w:hAnsi="Times New Roman"/>
          <w:color w:val="000000"/>
          <w:szCs w:val="24"/>
          <w:lang w:eastAsia="en-US"/>
        </w:rPr>
        <w:fldChar w:fldCharType="separate"/>
      </w:r>
      <w:r w:rsidR="00823B5C">
        <w:rPr>
          <w:rFonts w:ascii="Times New Roman" w:eastAsia="Calibri" w:hAnsi="Times New Roman"/>
          <w:noProof/>
          <w:color w:val="000000"/>
          <w:szCs w:val="24"/>
          <w:lang w:eastAsia="en-US"/>
        </w:rPr>
        <w:t>Silva,</w:t>
      </w:r>
      <w:r w:rsidR="00823B5C" w:rsidRPr="00823B5C">
        <w:rPr>
          <w:rFonts w:ascii="Times New Roman" w:eastAsia="Calibri" w:hAnsi="Times New Roman"/>
          <w:noProof/>
          <w:color w:val="000000"/>
          <w:szCs w:val="24"/>
          <w:lang w:eastAsia="en-US"/>
        </w:rPr>
        <w:t xml:space="preserve"> Martins</w:t>
      </w:r>
      <w:r w:rsidR="00823B5C">
        <w:rPr>
          <w:rFonts w:ascii="Times New Roman" w:eastAsia="Calibri" w:hAnsi="Times New Roman"/>
          <w:noProof/>
          <w:color w:val="000000"/>
          <w:szCs w:val="24"/>
          <w:lang w:eastAsia="en-US"/>
        </w:rPr>
        <w:t xml:space="preserve"> e</w:t>
      </w:r>
      <w:r w:rsidR="00823B5C" w:rsidRPr="00823B5C">
        <w:rPr>
          <w:rFonts w:ascii="Times New Roman" w:eastAsia="Calibri" w:hAnsi="Times New Roman"/>
          <w:noProof/>
          <w:color w:val="000000"/>
          <w:szCs w:val="24"/>
          <w:lang w:eastAsia="en-US"/>
        </w:rPr>
        <w:t xml:space="preserve"> Lemes </w:t>
      </w:r>
      <w:r w:rsidR="00823B5C">
        <w:rPr>
          <w:rFonts w:ascii="Times New Roman" w:eastAsia="Calibri" w:hAnsi="Times New Roman"/>
          <w:noProof/>
          <w:color w:val="000000"/>
          <w:szCs w:val="24"/>
          <w:lang w:eastAsia="en-US"/>
        </w:rPr>
        <w:t>(</w:t>
      </w:r>
      <w:r w:rsidR="00823B5C" w:rsidRPr="00823B5C">
        <w:rPr>
          <w:rFonts w:ascii="Times New Roman" w:eastAsia="Calibri" w:hAnsi="Times New Roman"/>
          <w:noProof/>
          <w:color w:val="000000"/>
          <w:szCs w:val="24"/>
          <w:lang w:eastAsia="en-US"/>
        </w:rPr>
        <w:t>2016)</w:t>
      </w:r>
      <w:r w:rsidR="00823B5C">
        <w:rPr>
          <w:rFonts w:ascii="Times New Roman" w:eastAsia="Calibri" w:hAnsi="Times New Roman"/>
          <w:color w:val="000000"/>
          <w:szCs w:val="24"/>
          <w:lang w:eastAsia="en-US"/>
        </w:rPr>
        <w:fldChar w:fldCharType="end"/>
      </w:r>
      <w:r w:rsidR="009578DE"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Outra relevante contribuição </w:t>
      </w:r>
      <w:r w:rsidR="00D7479D" w:rsidRPr="000E5487">
        <w:rPr>
          <w:rFonts w:ascii="Times New Roman" w:eastAsia="Calibri" w:hAnsi="Times New Roman"/>
          <w:color w:val="000000"/>
          <w:szCs w:val="24"/>
          <w:lang w:eastAsia="en-US"/>
        </w:rPr>
        <w:t xml:space="preserve">é </w:t>
      </w:r>
      <w:r w:rsidRPr="000E5487">
        <w:rPr>
          <w:rFonts w:ascii="Times New Roman" w:eastAsia="Calibri" w:hAnsi="Times New Roman"/>
          <w:color w:val="000000"/>
          <w:szCs w:val="24"/>
          <w:lang w:eastAsia="en-US"/>
        </w:rPr>
        <w:t>a</w:t>
      </w:r>
      <w:r w:rsidR="000E211D" w:rsidRPr="000E5487">
        <w:rPr>
          <w:rFonts w:ascii="Times New Roman" w:eastAsia="Calibri" w:hAnsi="Times New Roman"/>
          <w:color w:val="000000"/>
          <w:szCs w:val="24"/>
          <w:lang w:eastAsia="en-US"/>
        </w:rPr>
        <w:t xml:space="preserve"> verifica</w:t>
      </w:r>
      <w:r w:rsidRPr="000E5487">
        <w:rPr>
          <w:rFonts w:ascii="Times New Roman" w:eastAsia="Calibri" w:hAnsi="Times New Roman"/>
          <w:color w:val="000000"/>
          <w:szCs w:val="24"/>
          <w:lang w:eastAsia="en-US"/>
        </w:rPr>
        <w:t>ção da</w:t>
      </w:r>
      <w:r w:rsidR="000E211D" w:rsidRPr="000E5487">
        <w:rPr>
          <w:rFonts w:ascii="Times New Roman" w:eastAsia="Calibri" w:hAnsi="Times New Roman"/>
          <w:color w:val="000000"/>
          <w:szCs w:val="24"/>
          <w:lang w:eastAsia="en-US"/>
        </w:rPr>
        <w:t xml:space="preserve"> associa</w:t>
      </w:r>
      <w:r w:rsidRPr="000E5487">
        <w:rPr>
          <w:rFonts w:ascii="Times New Roman" w:eastAsia="Calibri" w:hAnsi="Times New Roman"/>
          <w:color w:val="000000"/>
          <w:szCs w:val="24"/>
          <w:lang w:eastAsia="en-US"/>
        </w:rPr>
        <w:t xml:space="preserve">ção </w:t>
      </w:r>
      <w:r w:rsidR="009578DE" w:rsidRPr="000E5487">
        <w:rPr>
          <w:rFonts w:ascii="Times New Roman" w:eastAsia="Calibri" w:hAnsi="Times New Roman"/>
          <w:color w:val="000000"/>
          <w:szCs w:val="24"/>
          <w:lang w:eastAsia="en-US"/>
        </w:rPr>
        <w:t xml:space="preserve">do tempo de experiência </w:t>
      </w:r>
      <w:r w:rsidR="000E211D" w:rsidRPr="000E5487">
        <w:rPr>
          <w:rFonts w:ascii="Times New Roman" w:eastAsia="Calibri" w:hAnsi="Times New Roman"/>
          <w:color w:val="000000"/>
          <w:szCs w:val="24"/>
          <w:lang w:eastAsia="en-US"/>
        </w:rPr>
        <w:t xml:space="preserve">dos </w:t>
      </w:r>
      <w:r w:rsidR="00AD6367" w:rsidRPr="000E5487">
        <w:rPr>
          <w:rFonts w:ascii="Times New Roman" w:eastAsia="Calibri" w:hAnsi="Times New Roman"/>
          <w:color w:val="000000"/>
          <w:szCs w:val="24"/>
          <w:lang w:eastAsia="en-US"/>
        </w:rPr>
        <w:t>profissionais</w:t>
      </w:r>
      <w:r w:rsidR="009578DE" w:rsidRPr="000E5487">
        <w:rPr>
          <w:rFonts w:ascii="Times New Roman" w:eastAsia="Calibri" w:hAnsi="Times New Roman"/>
          <w:color w:val="000000"/>
          <w:szCs w:val="24"/>
          <w:lang w:eastAsia="en-US"/>
        </w:rPr>
        <w:t xml:space="preserve"> na mensuração de ativos biológicos</w:t>
      </w:r>
      <w:r w:rsidR="00AD6367" w:rsidRPr="000E5487">
        <w:rPr>
          <w:rFonts w:ascii="Times New Roman" w:eastAsia="Calibri" w:hAnsi="Times New Roman"/>
          <w:color w:val="000000"/>
          <w:szCs w:val="24"/>
          <w:lang w:eastAsia="en-US"/>
        </w:rPr>
        <w:t xml:space="preserve"> </w:t>
      </w:r>
      <w:r w:rsidR="009578DE" w:rsidRPr="000E5487">
        <w:rPr>
          <w:rFonts w:ascii="Times New Roman" w:eastAsia="Calibri" w:hAnsi="Times New Roman"/>
          <w:color w:val="000000"/>
          <w:szCs w:val="24"/>
          <w:lang w:eastAsia="en-US"/>
        </w:rPr>
        <w:t>com suas escolhas contábeis</w:t>
      </w:r>
      <w:r w:rsidR="00D7479D" w:rsidRPr="000E5487">
        <w:rPr>
          <w:rFonts w:ascii="Times New Roman" w:eastAsia="Calibri" w:hAnsi="Times New Roman"/>
          <w:color w:val="000000"/>
          <w:szCs w:val="24"/>
          <w:lang w:eastAsia="en-US"/>
        </w:rPr>
        <w:t xml:space="preserve">, </w:t>
      </w:r>
      <w:r w:rsidR="009578DE" w:rsidRPr="000E5487">
        <w:rPr>
          <w:rFonts w:ascii="Times New Roman" w:eastAsia="Calibri" w:hAnsi="Times New Roman"/>
          <w:color w:val="000000"/>
          <w:szCs w:val="24"/>
          <w:lang w:eastAsia="en-US"/>
        </w:rPr>
        <w:t xml:space="preserve"> contribuindo para a Teoria das Escolhas Contábeis ao demonstrar essa associação. Esses achados apoiam o estudo de </w:t>
      </w:r>
      <w:r w:rsidR="009578DE" w:rsidRPr="000E5487">
        <w:rPr>
          <w:rFonts w:ascii="Times New Roman" w:eastAsia="Calibri" w:hAnsi="Times New Roman"/>
          <w:color w:val="000000"/>
          <w:szCs w:val="24"/>
          <w:lang w:eastAsia="en-US"/>
        </w:rPr>
        <w:fldChar w:fldCharType="begin" w:fldLock="1"/>
      </w:r>
      <w:r w:rsidR="00823B5C">
        <w:rPr>
          <w:rFonts w:ascii="Times New Roman" w:eastAsia="Calibri" w:hAnsi="Times New Roman"/>
          <w:color w:val="000000"/>
          <w:szCs w:val="24"/>
          <w:lang w:eastAsia="en-US"/>
        </w:rPr>
        <w:instrText>ADDIN CSL_CITATION {"citationItems":[{"id":"ITEM-1","itemData":{"DOI":"10.1016/j.cpa.2013.03.005","ISBN":"1045-2354","ISSN":"10959955","abstract":"We investigate the translation and application of global accounting standards in a local context, with Romania as our country case study. Our theoretical framework is derived from institutional theory. We develop this by complementing isomorphism (. DiMaggio and Powell, 1983) with an emphasis on the behavior of actors and with the different strategic responses that organizations enact as a result of the institutional pressures toward conformity, following Oliver (1991). We contend that local actors play a more important role in triggering organizational responses than is implied by Oliver's (1991) framework in the application of International Financial Reporting Standards (IFRS). This is because organizational responses to these global standards are conditioned by the interplay between actors, who are searching for legitimacy and the attainment of their own (mutually conflicting) interests.Contrary to earlier institutional propositions, we find that acquiescence strategies may occur even when there is a great degree of constituent multiplicity, and that avoidance may occur in entities with a smaller degree of multiplicity. We thus argue that countries are not homogeneous in terms of accounting practices. Finally we suggest that intra-organizational interests and actions are important for IFRS implementation, and future research should investigate this in depth.","author":[{"dropping-particle":"","family":"Albu","given":"Cătălin Nicolae","non-dropping-particle":"","parse-names":false,"suffix":""},{"dropping-particle":"","family":"Albu","given":"Nadia","non-dropping-particle":"","parse-names":false,"suffix":""},{"dropping-particle":"","family":"Alexander","given":"David","non-dropping-particle":"","parse-names":false,"suffix":""}],"container-title":"Critical Perspectives on Accounting","id":"ITEM-1","issue":"6","issued":{"date-parts":[["2014"]]},"page":"489-510","title":"When global accounting standards meet the local context-Insights from an emerging economy","type":"article-journal","volume":"25"},"uris":["http://www.mendeley.com/documents/?uuid=18f3c0cf-2c31-4694-bd9e-280d5b75d5a0"]}],"mendeley":{"formattedCitation":"(ALBU; ALBU; ALEXANDER, 2014)","manualFormatting":"Albu, Albu e Alexander (2014)","plainTextFormattedCitation":"(ALBU; ALBU; ALEXANDER, 2014)","previouslyFormattedCitation":"(ALBU; ALBU; ALEXANDER, 2014)"},"properties":{"noteIndex":0},"schema":"https://github.com/citation-style-language/schema/raw/master/csl-citation.json"}</w:instrText>
      </w:r>
      <w:r w:rsidR="009578DE" w:rsidRPr="000E5487">
        <w:rPr>
          <w:rFonts w:ascii="Times New Roman" w:eastAsia="Calibri" w:hAnsi="Times New Roman"/>
          <w:color w:val="000000"/>
          <w:szCs w:val="24"/>
          <w:lang w:eastAsia="en-US"/>
        </w:rPr>
        <w:fldChar w:fldCharType="separate"/>
      </w:r>
      <w:r w:rsidR="00823B5C" w:rsidRPr="00823B5C">
        <w:rPr>
          <w:rFonts w:ascii="Times New Roman" w:eastAsia="Calibri" w:hAnsi="Times New Roman"/>
          <w:noProof/>
          <w:color w:val="000000"/>
          <w:szCs w:val="24"/>
          <w:lang w:eastAsia="en-US"/>
        </w:rPr>
        <w:t>Albu</w:t>
      </w:r>
      <w:r w:rsidR="00823B5C">
        <w:rPr>
          <w:rFonts w:ascii="Times New Roman" w:eastAsia="Calibri" w:hAnsi="Times New Roman"/>
          <w:noProof/>
          <w:color w:val="000000"/>
          <w:szCs w:val="24"/>
          <w:lang w:eastAsia="en-US"/>
        </w:rPr>
        <w:t>, Albu e</w:t>
      </w:r>
      <w:r w:rsidR="00823B5C" w:rsidRPr="00823B5C">
        <w:rPr>
          <w:rFonts w:ascii="Times New Roman" w:eastAsia="Calibri" w:hAnsi="Times New Roman"/>
          <w:noProof/>
          <w:color w:val="000000"/>
          <w:szCs w:val="24"/>
          <w:lang w:eastAsia="en-US"/>
        </w:rPr>
        <w:t xml:space="preserve"> Alexander </w:t>
      </w:r>
      <w:r w:rsidR="00823B5C">
        <w:rPr>
          <w:rFonts w:ascii="Times New Roman" w:eastAsia="Calibri" w:hAnsi="Times New Roman"/>
          <w:noProof/>
          <w:color w:val="000000"/>
          <w:szCs w:val="24"/>
          <w:lang w:eastAsia="en-US"/>
        </w:rPr>
        <w:t>(</w:t>
      </w:r>
      <w:r w:rsidR="00823B5C" w:rsidRPr="00823B5C">
        <w:rPr>
          <w:rFonts w:ascii="Times New Roman" w:eastAsia="Calibri" w:hAnsi="Times New Roman"/>
          <w:noProof/>
          <w:color w:val="000000"/>
          <w:szCs w:val="24"/>
          <w:lang w:eastAsia="en-US"/>
        </w:rPr>
        <w:t>2014)</w:t>
      </w:r>
      <w:r w:rsidR="009578DE" w:rsidRPr="000E5487">
        <w:rPr>
          <w:rFonts w:ascii="Times New Roman" w:eastAsia="Calibri" w:hAnsi="Times New Roman"/>
          <w:color w:val="000000"/>
          <w:szCs w:val="24"/>
          <w:lang w:eastAsia="en-US"/>
        </w:rPr>
        <w:fldChar w:fldCharType="end"/>
      </w:r>
      <w:r w:rsidR="009578DE" w:rsidRPr="000E5487">
        <w:rPr>
          <w:rFonts w:ascii="Times New Roman" w:eastAsia="Calibri" w:hAnsi="Times New Roman"/>
          <w:color w:val="000000"/>
          <w:szCs w:val="24"/>
          <w:lang w:eastAsia="en-US"/>
        </w:rPr>
        <w:t xml:space="preserve"> </w:t>
      </w:r>
      <w:r w:rsidR="00600FCC">
        <w:rPr>
          <w:rFonts w:ascii="Times New Roman" w:eastAsia="Calibri" w:hAnsi="Times New Roman"/>
          <w:color w:val="000000"/>
          <w:szCs w:val="24"/>
          <w:lang w:eastAsia="en-US"/>
        </w:rPr>
        <w:t xml:space="preserve">e </w:t>
      </w:r>
      <w:r w:rsidR="00600FCC" w:rsidRPr="000E5487">
        <w:rPr>
          <w:rFonts w:ascii="Times New Roman" w:eastAsia="Calibri" w:hAnsi="Times New Roman"/>
          <w:color w:val="000000"/>
          <w:szCs w:val="24"/>
          <w:lang w:eastAsia="en-US"/>
        </w:rPr>
        <w:fldChar w:fldCharType="begin" w:fldLock="1"/>
      </w:r>
      <w:r w:rsidR="001154CF">
        <w:rPr>
          <w:rFonts w:ascii="Times New Roman" w:eastAsia="Calibri" w:hAnsi="Times New Roman"/>
          <w:color w:val="000000"/>
          <w:szCs w:val="24"/>
          <w:lang w:eastAsia="en-US"/>
        </w:rPr>
        <w:instrText>ADDIN CSL_CITATION {"citationItems":[{"id":"ITEM-1","itemData":{"DOI":"10.1016/j.intaccaudtax.2004.09.002","ISBN":"10619518","ISSN":"10619518","abstract":"The International Accounting Standards Board (IASB) acquired greater legitimacy and stature when the European Union (EU) decided to require all listed companies to prepare consolidated accounts based on International Financial Reporting Standards (IFRS) beginning in 2005. This study examines the progress and perceived impediments to convergence in 17 European countries directly affected by the EU's decision. These include: (1) the 10 new EU member countries, (2) EU candidate countries, (3) European Economic Area (EEA) countries, and (4) Switzerland. We utilize data collected by the six largest international accounting firms during their 2002 convergence survey. Additionally, we analyze subsequent events and studies. While all surveyed countries will either require or effectively allow listed companies to prepare consolidated financial statements in accordance with IFRS by 2005, few are expected to require IFRS for non-listed companies. This suggests the development of a \"two-standard\" system. The two most significant impediments to convergence identified by the survey appear to be the complicated nature of particular IFRS (including financial instruments) and the tax-orientation of many national accounting systems. Other barriers to convergence include underdeveloped national capital markets, insufficient guidance on first-time application of IFRS, and limited experience with certain types of transactions (e.g. pensions). © 2004 Elsevier Inc. All rights reserved.","author":[{"dropping-particle":"","family":"Larson","given":"Robert K.","non-dropping-particle":"","parse-names":false,"suffix":""},{"dropping-particle":"","family":"Street","given":"Donna L.","non-dropping-particle":"","parse-names":false,"suffix":""}],"container-title":"Journal of International Accounting, Auditing and Taxation","id":"ITEM-1","issue":"2","issued":{"date-parts":[["2004"]]},"page":"89-119","title":"Convergence with IFRS in an expanding Europe: Progress and obstacles identified by large accounting firms' survey","type":"article-journal","volume":"13"},"uris":["http://www.mendeley.com/documents/?uuid=dff3d5a5-4723-4db0-ac3a-188a7d63882a"]}],"mendeley":{"formattedCitation":"(LARSON; STREET, 2004)","manualFormatting":"Larson e Street (2004)","plainTextFormattedCitation":"(LARSON; STREET, 2004)","previouslyFormattedCitation":"(LARSON; STREET, 2004)"},"properties":{"noteIndex":0},"schema":"https://github.com/citation-style-language/schema/raw/master/csl-citation.json"}</w:instrText>
      </w:r>
      <w:r w:rsidR="00600FCC" w:rsidRPr="000E5487">
        <w:rPr>
          <w:rFonts w:ascii="Times New Roman" w:eastAsia="Calibri" w:hAnsi="Times New Roman"/>
          <w:color w:val="000000"/>
          <w:szCs w:val="24"/>
          <w:lang w:eastAsia="en-US"/>
        </w:rPr>
        <w:fldChar w:fldCharType="separate"/>
      </w:r>
      <w:r w:rsidR="00600FCC" w:rsidRPr="000E5487">
        <w:rPr>
          <w:rFonts w:ascii="Times New Roman" w:eastAsia="Calibri" w:hAnsi="Times New Roman"/>
          <w:noProof/>
          <w:color w:val="000000"/>
          <w:szCs w:val="24"/>
          <w:lang w:eastAsia="en-US"/>
        </w:rPr>
        <w:t xml:space="preserve">Larson e Street </w:t>
      </w:r>
      <w:r w:rsidR="00600FCC">
        <w:rPr>
          <w:rFonts w:ascii="Times New Roman" w:eastAsia="Calibri" w:hAnsi="Times New Roman"/>
          <w:noProof/>
          <w:color w:val="000000"/>
          <w:szCs w:val="24"/>
          <w:lang w:eastAsia="en-US"/>
        </w:rPr>
        <w:t>(</w:t>
      </w:r>
      <w:r w:rsidR="00600FCC" w:rsidRPr="000E5487">
        <w:rPr>
          <w:rFonts w:ascii="Times New Roman" w:eastAsia="Calibri" w:hAnsi="Times New Roman"/>
          <w:noProof/>
          <w:color w:val="000000"/>
          <w:szCs w:val="24"/>
          <w:lang w:eastAsia="en-US"/>
        </w:rPr>
        <w:t>2004)</w:t>
      </w:r>
      <w:r w:rsidR="00600FCC" w:rsidRPr="000E5487">
        <w:rPr>
          <w:rFonts w:ascii="Times New Roman" w:eastAsia="Calibri" w:hAnsi="Times New Roman"/>
          <w:color w:val="000000"/>
          <w:szCs w:val="24"/>
          <w:lang w:eastAsia="en-US"/>
        </w:rPr>
        <w:fldChar w:fldCharType="end"/>
      </w:r>
      <w:r w:rsidR="00600FCC">
        <w:rPr>
          <w:rFonts w:ascii="Times New Roman" w:eastAsia="Calibri" w:hAnsi="Times New Roman"/>
          <w:color w:val="000000"/>
          <w:szCs w:val="24"/>
          <w:lang w:eastAsia="en-US"/>
        </w:rPr>
        <w:t xml:space="preserve"> </w:t>
      </w:r>
      <w:r w:rsidR="009578DE" w:rsidRPr="000E5487">
        <w:rPr>
          <w:rFonts w:ascii="Times New Roman" w:eastAsia="Calibri" w:hAnsi="Times New Roman"/>
          <w:color w:val="000000"/>
          <w:szCs w:val="24"/>
          <w:lang w:eastAsia="en-US"/>
        </w:rPr>
        <w:t xml:space="preserve">sobre a importância dos profissionais contábeis como atores locais </w:t>
      </w:r>
      <w:r w:rsidR="00344415" w:rsidRPr="000E5487">
        <w:rPr>
          <w:rFonts w:ascii="Times New Roman" w:eastAsia="Calibri" w:hAnsi="Times New Roman"/>
          <w:color w:val="000000"/>
          <w:szCs w:val="24"/>
          <w:lang w:eastAsia="en-US"/>
        </w:rPr>
        <w:t>na</w:t>
      </w:r>
      <w:r w:rsidR="009578DE" w:rsidRPr="000E5487">
        <w:rPr>
          <w:rFonts w:ascii="Times New Roman" w:eastAsia="Calibri" w:hAnsi="Times New Roman"/>
          <w:color w:val="000000"/>
          <w:szCs w:val="24"/>
          <w:lang w:eastAsia="en-US"/>
        </w:rPr>
        <w:t xml:space="preserve"> explica</w:t>
      </w:r>
      <w:r w:rsidR="00344415" w:rsidRPr="000E5487">
        <w:rPr>
          <w:rFonts w:ascii="Times New Roman" w:eastAsia="Calibri" w:hAnsi="Times New Roman"/>
          <w:color w:val="000000"/>
          <w:szCs w:val="24"/>
          <w:lang w:eastAsia="en-US"/>
        </w:rPr>
        <w:t>ção d</w:t>
      </w:r>
      <w:r w:rsidR="009578DE" w:rsidRPr="000E5487">
        <w:rPr>
          <w:rFonts w:ascii="Times New Roman" w:eastAsia="Calibri" w:hAnsi="Times New Roman"/>
          <w:color w:val="000000"/>
          <w:szCs w:val="24"/>
          <w:lang w:eastAsia="en-US"/>
        </w:rPr>
        <w:t>as escolhas contábeis.</w:t>
      </w:r>
    </w:p>
    <w:p w:rsidR="00F52BE1" w:rsidRPr="000E5487" w:rsidRDefault="00DA08B6" w:rsidP="00B747D7">
      <w:pPr>
        <w:pBdr>
          <w:top w:val="nil"/>
          <w:left w:val="nil"/>
          <w:bottom w:val="nil"/>
          <w:right w:val="nil"/>
          <w:between w:val="nil"/>
          <w:bar w:val="nil"/>
        </w:pBdr>
        <w:spacing w:after="0" w:line="240" w:lineRule="auto"/>
        <w:ind w:firstLine="709"/>
        <w:jc w:val="both"/>
        <w:rPr>
          <w:rFonts w:ascii="Times New Roman" w:eastAsia="Calibri" w:hAnsi="Times New Roman"/>
          <w:color w:val="000000"/>
          <w:szCs w:val="24"/>
          <w:lang w:eastAsia="en-US"/>
        </w:rPr>
      </w:pPr>
      <w:r w:rsidRPr="000E5487">
        <w:rPr>
          <w:rFonts w:ascii="Times New Roman" w:eastAsia="Calibri" w:hAnsi="Times New Roman"/>
          <w:color w:val="000000"/>
          <w:szCs w:val="24"/>
          <w:lang w:eastAsia="en-US"/>
        </w:rPr>
        <w:t xml:space="preserve">Os resultados e </w:t>
      </w:r>
      <w:r w:rsidR="006E39B5" w:rsidRPr="000E5487">
        <w:rPr>
          <w:rFonts w:ascii="Times New Roman" w:eastAsia="Calibri" w:hAnsi="Times New Roman"/>
          <w:color w:val="000000"/>
          <w:szCs w:val="24"/>
          <w:lang w:eastAsia="en-US"/>
        </w:rPr>
        <w:t xml:space="preserve">constatações </w:t>
      </w:r>
      <w:r w:rsidRPr="000E5487">
        <w:rPr>
          <w:rFonts w:ascii="Times New Roman" w:eastAsia="Calibri" w:hAnsi="Times New Roman"/>
          <w:color w:val="000000"/>
          <w:szCs w:val="24"/>
          <w:lang w:eastAsia="en-US"/>
        </w:rPr>
        <w:t xml:space="preserve">aqui expostos são limitados à amostra obtida, contudo, </w:t>
      </w:r>
      <w:r w:rsidR="003F5E15" w:rsidRPr="000E5487">
        <w:rPr>
          <w:rFonts w:ascii="Times New Roman" w:eastAsia="Calibri" w:hAnsi="Times New Roman"/>
          <w:color w:val="000000"/>
          <w:szCs w:val="24"/>
          <w:lang w:eastAsia="en-US"/>
        </w:rPr>
        <w:t>considera-se que os profissionais participantes, por</w:t>
      </w:r>
      <w:r w:rsidRPr="000E5487">
        <w:rPr>
          <w:rFonts w:ascii="Times New Roman" w:eastAsia="Calibri" w:hAnsi="Times New Roman"/>
          <w:color w:val="000000"/>
          <w:szCs w:val="24"/>
          <w:lang w:eastAsia="en-US"/>
        </w:rPr>
        <w:t xml:space="preserve"> responderem dire</w:t>
      </w:r>
      <w:r w:rsidR="00823B5C">
        <w:rPr>
          <w:rFonts w:ascii="Times New Roman" w:eastAsia="Calibri" w:hAnsi="Times New Roman"/>
          <w:color w:val="000000"/>
          <w:szCs w:val="24"/>
          <w:lang w:eastAsia="en-US"/>
        </w:rPr>
        <w:t>tamente pela aplicação da IAS 41</w:t>
      </w:r>
      <w:r w:rsidRPr="000E5487">
        <w:rPr>
          <w:rFonts w:ascii="Times New Roman" w:eastAsia="Calibri" w:hAnsi="Times New Roman"/>
          <w:color w:val="000000"/>
          <w:szCs w:val="24"/>
          <w:lang w:eastAsia="en-US"/>
        </w:rPr>
        <w:t xml:space="preserve"> na prática das empresas sucroenergéticas, possuem as características necessárias para atender aos objetivos deste estudo. Investigações tipo </w:t>
      </w:r>
      <w:r w:rsidRPr="000E5487">
        <w:rPr>
          <w:rFonts w:ascii="Times New Roman" w:eastAsia="Calibri" w:hAnsi="Times New Roman"/>
          <w:i/>
          <w:color w:val="000000"/>
          <w:szCs w:val="24"/>
          <w:lang w:eastAsia="en-US"/>
        </w:rPr>
        <w:t>survey</w:t>
      </w:r>
      <w:r w:rsidRPr="000E5487">
        <w:rPr>
          <w:rFonts w:ascii="Times New Roman" w:eastAsia="Calibri" w:hAnsi="Times New Roman"/>
          <w:color w:val="000000"/>
          <w:szCs w:val="24"/>
          <w:lang w:eastAsia="en-US"/>
        </w:rPr>
        <w:t xml:space="preserve"> estão sujeitas ao viés do respondente, sendo esta uma limitação deste estudo.</w:t>
      </w:r>
      <w:r w:rsidR="00823B5C">
        <w:rPr>
          <w:rFonts w:ascii="Times New Roman" w:eastAsia="Calibri" w:hAnsi="Times New Roman"/>
          <w:color w:val="000000"/>
          <w:szCs w:val="24"/>
          <w:lang w:eastAsia="en-US"/>
        </w:rPr>
        <w:t xml:space="preserve"> </w:t>
      </w:r>
      <w:r w:rsidR="00F52BE1" w:rsidRPr="000E5487">
        <w:rPr>
          <w:rFonts w:ascii="Times New Roman" w:eastAsia="Calibri" w:hAnsi="Times New Roman"/>
          <w:color w:val="000000"/>
          <w:szCs w:val="24"/>
          <w:lang w:eastAsia="en-US"/>
        </w:rPr>
        <w:t xml:space="preserve">Sugere-se que estudos futuros sejam </w:t>
      </w:r>
      <w:r w:rsidR="00723EB2">
        <w:rPr>
          <w:rFonts w:ascii="Times New Roman" w:eastAsia="Calibri" w:hAnsi="Times New Roman"/>
          <w:color w:val="000000"/>
          <w:szCs w:val="24"/>
          <w:lang w:eastAsia="en-US"/>
        </w:rPr>
        <w:t xml:space="preserve">realizados </w:t>
      </w:r>
      <w:r w:rsidR="00F52BE1" w:rsidRPr="000E5487">
        <w:rPr>
          <w:rFonts w:ascii="Times New Roman" w:eastAsia="Calibri" w:hAnsi="Times New Roman"/>
          <w:color w:val="000000"/>
          <w:szCs w:val="24"/>
          <w:lang w:eastAsia="en-US"/>
        </w:rPr>
        <w:t>abor</w:t>
      </w:r>
      <w:r w:rsidR="007B2336" w:rsidRPr="000E5487">
        <w:rPr>
          <w:rFonts w:ascii="Times New Roman" w:eastAsia="Calibri" w:hAnsi="Times New Roman"/>
          <w:color w:val="000000"/>
          <w:szCs w:val="24"/>
          <w:lang w:eastAsia="en-US"/>
        </w:rPr>
        <w:t>d</w:t>
      </w:r>
      <w:r w:rsidR="00823B5C">
        <w:rPr>
          <w:rFonts w:ascii="Times New Roman" w:eastAsia="Calibri" w:hAnsi="Times New Roman"/>
          <w:color w:val="000000"/>
          <w:szCs w:val="24"/>
          <w:lang w:eastAsia="en-US"/>
        </w:rPr>
        <w:t>ando</w:t>
      </w:r>
      <w:r w:rsidR="007B2336" w:rsidRPr="000E5487">
        <w:rPr>
          <w:rFonts w:ascii="Times New Roman" w:eastAsia="Calibri" w:hAnsi="Times New Roman"/>
          <w:color w:val="000000"/>
          <w:szCs w:val="24"/>
          <w:lang w:eastAsia="en-US"/>
        </w:rPr>
        <w:t xml:space="preserve"> </w:t>
      </w:r>
      <w:r w:rsidRPr="000E5487">
        <w:rPr>
          <w:rFonts w:ascii="Times New Roman" w:eastAsia="Calibri" w:hAnsi="Times New Roman"/>
          <w:color w:val="000000"/>
          <w:szCs w:val="24"/>
          <w:lang w:eastAsia="en-US"/>
        </w:rPr>
        <w:t>outros setores da economia</w:t>
      </w:r>
      <w:r w:rsidR="00377286" w:rsidRPr="000E5487">
        <w:rPr>
          <w:rFonts w:ascii="Times New Roman" w:eastAsia="Calibri" w:hAnsi="Times New Roman"/>
          <w:color w:val="000000"/>
          <w:szCs w:val="24"/>
          <w:lang w:eastAsia="en-US"/>
        </w:rPr>
        <w:t>,</w:t>
      </w:r>
      <w:r w:rsidRPr="000E5487">
        <w:rPr>
          <w:rFonts w:ascii="Times New Roman" w:eastAsia="Calibri" w:hAnsi="Times New Roman"/>
          <w:color w:val="000000"/>
          <w:szCs w:val="24"/>
          <w:lang w:eastAsia="en-US"/>
        </w:rPr>
        <w:t xml:space="preserve"> visando ampliar o conhecimento sobre as escolhas contábeis</w:t>
      </w:r>
      <w:r w:rsidR="00600FCC">
        <w:rPr>
          <w:rFonts w:ascii="Times New Roman" w:eastAsia="Calibri" w:hAnsi="Times New Roman"/>
          <w:color w:val="000000"/>
          <w:szCs w:val="24"/>
          <w:lang w:eastAsia="en-US"/>
        </w:rPr>
        <w:t xml:space="preserve"> e a aplicação da IAS 41 no Brasil</w:t>
      </w:r>
      <w:r w:rsidR="00723EB2">
        <w:rPr>
          <w:rFonts w:ascii="Times New Roman" w:eastAsia="Calibri" w:hAnsi="Times New Roman"/>
          <w:color w:val="000000"/>
          <w:szCs w:val="24"/>
          <w:lang w:eastAsia="en-US"/>
        </w:rPr>
        <w:t>, bem como, comparar a realidade brasileira com a de outros países</w:t>
      </w:r>
      <w:r w:rsidR="0094539D">
        <w:rPr>
          <w:rFonts w:ascii="Times New Roman" w:eastAsia="Calibri" w:hAnsi="Times New Roman"/>
          <w:color w:val="000000"/>
          <w:szCs w:val="24"/>
          <w:lang w:eastAsia="en-US"/>
        </w:rPr>
        <w:t>, contribuindo para o avanço da Teoria das Escolhas Cont</w:t>
      </w:r>
      <w:r w:rsidR="00B8566D">
        <w:rPr>
          <w:rFonts w:ascii="Times New Roman" w:eastAsia="Calibri" w:hAnsi="Times New Roman"/>
          <w:color w:val="000000"/>
          <w:szCs w:val="24"/>
          <w:lang w:eastAsia="en-US"/>
        </w:rPr>
        <w:t xml:space="preserve">ábeis </w:t>
      </w:r>
      <w:r w:rsidR="00C7019F">
        <w:rPr>
          <w:rFonts w:ascii="Times New Roman" w:eastAsia="Calibri" w:hAnsi="Times New Roman"/>
          <w:color w:val="000000"/>
          <w:szCs w:val="24"/>
          <w:lang w:eastAsia="en-US"/>
        </w:rPr>
        <w:t xml:space="preserve">e </w:t>
      </w:r>
      <w:r w:rsidR="00B8566D">
        <w:rPr>
          <w:rFonts w:ascii="Times New Roman" w:eastAsia="Calibri" w:hAnsi="Times New Roman"/>
          <w:color w:val="000000"/>
          <w:szCs w:val="24"/>
          <w:lang w:eastAsia="en-US"/>
        </w:rPr>
        <w:t>c</w:t>
      </w:r>
      <w:r w:rsidR="0094539D">
        <w:rPr>
          <w:rFonts w:ascii="Times New Roman" w:eastAsia="Calibri" w:hAnsi="Times New Roman"/>
          <w:color w:val="000000"/>
          <w:szCs w:val="24"/>
          <w:lang w:eastAsia="en-US"/>
        </w:rPr>
        <w:t>onsequentemente da Contabilidade.</w:t>
      </w:r>
    </w:p>
    <w:p w:rsidR="000E211D" w:rsidRPr="000E5487" w:rsidRDefault="000E211D" w:rsidP="00B747D7">
      <w:pPr>
        <w:pBdr>
          <w:top w:val="nil"/>
          <w:left w:val="nil"/>
          <w:bottom w:val="nil"/>
          <w:right w:val="nil"/>
          <w:between w:val="nil"/>
          <w:bar w:val="nil"/>
        </w:pBdr>
        <w:spacing w:after="0" w:line="240" w:lineRule="auto"/>
        <w:ind w:firstLine="709"/>
        <w:jc w:val="both"/>
        <w:rPr>
          <w:rFonts w:ascii="Times New Roman" w:eastAsia="Arial Unicode MS" w:hAnsi="Times New Roman"/>
          <w:szCs w:val="24"/>
          <w:bdr w:val="nil"/>
        </w:rPr>
      </w:pPr>
    </w:p>
    <w:p w:rsidR="0024559F" w:rsidRPr="00712720" w:rsidRDefault="0024559F" w:rsidP="00DA3DBD">
      <w:pPr>
        <w:spacing w:after="120" w:line="240" w:lineRule="auto"/>
        <w:rPr>
          <w:rFonts w:ascii="Times New Roman" w:hAnsi="Times New Roman"/>
          <w:b/>
          <w:szCs w:val="24"/>
          <w:lang w:val="en-US"/>
        </w:rPr>
      </w:pPr>
      <w:r w:rsidRPr="00712720">
        <w:rPr>
          <w:rFonts w:ascii="Times New Roman" w:hAnsi="Times New Roman"/>
          <w:b/>
          <w:szCs w:val="24"/>
          <w:lang w:val="en-US"/>
        </w:rPr>
        <w:t>R</w:t>
      </w:r>
      <w:r w:rsidR="00DA3DBD" w:rsidRPr="00712720">
        <w:rPr>
          <w:rFonts w:ascii="Times New Roman" w:hAnsi="Times New Roman"/>
          <w:b/>
          <w:szCs w:val="24"/>
          <w:lang w:val="en-US"/>
        </w:rPr>
        <w:t>eferências</w:t>
      </w:r>
    </w:p>
    <w:p w:rsidR="009B00E2" w:rsidRPr="00A35883" w:rsidRDefault="001154CF" w:rsidP="009B00E2">
      <w:pPr>
        <w:widowControl w:val="0"/>
        <w:autoSpaceDE w:val="0"/>
        <w:autoSpaceDN w:val="0"/>
        <w:adjustRightInd w:val="0"/>
        <w:spacing w:line="240" w:lineRule="auto"/>
        <w:rPr>
          <w:rFonts w:ascii="Times New Roman" w:hAnsi="Times New Roman"/>
          <w:noProof/>
          <w:szCs w:val="24"/>
          <w:lang w:val="en-US"/>
        </w:rPr>
      </w:pPr>
      <w:r>
        <w:rPr>
          <w:rFonts w:ascii="Times New Roman" w:hAnsi="Times New Roman"/>
          <w:b/>
          <w:szCs w:val="24"/>
          <w:lang w:val="en-US"/>
        </w:rPr>
        <w:fldChar w:fldCharType="begin" w:fldLock="1"/>
      </w:r>
      <w:r>
        <w:rPr>
          <w:rFonts w:ascii="Times New Roman" w:hAnsi="Times New Roman"/>
          <w:b/>
          <w:szCs w:val="24"/>
          <w:lang w:val="en-US"/>
        </w:rPr>
        <w:instrText xml:space="preserve">ADDIN Mendeley Bibliography CSL_BIBLIOGRAPHY </w:instrText>
      </w:r>
      <w:r>
        <w:rPr>
          <w:rFonts w:ascii="Times New Roman" w:hAnsi="Times New Roman"/>
          <w:b/>
          <w:szCs w:val="24"/>
          <w:lang w:val="en-US"/>
        </w:rPr>
        <w:fldChar w:fldCharType="separate"/>
      </w:r>
      <w:r w:rsidR="009B00E2" w:rsidRPr="00A35883">
        <w:rPr>
          <w:rFonts w:ascii="Times New Roman" w:hAnsi="Times New Roman"/>
          <w:noProof/>
          <w:szCs w:val="24"/>
          <w:lang w:val="en-US"/>
        </w:rPr>
        <w:t xml:space="preserve">ALBU, C. N.; ALBU, N.; ALEXANDER, D. When global accounting standards meet the local context-Insights from an emerging economy. </w:t>
      </w:r>
      <w:r w:rsidR="009B00E2" w:rsidRPr="00A35883">
        <w:rPr>
          <w:rFonts w:ascii="Times New Roman" w:hAnsi="Times New Roman"/>
          <w:b/>
          <w:bCs/>
          <w:noProof/>
          <w:szCs w:val="24"/>
          <w:lang w:val="en-US"/>
        </w:rPr>
        <w:t>Critical Perspectives on Accounting</w:t>
      </w:r>
      <w:r w:rsidR="009B00E2" w:rsidRPr="00A35883">
        <w:rPr>
          <w:rFonts w:ascii="Times New Roman" w:hAnsi="Times New Roman"/>
          <w:noProof/>
          <w:szCs w:val="24"/>
          <w:lang w:val="en-US"/>
        </w:rPr>
        <w:t xml:space="preserve">, v. 25, n. 6, p. 489–510, 2014.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ARGILÉS-BOSCH, J. M. et al. Usefulness of fair valuation of biological assets for cash flow prediction. </w:t>
      </w:r>
      <w:r w:rsidRPr="00A35883">
        <w:rPr>
          <w:rFonts w:ascii="Times New Roman" w:hAnsi="Times New Roman"/>
          <w:b/>
          <w:bCs/>
          <w:noProof/>
          <w:szCs w:val="24"/>
          <w:lang w:val="en-US"/>
        </w:rPr>
        <w:t>Spanish Journal of Finance and Accounting</w:t>
      </w:r>
      <w:r w:rsidRPr="00A35883">
        <w:rPr>
          <w:rFonts w:ascii="Times New Roman" w:hAnsi="Times New Roman"/>
          <w:noProof/>
          <w:szCs w:val="24"/>
          <w:lang w:val="en-US"/>
        </w:rPr>
        <w:t xml:space="preserve">, p. 1–24, 2 nov. 2017.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ARGILÉS BOSCH, J. M.; ALIBERCH, A. S.; BLANDÓN, J. G. A comparative study of difficulties in accounting preparation and judgement in agriculture using fair value and historical cost for biological assets valuation. </w:t>
      </w:r>
      <w:r w:rsidRPr="00A35883">
        <w:rPr>
          <w:rFonts w:ascii="Times New Roman" w:hAnsi="Times New Roman"/>
          <w:b/>
          <w:bCs/>
          <w:noProof/>
          <w:szCs w:val="24"/>
          <w:lang w:val="en-US"/>
        </w:rPr>
        <w:t>Revista de Contabilidad - Spanish Accounting Review</w:t>
      </w:r>
      <w:r w:rsidRPr="00A35883">
        <w:rPr>
          <w:rFonts w:ascii="Times New Roman" w:hAnsi="Times New Roman"/>
          <w:noProof/>
          <w:szCs w:val="24"/>
          <w:lang w:val="en-US"/>
        </w:rPr>
        <w:t xml:space="preserve">, v. 15, n. 1, p. 109–142, 2012.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ASSAF NETO, A.; LIMA, F. G.; ARAÚJO, A. M. P. DE. </w:t>
      </w:r>
      <w:r w:rsidRPr="009B00E2">
        <w:rPr>
          <w:rFonts w:ascii="Times New Roman" w:hAnsi="Times New Roman"/>
          <w:noProof/>
          <w:szCs w:val="24"/>
        </w:rPr>
        <w:t xml:space="preserve">Uma proposta metodológica para o cálculo do custo de capital no Brasil. </w:t>
      </w:r>
      <w:r w:rsidRPr="009B00E2">
        <w:rPr>
          <w:rFonts w:ascii="Times New Roman" w:hAnsi="Times New Roman"/>
          <w:b/>
          <w:bCs/>
          <w:noProof/>
          <w:szCs w:val="24"/>
        </w:rPr>
        <w:t>RAUSP – Revista de Administração</w:t>
      </w:r>
      <w:r w:rsidRPr="009B00E2">
        <w:rPr>
          <w:rFonts w:ascii="Times New Roman" w:hAnsi="Times New Roman"/>
          <w:noProof/>
          <w:szCs w:val="24"/>
        </w:rPr>
        <w:t xml:space="preserve">, v. 43, n. 1, p. 72–83, 2008.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BARROS, C. D. C. et al. O Impacto do Valor Justo na Mensuração dos Ativos Biológicos nas Empresas Listadas na BM&amp;FBOVESPA. </w:t>
      </w:r>
      <w:r w:rsidRPr="009B00E2">
        <w:rPr>
          <w:rFonts w:ascii="Times New Roman" w:hAnsi="Times New Roman"/>
          <w:b/>
          <w:bCs/>
          <w:noProof/>
          <w:szCs w:val="24"/>
        </w:rPr>
        <w:t>Revista de Contabilidade do Mestrado em Ciências Contábeis da UERJ</w:t>
      </w:r>
      <w:r w:rsidRPr="009B00E2">
        <w:rPr>
          <w:rFonts w:ascii="Times New Roman" w:hAnsi="Times New Roman"/>
          <w:noProof/>
          <w:szCs w:val="24"/>
        </w:rPr>
        <w:t xml:space="preserve">, v. 17, n. 3, p. 41–59, 2012.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BARTH, M. E. et al. Are IFRS-based and US GAAP-based accounting amounts comparable? </w:t>
      </w:r>
      <w:r w:rsidRPr="00A35883">
        <w:rPr>
          <w:rFonts w:ascii="Times New Roman" w:hAnsi="Times New Roman"/>
          <w:b/>
          <w:bCs/>
          <w:noProof/>
          <w:szCs w:val="24"/>
          <w:lang w:val="en-US"/>
        </w:rPr>
        <w:t>Journal of Accounting and Economics</w:t>
      </w:r>
      <w:r w:rsidRPr="00A35883">
        <w:rPr>
          <w:rFonts w:ascii="Times New Roman" w:hAnsi="Times New Roman"/>
          <w:noProof/>
          <w:szCs w:val="24"/>
          <w:lang w:val="en-US"/>
        </w:rPr>
        <w:t xml:space="preserve">, v. 54, n. 1, p. 68–93, 2012.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BAYERLEIN, L.; AL FAROOQUE, O. Influence of a mandatory IFRS adoption on accounting practice. </w:t>
      </w:r>
      <w:r w:rsidRPr="00A35883">
        <w:rPr>
          <w:rFonts w:ascii="Times New Roman" w:hAnsi="Times New Roman"/>
          <w:b/>
          <w:bCs/>
          <w:noProof/>
          <w:szCs w:val="24"/>
          <w:lang w:val="en-US"/>
        </w:rPr>
        <w:t>Asian Review of Accounting</w:t>
      </w:r>
      <w:r w:rsidRPr="00A35883">
        <w:rPr>
          <w:rFonts w:ascii="Times New Roman" w:hAnsi="Times New Roman"/>
          <w:noProof/>
          <w:szCs w:val="24"/>
          <w:lang w:val="en-US"/>
        </w:rPr>
        <w:t xml:space="preserve">, v. 20, n. 2, p. 93–118, 2012.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BLANK, F. F. et al. </w:t>
      </w:r>
      <w:r w:rsidRPr="009B00E2">
        <w:rPr>
          <w:rFonts w:ascii="Times New Roman" w:hAnsi="Times New Roman"/>
          <w:noProof/>
          <w:szCs w:val="24"/>
        </w:rPr>
        <w:t xml:space="preserve">CAPM Condicional: Betas Variantes no Tempo no Mercado Brasileiro. </w:t>
      </w:r>
      <w:r w:rsidRPr="00A35883">
        <w:rPr>
          <w:rFonts w:ascii="Times New Roman" w:hAnsi="Times New Roman"/>
          <w:b/>
          <w:bCs/>
          <w:noProof/>
          <w:szCs w:val="24"/>
          <w:lang w:val="en-US"/>
        </w:rPr>
        <w:t>Revista Brasileira de Finanças</w:t>
      </w:r>
      <w:r w:rsidRPr="00A35883">
        <w:rPr>
          <w:rFonts w:ascii="Times New Roman" w:hAnsi="Times New Roman"/>
          <w:noProof/>
          <w:szCs w:val="24"/>
          <w:lang w:val="en-US"/>
        </w:rPr>
        <w:t xml:space="preserve">, v. 12, n. 2, p. 163–199, 2014.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BOHUŠOVÁ, H.; SVOBODA, P. Biological Assets: In What Way should be Measured by SMEs? </w:t>
      </w:r>
      <w:r w:rsidRPr="009B00E2">
        <w:rPr>
          <w:rFonts w:ascii="Times New Roman" w:hAnsi="Times New Roman"/>
          <w:b/>
          <w:bCs/>
          <w:noProof/>
          <w:szCs w:val="24"/>
        </w:rPr>
        <w:t>Procedia - Social and Behavioral Sciences</w:t>
      </w:r>
      <w:r w:rsidRPr="009B00E2">
        <w:rPr>
          <w:rFonts w:ascii="Times New Roman" w:hAnsi="Times New Roman"/>
          <w:noProof/>
          <w:szCs w:val="24"/>
        </w:rPr>
        <w:t xml:space="preserve">, v. 220, p. 62–69, 2016.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BOTINHA, R. A.; LEMES, S. Comparabilidade das Escolhas Contábeis em Propriedades para Investimentos de Empresas Listadas na BM&amp;FBOVESPA e NYSE. </w:t>
      </w:r>
      <w:r w:rsidRPr="009B00E2">
        <w:rPr>
          <w:rFonts w:ascii="Times New Roman" w:hAnsi="Times New Roman"/>
          <w:b/>
          <w:bCs/>
          <w:noProof/>
          <w:szCs w:val="24"/>
        </w:rPr>
        <w:t>Contabilidade, Gestão e Governança</w:t>
      </w:r>
      <w:r w:rsidRPr="009B00E2">
        <w:rPr>
          <w:rFonts w:ascii="Times New Roman" w:hAnsi="Times New Roman"/>
          <w:noProof/>
          <w:szCs w:val="24"/>
        </w:rPr>
        <w:t xml:space="preserve">, v. 20, n. 1, p. 113–132, 20 abr. 2017.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CAIRNS, D. et al. </w:t>
      </w:r>
      <w:r w:rsidRPr="00A35883">
        <w:rPr>
          <w:rFonts w:ascii="Times New Roman" w:hAnsi="Times New Roman"/>
          <w:noProof/>
          <w:szCs w:val="24"/>
          <w:lang w:val="en-US"/>
        </w:rPr>
        <w:t xml:space="preserve">IFRS fair value measurement and accounting policy choice in the United Kingdom and Australia. </w:t>
      </w:r>
      <w:r w:rsidRPr="00A35883">
        <w:rPr>
          <w:rFonts w:ascii="Times New Roman" w:hAnsi="Times New Roman"/>
          <w:b/>
          <w:bCs/>
          <w:noProof/>
          <w:szCs w:val="24"/>
          <w:lang w:val="en-US"/>
        </w:rPr>
        <w:t>British Accounting Review</w:t>
      </w:r>
      <w:r w:rsidRPr="00A35883">
        <w:rPr>
          <w:rFonts w:ascii="Times New Roman" w:hAnsi="Times New Roman"/>
          <w:noProof/>
          <w:szCs w:val="24"/>
          <w:lang w:val="en-US"/>
        </w:rPr>
        <w:t xml:space="preserve">, v. 43, n. 1, p. 1–21, 2011.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CHRISTENSEN, H. B.; NIKOLAEV, V. V. Does fair value accounting for non-financial assets pass the market test? </w:t>
      </w:r>
      <w:r w:rsidRPr="00A35883">
        <w:rPr>
          <w:rFonts w:ascii="Times New Roman" w:hAnsi="Times New Roman"/>
          <w:b/>
          <w:bCs/>
          <w:noProof/>
          <w:szCs w:val="24"/>
          <w:lang w:val="en-US"/>
        </w:rPr>
        <w:t>Review of Accounting Studies</w:t>
      </w:r>
      <w:r w:rsidRPr="00A35883">
        <w:rPr>
          <w:rFonts w:ascii="Times New Roman" w:hAnsi="Times New Roman"/>
          <w:noProof/>
          <w:szCs w:val="24"/>
          <w:lang w:val="en-US"/>
        </w:rPr>
        <w:t xml:space="preserve">, v. 18, n. 3, p. 734–775, 2013.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CIESLEWICZ, J. K. Relationships between national economic culture, institutions, and accounting: Implications for IFRS. </w:t>
      </w:r>
      <w:r w:rsidRPr="009B00E2">
        <w:rPr>
          <w:rFonts w:ascii="Times New Roman" w:hAnsi="Times New Roman"/>
          <w:b/>
          <w:bCs/>
          <w:noProof/>
          <w:szCs w:val="24"/>
        </w:rPr>
        <w:t>Critical Perspectives on Accounting</w:t>
      </w:r>
      <w:r w:rsidRPr="009B00E2">
        <w:rPr>
          <w:rFonts w:ascii="Times New Roman" w:hAnsi="Times New Roman"/>
          <w:noProof/>
          <w:szCs w:val="24"/>
        </w:rPr>
        <w:t xml:space="preserve">, v. 25, n. 6, p. 511–528, 2014.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CONAB, C. N. DE A. </w:t>
      </w:r>
      <w:r w:rsidRPr="009B00E2">
        <w:rPr>
          <w:rFonts w:ascii="Times New Roman" w:hAnsi="Times New Roman"/>
          <w:b/>
          <w:bCs/>
          <w:noProof/>
          <w:szCs w:val="24"/>
        </w:rPr>
        <w:t>Séries históricas - cana-de-açúcar</w:t>
      </w:r>
      <w:r w:rsidRPr="009B00E2">
        <w:rPr>
          <w:rFonts w:ascii="Times New Roman" w:hAnsi="Times New Roman"/>
          <w:noProof/>
          <w:szCs w:val="24"/>
        </w:rPr>
        <w:t xml:space="preserve">. Disponível em: &lt;http://www.conab.gov.br&gt;. Acesso em: 12 out. 2018.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CPC, C. DE P. C. </w:t>
      </w:r>
      <w:r w:rsidRPr="009B00E2">
        <w:rPr>
          <w:rFonts w:ascii="Times New Roman" w:hAnsi="Times New Roman"/>
          <w:b/>
          <w:bCs/>
          <w:noProof/>
          <w:szCs w:val="24"/>
        </w:rPr>
        <w:t>CPC 29 - Ativo Biológico e Produto Agrícola</w:t>
      </w:r>
      <w:r w:rsidRPr="009B00E2">
        <w:rPr>
          <w:rFonts w:ascii="Times New Roman" w:hAnsi="Times New Roman"/>
          <w:noProof/>
          <w:szCs w:val="24"/>
        </w:rPr>
        <w:t xml:space="preserve">. Disponível em: &lt;http://www.cpc.org.br/CPC/Documentos-Emitidos/Pronunciamentos/Pronunciamento?Id=60&gt;. </w:t>
      </w:r>
      <w:r w:rsidRPr="00A35883">
        <w:rPr>
          <w:rFonts w:ascii="Times New Roman" w:hAnsi="Times New Roman"/>
          <w:noProof/>
          <w:szCs w:val="24"/>
          <w:lang w:val="en-US"/>
        </w:rPr>
        <w:t xml:space="preserve">Acesso em: 10 dez. 2016.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ECKEL, L.; FORTIN, S.; FISHER, K. The Choice of Discount Rate for External Reporting Purposes: Considerations for Standard Setting. </w:t>
      </w:r>
      <w:r w:rsidRPr="00A35883">
        <w:rPr>
          <w:rFonts w:ascii="Times New Roman" w:hAnsi="Times New Roman"/>
          <w:b/>
          <w:bCs/>
          <w:noProof/>
          <w:szCs w:val="24"/>
          <w:lang w:val="en-US"/>
        </w:rPr>
        <w:t>Accounting Forum</w:t>
      </w:r>
      <w:r w:rsidRPr="00A35883">
        <w:rPr>
          <w:rFonts w:ascii="Times New Roman" w:hAnsi="Times New Roman"/>
          <w:noProof/>
          <w:szCs w:val="24"/>
          <w:lang w:val="en-US"/>
        </w:rPr>
        <w:t xml:space="preserve">, v. 27, p. 28–59, 2003.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FIELDS, T. D.; LYS, T. Z.; VINCENT, L. Empirical research on accounting choice. </w:t>
      </w:r>
      <w:r w:rsidRPr="00A35883">
        <w:rPr>
          <w:rFonts w:ascii="Times New Roman" w:hAnsi="Times New Roman"/>
          <w:b/>
          <w:bCs/>
          <w:noProof/>
          <w:szCs w:val="24"/>
          <w:lang w:val="en-US"/>
        </w:rPr>
        <w:t>Journal of Accounting and Economics</w:t>
      </w:r>
      <w:r w:rsidRPr="00A35883">
        <w:rPr>
          <w:rFonts w:ascii="Times New Roman" w:hAnsi="Times New Roman"/>
          <w:noProof/>
          <w:szCs w:val="24"/>
          <w:lang w:val="en-US"/>
        </w:rPr>
        <w:t xml:space="preserve">, v. 31, n. 1–3, p. 255–307, 2001.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FISHER, R. A. Statistical Methods for Research Workers. In: CREW, F. A. E.; CUTLER, D. W. (Eds.). . </w:t>
      </w:r>
      <w:r w:rsidRPr="00A35883">
        <w:rPr>
          <w:rFonts w:ascii="Times New Roman" w:hAnsi="Times New Roman"/>
          <w:b/>
          <w:bCs/>
          <w:noProof/>
          <w:szCs w:val="24"/>
          <w:lang w:val="en-US"/>
        </w:rPr>
        <w:t>Biological Monographs And Manuals</w:t>
      </w:r>
      <w:r w:rsidRPr="00A35883">
        <w:rPr>
          <w:rFonts w:ascii="Times New Roman" w:hAnsi="Times New Roman"/>
          <w:noProof/>
          <w:szCs w:val="24"/>
          <w:lang w:val="en-US"/>
        </w:rPr>
        <w:t xml:space="preserve">. 5. ed. Londres: Oliver &amp; Boyd, 1934. p. 316.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FRANCIS, J. Discussion of empirical research on accounting choice. </w:t>
      </w:r>
      <w:r w:rsidRPr="009B00E2">
        <w:rPr>
          <w:rFonts w:ascii="Times New Roman" w:hAnsi="Times New Roman"/>
          <w:b/>
          <w:bCs/>
          <w:noProof/>
          <w:szCs w:val="24"/>
        </w:rPr>
        <w:t>Journal of Accounting and Economics</w:t>
      </w:r>
      <w:r w:rsidRPr="009B00E2">
        <w:rPr>
          <w:rFonts w:ascii="Times New Roman" w:hAnsi="Times New Roman"/>
          <w:noProof/>
          <w:szCs w:val="24"/>
        </w:rPr>
        <w:t xml:space="preserve">, v. 31, n. 1–3, p. 309–319, 2001.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GANASSIN, E. J. F.; RODRIGUES, F. F.; BORGES, T. J. G. Mensuração de Ativos Biológicos e a observância do IAS 41 na América do Sul. </w:t>
      </w:r>
      <w:r w:rsidRPr="00A35883">
        <w:rPr>
          <w:rFonts w:ascii="Times New Roman" w:hAnsi="Times New Roman"/>
          <w:b/>
          <w:bCs/>
          <w:noProof/>
          <w:szCs w:val="24"/>
          <w:lang w:val="en-US"/>
        </w:rPr>
        <w:t>Custos e @gronegócio on line</w:t>
      </w:r>
      <w:r w:rsidRPr="00A35883">
        <w:rPr>
          <w:rFonts w:ascii="Times New Roman" w:hAnsi="Times New Roman"/>
          <w:noProof/>
          <w:szCs w:val="24"/>
          <w:lang w:val="en-US"/>
        </w:rPr>
        <w:t xml:space="preserve">, v. 12, n. 2, p. 333–351, 2016.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GONÇALVES, R.; LOPES, P. Accounting in Agriculture: Disclosure practices of listed firms. </w:t>
      </w:r>
      <w:r w:rsidRPr="00A35883">
        <w:rPr>
          <w:rFonts w:ascii="Times New Roman" w:hAnsi="Times New Roman"/>
          <w:b/>
          <w:bCs/>
          <w:noProof/>
          <w:szCs w:val="24"/>
          <w:lang w:val="en-US"/>
        </w:rPr>
        <w:t>FEP Working Papers</w:t>
      </w:r>
      <w:r w:rsidRPr="00A35883">
        <w:rPr>
          <w:rFonts w:ascii="Times New Roman" w:hAnsi="Times New Roman"/>
          <w:noProof/>
          <w:szCs w:val="24"/>
          <w:lang w:val="en-US"/>
        </w:rPr>
        <w:t xml:space="preserve">, n. 530, p. 1–34, 2015.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GONÇALVES, R.; LOPES, P.; CRAIG, R. Value relevance of biological assets under IFRS. </w:t>
      </w:r>
      <w:r w:rsidRPr="00A35883">
        <w:rPr>
          <w:rFonts w:ascii="Times New Roman" w:hAnsi="Times New Roman"/>
          <w:b/>
          <w:bCs/>
          <w:noProof/>
          <w:szCs w:val="24"/>
          <w:lang w:val="en-US"/>
        </w:rPr>
        <w:t>Journal of International Accounting, Auditing and Taxation</w:t>
      </w:r>
      <w:r w:rsidRPr="00A35883">
        <w:rPr>
          <w:rFonts w:ascii="Times New Roman" w:hAnsi="Times New Roman"/>
          <w:noProof/>
          <w:szCs w:val="24"/>
          <w:lang w:val="en-US"/>
        </w:rPr>
        <w:t xml:space="preserve">, v. 29, n. October, p. 118–126, 2017.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GRAHAM, J. R.; HARVEY, C. R. The theory and practice of corporate finance: evidence from the field. </w:t>
      </w:r>
      <w:r w:rsidRPr="009B00E2">
        <w:rPr>
          <w:rFonts w:ascii="Times New Roman" w:hAnsi="Times New Roman"/>
          <w:b/>
          <w:bCs/>
          <w:noProof/>
          <w:szCs w:val="24"/>
        </w:rPr>
        <w:t>Journal of Financial Economics</w:t>
      </w:r>
      <w:r w:rsidRPr="009B00E2">
        <w:rPr>
          <w:rFonts w:ascii="Times New Roman" w:hAnsi="Times New Roman"/>
          <w:noProof/>
          <w:szCs w:val="24"/>
        </w:rPr>
        <w:t xml:space="preserve">, v. 60, n. 2–3, p. 187–243, maio 2001.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HOLTZ, L.; ALMEIDA, J. E. F. DE. Estudo sobre a Relevância e a Divulgação dos Ativos Biológicos das Empresas Listadas na BM&amp;FBOVESPA. </w:t>
      </w:r>
      <w:r w:rsidRPr="00A35883">
        <w:rPr>
          <w:rFonts w:ascii="Times New Roman" w:hAnsi="Times New Roman"/>
          <w:b/>
          <w:bCs/>
          <w:noProof/>
          <w:szCs w:val="24"/>
          <w:lang w:val="en-US"/>
        </w:rPr>
        <w:t>Sociedade, Contabilidade e Gestão</w:t>
      </w:r>
      <w:r w:rsidRPr="00A35883">
        <w:rPr>
          <w:rFonts w:ascii="Times New Roman" w:hAnsi="Times New Roman"/>
          <w:noProof/>
          <w:szCs w:val="24"/>
          <w:lang w:val="en-US"/>
        </w:rPr>
        <w:t xml:space="preserve">, v. 8, n. 2, p. 28–46, 2013.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HUFFMAN, A. A. </w:t>
      </w:r>
      <w:r w:rsidRPr="00A35883">
        <w:rPr>
          <w:rFonts w:ascii="Times New Roman" w:hAnsi="Times New Roman"/>
          <w:b/>
          <w:bCs/>
          <w:noProof/>
          <w:szCs w:val="24"/>
          <w:lang w:val="en-US"/>
        </w:rPr>
        <w:t>Asset use and the decision-usefulness of fair value measurement : Evidence from IAS 41</w:t>
      </w:r>
      <w:r w:rsidRPr="00A35883">
        <w:rPr>
          <w:rFonts w:ascii="Times New Roman" w:hAnsi="Times New Roman"/>
          <w:noProof/>
          <w:szCs w:val="24"/>
          <w:lang w:val="en-US"/>
        </w:rPr>
        <w:t xml:space="preserve">. </w:t>
      </w:r>
      <w:r w:rsidRPr="009B00E2">
        <w:rPr>
          <w:rFonts w:ascii="Times New Roman" w:hAnsi="Times New Roman"/>
          <w:noProof/>
          <w:szCs w:val="24"/>
        </w:rPr>
        <w:t xml:space="preserve">Disponível em: &lt;http://dx.doi.org/10.2139/ssrn.2529974&gt;. Acesso em: 20 fev. 2017.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JAAFAR, A.; MCLEAY, S. Country effects and sector effects on the harmonization of accounting policy choice. </w:t>
      </w:r>
      <w:r w:rsidRPr="00A35883">
        <w:rPr>
          <w:rFonts w:ascii="Times New Roman" w:hAnsi="Times New Roman"/>
          <w:b/>
          <w:bCs/>
          <w:noProof/>
          <w:szCs w:val="24"/>
          <w:lang w:val="en-US"/>
        </w:rPr>
        <w:t>Abacus</w:t>
      </w:r>
      <w:r w:rsidRPr="00A35883">
        <w:rPr>
          <w:rFonts w:ascii="Times New Roman" w:hAnsi="Times New Roman"/>
          <w:noProof/>
          <w:szCs w:val="24"/>
          <w:lang w:val="en-US"/>
        </w:rPr>
        <w:t xml:space="preserve">, v. 43, n. 2, p. 156–189, 2007.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JAISWAL, D. et al. Brazilian sugarcane ethanol as an expandable green alternative to crude oil use. </w:t>
      </w:r>
      <w:r w:rsidRPr="00A35883">
        <w:rPr>
          <w:rFonts w:ascii="Times New Roman" w:hAnsi="Times New Roman"/>
          <w:b/>
          <w:bCs/>
          <w:noProof/>
          <w:szCs w:val="24"/>
          <w:lang w:val="en-US"/>
        </w:rPr>
        <w:t>Nature Climate Change</w:t>
      </w:r>
      <w:r w:rsidRPr="00A35883">
        <w:rPr>
          <w:rFonts w:ascii="Times New Roman" w:hAnsi="Times New Roman"/>
          <w:noProof/>
          <w:szCs w:val="24"/>
          <w:lang w:val="en-US"/>
        </w:rPr>
        <w:t xml:space="preserve">, v. October, p. 1–8, 23 out. 2017.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KURNIAWAN, R.; MULAWARMAN, A. D.; KAMAYANTI, A. Biological Assets Valuation Reconstruction: A Critical Study of IAS 41 on Agricultural Accounting in Indonesian Farmers. </w:t>
      </w:r>
      <w:r w:rsidRPr="00A35883">
        <w:rPr>
          <w:rFonts w:ascii="Times New Roman" w:hAnsi="Times New Roman"/>
          <w:b/>
          <w:bCs/>
          <w:noProof/>
          <w:szCs w:val="24"/>
          <w:lang w:val="en-US"/>
        </w:rPr>
        <w:t>Procedia - Social and Behavioral Sciences</w:t>
      </w:r>
      <w:r w:rsidRPr="00A35883">
        <w:rPr>
          <w:rFonts w:ascii="Times New Roman" w:hAnsi="Times New Roman"/>
          <w:noProof/>
          <w:szCs w:val="24"/>
          <w:lang w:val="en-US"/>
        </w:rPr>
        <w:t xml:space="preserve">, v. 164, n. August, p. 68–75, 2014.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LARSON, R. K.; STREET, D. L. Convergence with IFRS in an expanding Europe: Progress and obstacles identified by large accounting firms’ survey. </w:t>
      </w:r>
      <w:r w:rsidRPr="00A35883">
        <w:rPr>
          <w:rFonts w:ascii="Times New Roman" w:hAnsi="Times New Roman"/>
          <w:b/>
          <w:bCs/>
          <w:noProof/>
          <w:szCs w:val="24"/>
          <w:lang w:val="en-US"/>
        </w:rPr>
        <w:t>Journal of International Accounting, Auditing and Taxation</w:t>
      </w:r>
      <w:r w:rsidRPr="00A35883">
        <w:rPr>
          <w:rFonts w:ascii="Times New Roman" w:hAnsi="Times New Roman"/>
          <w:noProof/>
          <w:szCs w:val="24"/>
          <w:lang w:val="en-US"/>
        </w:rPr>
        <w:t xml:space="preserve">, v. 13, n. 2, p. 89–119, 2004.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LOURENÇO, I. C.; CURTO, J. D. Determinants of the accounting choice between alternative reporting methods for interests in jointly controlled entities. </w:t>
      </w:r>
      <w:r w:rsidRPr="009B00E2">
        <w:rPr>
          <w:rFonts w:ascii="Times New Roman" w:hAnsi="Times New Roman"/>
          <w:b/>
          <w:bCs/>
          <w:noProof/>
          <w:szCs w:val="24"/>
        </w:rPr>
        <w:t>European Accounting Review</w:t>
      </w:r>
      <w:r w:rsidRPr="009B00E2">
        <w:rPr>
          <w:rFonts w:ascii="Times New Roman" w:hAnsi="Times New Roman"/>
          <w:noProof/>
          <w:szCs w:val="24"/>
        </w:rPr>
        <w:t xml:space="preserve">, v. 19, n. 4, p. 739–773, 2010.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MACEDO, V. M.; CAMPAGNONI, M.; ROVER, S. Ativos Biológicos nas Companhias Abertas no Brasil: Conformidade Com o CPC 29 e Associação com Características Empresariais. </w:t>
      </w:r>
      <w:r w:rsidRPr="00A35883">
        <w:rPr>
          <w:rFonts w:ascii="Times New Roman" w:hAnsi="Times New Roman"/>
          <w:b/>
          <w:bCs/>
          <w:noProof/>
          <w:szCs w:val="24"/>
          <w:lang w:val="en-US"/>
        </w:rPr>
        <w:t>Sociedade, Contabilidade e Gestão</w:t>
      </w:r>
      <w:r w:rsidRPr="00A35883">
        <w:rPr>
          <w:rFonts w:ascii="Times New Roman" w:hAnsi="Times New Roman"/>
          <w:noProof/>
          <w:szCs w:val="24"/>
          <w:lang w:val="en-US"/>
        </w:rPr>
        <w:t xml:space="preserve">, v. 10, n. 3, p. 7–24, 2015.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MAINA, P. N.; WINGARD, H. C. Small and medium-sized entities in the agricultural sector: Fair value reporting challenges. </w:t>
      </w:r>
      <w:r w:rsidRPr="009B00E2">
        <w:rPr>
          <w:rFonts w:ascii="Times New Roman" w:hAnsi="Times New Roman"/>
          <w:b/>
          <w:bCs/>
          <w:noProof/>
          <w:szCs w:val="24"/>
        </w:rPr>
        <w:t>Agrekon</w:t>
      </w:r>
      <w:r w:rsidRPr="009B00E2">
        <w:rPr>
          <w:rFonts w:ascii="Times New Roman" w:hAnsi="Times New Roman"/>
          <w:noProof/>
          <w:szCs w:val="24"/>
        </w:rPr>
        <w:t xml:space="preserve">, v. 52, n. 2, p. 52–74, 2013.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MARION, J. C. </w:t>
      </w:r>
      <w:r w:rsidRPr="009B00E2">
        <w:rPr>
          <w:rFonts w:ascii="Times New Roman" w:hAnsi="Times New Roman"/>
          <w:b/>
          <w:bCs/>
          <w:noProof/>
          <w:szCs w:val="24"/>
        </w:rPr>
        <w:t>Contabilidade rural, contabilidade agrícola, contabilidade pecuária, imposto de renda pessoa jurídica</w:t>
      </w:r>
      <w:r w:rsidRPr="009B00E2">
        <w:rPr>
          <w:rFonts w:ascii="Times New Roman" w:hAnsi="Times New Roman"/>
          <w:noProof/>
          <w:szCs w:val="24"/>
        </w:rPr>
        <w:t xml:space="preserve">. 12. ed. São Paulo: Atlas, 2010.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MARTELANC, R.; PASIN, R.; PEREIRA, F. </w:t>
      </w:r>
      <w:r w:rsidRPr="009B00E2">
        <w:rPr>
          <w:rFonts w:ascii="Times New Roman" w:hAnsi="Times New Roman"/>
          <w:b/>
          <w:bCs/>
          <w:noProof/>
          <w:szCs w:val="24"/>
        </w:rPr>
        <w:t>Avaliação de empresas: um guia para fusões &amp; aquisições e private equity</w:t>
      </w:r>
      <w:r w:rsidRPr="009B00E2">
        <w:rPr>
          <w:rFonts w:ascii="Times New Roman" w:hAnsi="Times New Roman"/>
          <w:noProof/>
          <w:szCs w:val="24"/>
        </w:rPr>
        <w:t xml:space="preserve">. </w:t>
      </w:r>
      <w:r w:rsidRPr="00A35883">
        <w:rPr>
          <w:rFonts w:ascii="Times New Roman" w:hAnsi="Times New Roman"/>
          <w:noProof/>
          <w:szCs w:val="24"/>
          <w:lang w:val="en-US"/>
        </w:rPr>
        <w:t xml:space="preserve">São Paulo: Pearson Prentice Hall, 2010.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MARTÍNEZ, J. A.; MARTÍNEZ, F. G.; DIAZARAQUE, J. M. M. Optional accounting criteria under IFRSs and corporate characteristics: Evidence from Spain. </w:t>
      </w:r>
      <w:r w:rsidRPr="009B00E2">
        <w:rPr>
          <w:rFonts w:ascii="Times New Roman" w:hAnsi="Times New Roman"/>
          <w:b/>
          <w:bCs/>
          <w:noProof/>
          <w:szCs w:val="24"/>
        </w:rPr>
        <w:t>Revista de Contabilidad-Spanish Accounting Review</w:t>
      </w:r>
      <w:r w:rsidRPr="009B00E2">
        <w:rPr>
          <w:rFonts w:ascii="Times New Roman" w:hAnsi="Times New Roman"/>
          <w:noProof/>
          <w:szCs w:val="24"/>
        </w:rPr>
        <w:t xml:space="preserve">, v. 14, n. 1, p. 59–85, 2011.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MARTINS, V. G.; MACHADO, M. A. V.; CALLADO, A. L. C. Relevância e representação fidedigna na mensuração de ativos biológicos a valor justo por empresas listadas na BM &amp; FBovespa. </w:t>
      </w:r>
      <w:r w:rsidRPr="009B00E2">
        <w:rPr>
          <w:rFonts w:ascii="Times New Roman" w:hAnsi="Times New Roman"/>
          <w:b/>
          <w:bCs/>
          <w:noProof/>
          <w:szCs w:val="24"/>
        </w:rPr>
        <w:t>Revista Contemporânea de Contabilidade</w:t>
      </w:r>
      <w:r w:rsidRPr="009B00E2">
        <w:rPr>
          <w:rFonts w:ascii="Times New Roman" w:hAnsi="Times New Roman"/>
          <w:noProof/>
          <w:szCs w:val="24"/>
        </w:rPr>
        <w:t xml:space="preserve">, v. 11, n. 22, p. 163–188, 2014.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MATES, D. et al. </w:t>
      </w:r>
      <w:r w:rsidRPr="00A35883">
        <w:rPr>
          <w:rFonts w:ascii="Times New Roman" w:hAnsi="Times New Roman"/>
          <w:noProof/>
          <w:szCs w:val="24"/>
          <w:lang w:val="en-US"/>
        </w:rPr>
        <w:t xml:space="preserve">Biological assets and the agricultural products in the context of the implementation of the IAS 41: A case study of the Romanian agro-food system. </w:t>
      </w:r>
      <w:r w:rsidRPr="00A35883">
        <w:rPr>
          <w:rFonts w:ascii="Times New Roman" w:hAnsi="Times New Roman"/>
          <w:b/>
          <w:bCs/>
          <w:noProof/>
          <w:szCs w:val="24"/>
          <w:lang w:val="en-US"/>
        </w:rPr>
        <w:t>Archives of Biological Sciences</w:t>
      </w:r>
      <w:r w:rsidRPr="00A35883">
        <w:rPr>
          <w:rFonts w:ascii="Times New Roman" w:hAnsi="Times New Roman"/>
          <w:noProof/>
          <w:szCs w:val="24"/>
          <w:lang w:val="en-US"/>
        </w:rPr>
        <w:t xml:space="preserve">, v. 67, n. 2, p. 705–714, 2015.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MEHTA, C. R.; PATEL, N. R. A Network Algorithm for Performing Fisher’s Exact Test in r × c Contingency Tables. </w:t>
      </w:r>
      <w:r w:rsidRPr="00A35883">
        <w:rPr>
          <w:rFonts w:ascii="Times New Roman" w:hAnsi="Times New Roman"/>
          <w:b/>
          <w:bCs/>
          <w:noProof/>
          <w:szCs w:val="24"/>
          <w:lang w:val="en-US"/>
        </w:rPr>
        <w:t>Journal of the American Statistical Association</w:t>
      </w:r>
      <w:r w:rsidRPr="00A35883">
        <w:rPr>
          <w:rFonts w:ascii="Times New Roman" w:hAnsi="Times New Roman"/>
          <w:noProof/>
          <w:szCs w:val="24"/>
          <w:lang w:val="en-US"/>
        </w:rPr>
        <w:t xml:space="preserve">, v. 78, n. 382, p. 427, jun. 1983.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NOBES, C. The continued survival of international differences under IFRS. </w:t>
      </w:r>
      <w:r w:rsidRPr="00A35883">
        <w:rPr>
          <w:rFonts w:ascii="Times New Roman" w:hAnsi="Times New Roman"/>
          <w:b/>
          <w:bCs/>
          <w:noProof/>
          <w:szCs w:val="24"/>
          <w:lang w:val="en-US"/>
        </w:rPr>
        <w:t>Accounting and Business Research</w:t>
      </w:r>
      <w:r w:rsidRPr="00A35883">
        <w:rPr>
          <w:rFonts w:ascii="Times New Roman" w:hAnsi="Times New Roman"/>
          <w:noProof/>
          <w:szCs w:val="24"/>
          <w:lang w:val="en-US"/>
        </w:rPr>
        <w:t xml:space="preserve">, v. 43, n. 2, p. 83–111, 2013.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NOBES, C.; PERRAMON, J. Firm size and national profiles of ifrs policy choice. </w:t>
      </w:r>
      <w:r w:rsidRPr="009B00E2">
        <w:rPr>
          <w:rFonts w:ascii="Times New Roman" w:hAnsi="Times New Roman"/>
          <w:b/>
          <w:bCs/>
          <w:noProof/>
          <w:szCs w:val="24"/>
        </w:rPr>
        <w:t>Australian Accounting Review</w:t>
      </w:r>
      <w:r w:rsidRPr="009B00E2">
        <w:rPr>
          <w:rFonts w:ascii="Times New Roman" w:hAnsi="Times New Roman"/>
          <w:noProof/>
          <w:szCs w:val="24"/>
        </w:rPr>
        <w:t xml:space="preserve">, v. 23, n. 3, p. 208–215, 2013.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NOVACANA. </w:t>
      </w:r>
      <w:r w:rsidRPr="009B00E2">
        <w:rPr>
          <w:rFonts w:ascii="Times New Roman" w:hAnsi="Times New Roman"/>
          <w:b/>
          <w:bCs/>
          <w:noProof/>
          <w:szCs w:val="24"/>
        </w:rPr>
        <w:t>Usinas do Brasil</w:t>
      </w:r>
      <w:r w:rsidRPr="009B00E2">
        <w:rPr>
          <w:rFonts w:ascii="Times New Roman" w:hAnsi="Times New Roman"/>
          <w:noProof/>
          <w:szCs w:val="24"/>
        </w:rPr>
        <w:t xml:space="preserve">. Disponível em: &lt;https://www.novacana.com/usinas-brasil/&gt;. Acesso em: 17 jan. 2017.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PINTO, M. J. T.; MARTINS, V. A.; SILVA, D. M. DA. Escolhas Contábeis: o Caso Brasileiro das Propriedades para Investimento. </w:t>
      </w:r>
      <w:r w:rsidRPr="00A35883">
        <w:rPr>
          <w:rFonts w:ascii="Times New Roman" w:hAnsi="Times New Roman"/>
          <w:b/>
          <w:bCs/>
          <w:noProof/>
          <w:szCs w:val="24"/>
          <w:lang w:val="en-US"/>
        </w:rPr>
        <w:t>Revista Contabilidade &amp; Finanças</w:t>
      </w:r>
      <w:r w:rsidRPr="00A35883">
        <w:rPr>
          <w:rFonts w:ascii="Times New Roman" w:hAnsi="Times New Roman"/>
          <w:noProof/>
          <w:szCs w:val="24"/>
          <w:lang w:val="en-US"/>
        </w:rPr>
        <w:t xml:space="preserve">, v. 26, n. 69, p. 274–289, 2015.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QUAGLI, A.; AVALLONE, F. Fair value or cost model? Drivers of choice for IAS 40 in the real estate industry. </w:t>
      </w:r>
      <w:r w:rsidRPr="00A35883">
        <w:rPr>
          <w:rFonts w:ascii="Times New Roman" w:hAnsi="Times New Roman"/>
          <w:b/>
          <w:bCs/>
          <w:noProof/>
          <w:szCs w:val="24"/>
          <w:lang w:val="en-US"/>
        </w:rPr>
        <w:t>European Accounting Review</w:t>
      </w:r>
      <w:r w:rsidRPr="00A35883">
        <w:rPr>
          <w:rFonts w:ascii="Times New Roman" w:hAnsi="Times New Roman"/>
          <w:noProof/>
          <w:szCs w:val="24"/>
          <w:lang w:val="en-US"/>
        </w:rPr>
        <w:t xml:space="preserve">, v. 19, n. 3, p. 461–493, 2010.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A35883">
        <w:rPr>
          <w:rFonts w:ascii="Times New Roman" w:hAnsi="Times New Roman"/>
          <w:noProof/>
          <w:szCs w:val="24"/>
          <w:lang w:val="en-US"/>
        </w:rPr>
        <w:t xml:space="preserve">RECH, I. J.; CUNHA, M. F. DA. </w:t>
      </w:r>
      <w:r w:rsidRPr="009B00E2">
        <w:rPr>
          <w:rFonts w:ascii="Times New Roman" w:hAnsi="Times New Roman"/>
          <w:b/>
          <w:bCs/>
          <w:noProof/>
          <w:szCs w:val="24"/>
        </w:rPr>
        <w:t>Análise das taxas de desconto aplicáveis na mensuração dos ativos biológicos a valor justo</w:t>
      </w:r>
      <w:r w:rsidRPr="009B00E2">
        <w:rPr>
          <w:rFonts w:ascii="Times New Roman" w:hAnsi="Times New Roman"/>
          <w:noProof/>
          <w:szCs w:val="24"/>
        </w:rPr>
        <w:t xml:space="preserve">. Congresso USP de Controladoria e Contabilidade. </w:t>
      </w:r>
      <w:r w:rsidRPr="009B00E2">
        <w:rPr>
          <w:rFonts w:ascii="Times New Roman" w:hAnsi="Times New Roman"/>
          <w:b/>
          <w:bCs/>
          <w:noProof/>
          <w:szCs w:val="24"/>
        </w:rPr>
        <w:t>Anais</w:t>
      </w:r>
      <w:r w:rsidRPr="009B00E2">
        <w:rPr>
          <w:rFonts w:ascii="Times New Roman" w:hAnsi="Times New Roman"/>
          <w:noProof/>
          <w:szCs w:val="24"/>
        </w:rPr>
        <w:t>...São Paulo: FEA-USP, 2011</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RECH, I. J.; PEREIRA, I. V. Valor justo : análise dos métodos de mensuração aplicáveis aos ativos biológicos de natureza fixa. </w:t>
      </w:r>
      <w:r w:rsidRPr="009B00E2">
        <w:rPr>
          <w:rFonts w:ascii="Times New Roman" w:hAnsi="Times New Roman"/>
          <w:b/>
          <w:bCs/>
          <w:noProof/>
          <w:szCs w:val="24"/>
        </w:rPr>
        <w:t>Custos e @gronegócio on line</w:t>
      </w:r>
      <w:r w:rsidRPr="009B00E2">
        <w:rPr>
          <w:rFonts w:ascii="Times New Roman" w:hAnsi="Times New Roman"/>
          <w:noProof/>
          <w:szCs w:val="24"/>
        </w:rPr>
        <w:t xml:space="preserve">, v. 8, n. 2, p. 131–157, 2012.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SILVA, D. M. DA; MARTINS, V. A.; LEMES, S. Escolhas Contábeis: reflexões para a pesquisa. </w:t>
      </w:r>
      <w:r w:rsidRPr="009B00E2">
        <w:rPr>
          <w:rFonts w:ascii="Times New Roman" w:hAnsi="Times New Roman"/>
          <w:b/>
          <w:bCs/>
          <w:noProof/>
          <w:szCs w:val="24"/>
        </w:rPr>
        <w:t>Revista Contemporânea de Contabilidade</w:t>
      </w:r>
      <w:r w:rsidRPr="009B00E2">
        <w:rPr>
          <w:rFonts w:ascii="Times New Roman" w:hAnsi="Times New Roman"/>
          <w:noProof/>
          <w:szCs w:val="24"/>
        </w:rPr>
        <w:t xml:space="preserve">, v. 13, n. 29, p. 129–156, 2016. </w:t>
      </w:r>
    </w:p>
    <w:p w:rsidR="009B00E2" w:rsidRPr="009B00E2" w:rsidRDefault="009B00E2" w:rsidP="009B00E2">
      <w:pPr>
        <w:widowControl w:val="0"/>
        <w:autoSpaceDE w:val="0"/>
        <w:autoSpaceDN w:val="0"/>
        <w:adjustRightInd w:val="0"/>
        <w:spacing w:line="240" w:lineRule="auto"/>
        <w:rPr>
          <w:rFonts w:ascii="Times New Roman" w:hAnsi="Times New Roman"/>
          <w:noProof/>
          <w:szCs w:val="24"/>
        </w:rPr>
      </w:pPr>
      <w:r w:rsidRPr="009B00E2">
        <w:rPr>
          <w:rFonts w:ascii="Times New Roman" w:hAnsi="Times New Roman"/>
          <w:noProof/>
          <w:szCs w:val="24"/>
        </w:rPr>
        <w:t xml:space="preserve">SILVA FILHO, A. C. DA C. E.; MACHADO, M. A. V.; MACHADO, M. R. Custo histórico X valor justo: qual informação é mais value relevant na mensuração dos ativos biológicos? </w:t>
      </w:r>
      <w:r w:rsidRPr="009B00E2">
        <w:rPr>
          <w:rFonts w:ascii="Times New Roman" w:hAnsi="Times New Roman"/>
          <w:b/>
          <w:bCs/>
          <w:noProof/>
          <w:szCs w:val="24"/>
        </w:rPr>
        <w:t>Custos e @gronegócio on line</w:t>
      </w:r>
      <w:r w:rsidRPr="009B00E2">
        <w:rPr>
          <w:rFonts w:ascii="Times New Roman" w:hAnsi="Times New Roman"/>
          <w:noProof/>
          <w:szCs w:val="24"/>
        </w:rPr>
        <w:t xml:space="preserve">, v. 9, n. 2, p. 27–50, 2013.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9B00E2">
        <w:rPr>
          <w:rFonts w:ascii="Times New Roman" w:hAnsi="Times New Roman"/>
          <w:noProof/>
          <w:szCs w:val="24"/>
        </w:rPr>
        <w:t xml:space="preserve">SILVA FILHO, A. C. DA C.; MARTINS, V. G.; MACHADO, M. A. V. Adoção do valor justo para os ativos biológicos: análise de sua relevância em empresas brasileiras. </w:t>
      </w:r>
      <w:r w:rsidRPr="00A35883">
        <w:rPr>
          <w:rFonts w:ascii="Times New Roman" w:hAnsi="Times New Roman"/>
          <w:b/>
          <w:bCs/>
          <w:noProof/>
          <w:szCs w:val="24"/>
          <w:lang w:val="en-US"/>
        </w:rPr>
        <w:t>Revista Universo Contábil</w:t>
      </w:r>
      <w:r w:rsidRPr="00A35883">
        <w:rPr>
          <w:rFonts w:ascii="Times New Roman" w:hAnsi="Times New Roman"/>
          <w:noProof/>
          <w:szCs w:val="24"/>
          <w:lang w:val="en-US"/>
        </w:rPr>
        <w:t xml:space="preserve">, v. 9, n. 4, p. 110–127, 30 dez. 2013.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STADLER, C.; NOBES, C. W. The Influence of Country, Industry, and Topic Factors on IFRS Policy Choice. </w:t>
      </w:r>
      <w:r w:rsidRPr="00A35883">
        <w:rPr>
          <w:rFonts w:ascii="Times New Roman" w:hAnsi="Times New Roman"/>
          <w:b/>
          <w:bCs/>
          <w:noProof/>
          <w:szCs w:val="24"/>
          <w:lang w:val="en-US"/>
        </w:rPr>
        <w:t>Abacus</w:t>
      </w:r>
      <w:r w:rsidRPr="00A35883">
        <w:rPr>
          <w:rFonts w:ascii="Times New Roman" w:hAnsi="Times New Roman"/>
          <w:noProof/>
          <w:szCs w:val="24"/>
          <w:lang w:val="en-US"/>
        </w:rPr>
        <w:t xml:space="preserve">, v. 50, n. 4, p. 386–421, 2014.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WATTS, R. L. Accounting choice theory and market-based research in accounting. </w:t>
      </w:r>
      <w:r w:rsidRPr="00A35883">
        <w:rPr>
          <w:rFonts w:ascii="Times New Roman" w:hAnsi="Times New Roman"/>
          <w:b/>
          <w:bCs/>
          <w:noProof/>
          <w:szCs w:val="24"/>
          <w:lang w:val="en-US"/>
        </w:rPr>
        <w:t>The British Accounting Review</w:t>
      </w:r>
      <w:r w:rsidRPr="00A35883">
        <w:rPr>
          <w:rFonts w:ascii="Times New Roman" w:hAnsi="Times New Roman"/>
          <w:noProof/>
          <w:szCs w:val="24"/>
          <w:lang w:val="en-US"/>
        </w:rPr>
        <w:t xml:space="preserve">, v. 24, n. 3, p. 235–267, 1992. </w:t>
      </w:r>
    </w:p>
    <w:p w:rsidR="009B00E2" w:rsidRPr="00A35883" w:rsidRDefault="009B00E2" w:rsidP="009B00E2">
      <w:pPr>
        <w:widowControl w:val="0"/>
        <w:autoSpaceDE w:val="0"/>
        <w:autoSpaceDN w:val="0"/>
        <w:adjustRightInd w:val="0"/>
        <w:spacing w:line="240" w:lineRule="auto"/>
        <w:rPr>
          <w:rFonts w:ascii="Times New Roman" w:hAnsi="Times New Roman"/>
          <w:noProof/>
          <w:szCs w:val="24"/>
          <w:lang w:val="en-US"/>
        </w:rPr>
      </w:pPr>
      <w:r w:rsidRPr="00A35883">
        <w:rPr>
          <w:rFonts w:ascii="Times New Roman" w:hAnsi="Times New Roman"/>
          <w:noProof/>
          <w:szCs w:val="24"/>
          <w:lang w:val="en-US"/>
        </w:rPr>
        <w:t xml:space="preserve">WATTS, R. L.; ZIMMERMAN, J. L. Towards a Positive Theory of the Determination of Accounting Standards. </w:t>
      </w:r>
      <w:r w:rsidRPr="00A35883">
        <w:rPr>
          <w:rFonts w:ascii="Times New Roman" w:hAnsi="Times New Roman"/>
          <w:b/>
          <w:bCs/>
          <w:noProof/>
          <w:szCs w:val="24"/>
          <w:lang w:val="en-US"/>
        </w:rPr>
        <w:t>The Accounting Review</w:t>
      </w:r>
      <w:r w:rsidRPr="00A35883">
        <w:rPr>
          <w:rFonts w:ascii="Times New Roman" w:hAnsi="Times New Roman"/>
          <w:noProof/>
          <w:szCs w:val="24"/>
          <w:lang w:val="en-US"/>
        </w:rPr>
        <w:t xml:space="preserve">, v. 53, n. 1, p. 112–134, 1978. </w:t>
      </w:r>
    </w:p>
    <w:p w:rsidR="009B00E2" w:rsidRPr="00A35883" w:rsidRDefault="009B00E2" w:rsidP="009B00E2">
      <w:pPr>
        <w:widowControl w:val="0"/>
        <w:autoSpaceDE w:val="0"/>
        <w:autoSpaceDN w:val="0"/>
        <w:adjustRightInd w:val="0"/>
        <w:spacing w:line="240" w:lineRule="auto"/>
        <w:rPr>
          <w:rFonts w:ascii="Times New Roman" w:hAnsi="Times New Roman"/>
          <w:noProof/>
          <w:lang w:val="en-US"/>
        </w:rPr>
      </w:pPr>
      <w:r w:rsidRPr="00A35883">
        <w:rPr>
          <w:rFonts w:ascii="Times New Roman" w:hAnsi="Times New Roman"/>
          <w:noProof/>
          <w:szCs w:val="24"/>
          <w:lang w:val="en-US"/>
        </w:rPr>
        <w:t xml:space="preserve">YANG, Z.; ROHRBACH, K.; CHEN, S. The Impact of Standard Setting on Relevance and Reliability of Accounting Information: Lower of Cost or Market Accounting Reforms in China. </w:t>
      </w:r>
      <w:r w:rsidRPr="00A35883">
        <w:rPr>
          <w:rFonts w:ascii="Times New Roman" w:hAnsi="Times New Roman"/>
          <w:b/>
          <w:bCs/>
          <w:noProof/>
          <w:szCs w:val="24"/>
          <w:lang w:val="en-US"/>
        </w:rPr>
        <w:t>Journal of International Financial Management and Accounting</w:t>
      </w:r>
      <w:r w:rsidRPr="00A35883">
        <w:rPr>
          <w:rFonts w:ascii="Times New Roman" w:hAnsi="Times New Roman"/>
          <w:noProof/>
          <w:szCs w:val="24"/>
          <w:lang w:val="en-US"/>
        </w:rPr>
        <w:t xml:space="preserve">, v. 16, n. 3, p. 194–228, out. 2005. </w:t>
      </w:r>
    </w:p>
    <w:p w:rsidR="00390949" w:rsidRPr="000E5487" w:rsidRDefault="001154CF" w:rsidP="001154CF">
      <w:pPr>
        <w:widowControl w:val="0"/>
        <w:autoSpaceDE w:val="0"/>
        <w:autoSpaceDN w:val="0"/>
        <w:adjustRightInd w:val="0"/>
        <w:spacing w:line="240" w:lineRule="auto"/>
        <w:ind w:firstLine="709"/>
        <w:jc w:val="both"/>
        <w:rPr>
          <w:rFonts w:ascii="Times New Roman" w:hAnsi="Times New Roman"/>
          <w:b/>
          <w:szCs w:val="24"/>
          <w:lang w:val="en-US"/>
        </w:rPr>
      </w:pPr>
      <w:r>
        <w:rPr>
          <w:rFonts w:ascii="Times New Roman" w:hAnsi="Times New Roman"/>
          <w:b/>
          <w:szCs w:val="24"/>
          <w:lang w:val="en-US"/>
        </w:rPr>
        <w:fldChar w:fldCharType="end"/>
      </w:r>
    </w:p>
    <w:sectPr w:rsidR="00390949" w:rsidRPr="000E5487" w:rsidSect="0010368E">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AC" w:rsidRDefault="001712AC" w:rsidP="005A197E">
      <w:pPr>
        <w:spacing w:after="0" w:line="240" w:lineRule="auto"/>
      </w:pPr>
      <w:r>
        <w:separator/>
      </w:r>
    </w:p>
  </w:endnote>
  <w:endnote w:type="continuationSeparator" w:id="0">
    <w:p w:rsidR="001712AC" w:rsidRDefault="001712AC" w:rsidP="005A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26085"/>
      <w:docPartObj>
        <w:docPartGallery w:val="Page Numbers (Bottom of Page)"/>
        <w:docPartUnique/>
      </w:docPartObj>
    </w:sdtPr>
    <w:sdtEndPr>
      <w:rPr>
        <w:rFonts w:ascii="Times New Roman" w:hAnsi="Times New Roman"/>
        <w:sz w:val="20"/>
        <w:szCs w:val="20"/>
      </w:rPr>
    </w:sdtEndPr>
    <w:sdtContent>
      <w:p w:rsidR="00A35883" w:rsidRPr="0010368E" w:rsidRDefault="00A35883">
        <w:pPr>
          <w:pStyle w:val="Rodap"/>
          <w:jc w:val="right"/>
          <w:rPr>
            <w:rFonts w:ascii="Times New Roman" w:hAnsi="Times New Roman"/>
            <w:sz w:val="20"/>
            <w:szCs w:val="20"/>
          </w:rPr>
        </w:pPr>
        <w:r w:rsidRPr="0010368E">
          <w:rPr>
            <w:rFonts w:ascii="Times New Roman" w:hAnsi="Times New Roman"/>
            <w:sz w:val="20"/>
            <w:szCs w:val="20"/>
          </w:rPr>
          <w:fldChar w:fldCharType="begin"/>
        </w:r>
        <w:r w:rsidRPr="0010368E">
          <w:rPr>
            <w:rFonts w:ascii="Times New Roman" w:hAnsi="Times New Roman"/>
            <w:sz w:val="20"/>
            <w:szCs w:val="20"/>
          </w:rPr>
          <w:instrText>PAGE   \* MERGEFORMAT</w:instrText>
        </w:r>
        <w:r w:rsidRPr="0010368E">
          <w:rPr>
            <w:rFonts w:ascii="Times New Roman" w:hAnsi="Times New Roman"/>
            <w:sz w:val="20"/>
            <w:szCs w:val="20"/>
          </w:rPr>
          <w:fldChar w:fldCharType="separate"/>
        </w:r>
        <w:r w:rsidR="001712AC">
          <w:rPr>
            <w:rFonts w:ascii="Times New Roman" w:hAnsi="Times New Roman"/>
            <w:noProof/>
            <w:sz w:val="20"/>
            <w:szCs w:val="20"/>
          </w:rPr>
          <w:t>1</w:t>
        </w:r>
        <w:r w:rsidRPr="0010368E">
          <w:rPr>
            <w:rFonts w:ascii="Times New Roman" w:hAnsi="Times New Roman"/>
            <w:sz w:val="20"/>
            <w:szCs w:val="20"/>
          </w:rPr>
          <w:fldChar w:fldCharType="end"/>
        </w:r>
      </w:p>
    </w:sdtContent>
  </w:sdt>
  <w:p w:rsidR="00A35883" w:rsidRDefault="00A358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AC" w:rsidRDefault="001712AC" w:rsidP="005A197E">
      <w:pPr>
        <w:spacing w:after="0" w:line="240" w:lineRule="auto"/>
      </w:pPr>
      <w:r>
        <w:separator/>
      </w:r>
    </w:p>
  </w:footnote>
  <w:footnote w:type="continuationSeparator" w:id="0">
    <w:p w:rsidR="001712AC" w:rsidRDefault="001712AC" w:rsidP="005A1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48"/>
    <w:rsid w:val="000039D2"/>
    <w:rsid w:val="00010157"/>
    <w:rsid w:val="00022C7C"/>
    <w:rsid w:val="00024595"/>
    <w:rsid w:val="000259C6"/>
    <w:rsid w:val="00030CD3"/>
    <w:rsid w:val="00041088"/>
    <w:rsid w:val="00042C66"/>
    <w:rsid w:val="00043DC7"/>
    <w:rsid w:val="0006404B"/>
    <w:rsid w:val="000645A6"/>
    <w:rsid w:val="00067294"/>
    <w:rsid w:val="000722E6"/>
    <w:rsid w:val="00080AAB"/>
    <w:rsid w:val="00080C06"/>
    <w:rsid w:val="00082207"/>
    <w:rsid w:val="000862AB"/>
    <w:rsid w:val="00086E90"/>
    <w:rsid w:val="00092D63"/>
    <w:rsid w:val="000A1444"/>
    <w:rsid w:val="000A1C89"/>
    <w:rsid w:val="000A2EE7"/>
    <w:rsid w:val="000A4F9E"/>
    <w:rsid w:val="000B157E"/>
    <w:rsid w:val="000B2F55"/>
    <w:rsid w:val="000B4492"/>
    <w:rsid w:val="000B4B4F"/>
    <w:rsid w:val="000B7D83"/>
    <w:rsid w:val="000C391D"/>
    <w:rsid w:val="000C4D19"/>
    <w:rsid w:val="000D0D25"/>
    <w:rsid w:val="000D3487"/>
    <w:rsid w:val="000E08D0"/>
    <w:rsid w:val="000E211D"/>
    <w:rsid w:val="000E5487"/>
    <w:rsid w:val="000E6C8C"/>
    <w:rsid w:val="0010368E"/>
    <w:rsid w:val="00106B40"/>
    <w:rsid w:val="00110F5B"/>
    <w:rsid w:val="00112473"/>
    <w:rsid w:val="001154CF"/>
    <w:rsid w:val="001166EF"/>
    <w:rsid w:val="00116B0A"/>
    <w:rsid w:val="00124269"/>
    <w:rsid w:val="00134F0D"/>
    <w:rsid w:val="00136AD0"/>
    <w:rsid w:val="00136ADE"/>
    <w:rsid w:val="001435F1"/>
    <w:rsid w:val="00147C0E"/>
    <w:rsid w:val="00157680"/>
    <w:rsid w:val="00162BFD"/>
    <w:rsid w:val="001652D3"/>
    <w:rsid w:val="001712AC"/>
    <w:rsid w:val="00172103"/>
    <w:rsid w:val="0018230C"/>
    <w:rsid w:val="0018386D"/>
    <w:rsid w:val="00184173"/>
    <w:rsid w:val="001850E3"/>
    <w:rsid w:val="00187922"/>
    <w:rsid w:val="00196F1E"/>
    <w:rsid w:val="001A2ABA"/>
    <w:rsid w:val="001A72AC"/>
    <w:rsid w:val="001B0130"/>
    <w:rsid w:val="001B0D54"/>
    <w:rsid w:val="001B17D3"/>
    <w:rsid w:val="001B2021"/>
    <w:rsid w:val="001B4C6D"/>
    <w:rsid w:val="001C712F"/>
    <w:rsid w:val="001D23EC"/>
    <w:rsid w:val="001D2806"/>
    <w:rsid w:val="001D52C3"/>
    <w:rsid w:val="001E0058"/>
    <w:rsid w:val="001E23EE"/>
    <w:rsid w:val="001E2B29"/>
    <w:rsid w:val="001E5212"/>
    <w:rsid w:val="001F0BB2"/>
    <w:rsid w:val="001F45BC"/>
    <w:rsid w:val="001F5E30"/>
    <w:rsid w:val="0020220A"/>
    <w:rsid w:val="00203B31"/>
    <w:rsid w:val="002042DB"/>
    <w:rsid w:val="00205DC1"/>
    <w:rsid w:val="00206E68"/>
    <w:rsid w:val="0021017C"/>
    <w:rsid w:val="00210EE7"/>
    <w:rsid w:val="00213DD1"/>
    <w:rsid w:val="00216672"/>
    <w:rsid w:val="00220633"/>
    <w:rsid w:val="00220C3E"/>
    <w:rsid w:val="00220D37"/>
    <w:rsid w:val="00221AAC"/>
    <w:rsid w:val="00230218"/>
    <w:rsid w:val="00231351"/>
    <w:rsid w:val="002317A4"/>
    <w:rsid w:val="00236668"/>
    <w:rsid w:val="00240833"/>
    <w:rsid w:val="00241335"/>
    <w:rsid w:val="0024284B"/>
    <w:rsid w:val="002445A2"/>
    <w:rsid w:val="00245506"/>
    <w:rsid w:val="0024559F"/>
    <w:rsid w:val="00246D85"/>
    <w:rsid w:val="00247717"/>
    <w:rsid w:val="00247D27"/>
    <w:rsid w:val="00250CC1"/>
    <w:rsid w:val="0025123B"/>
    <w:rsid w:val="002606A7"/>
    <w:rsid w:val="00262CC3"/>
    <w:rsid w:val="00280AD9"/>
    <w:rsid w:val="0028494C"/>
    <w:rsid w:val="00284A22"/>
    <w:rsid w:val="00285D1B"/>
    <w:rsid w:val="0028732D"/>
    <w:rsid w:val="00290DC7"/>
    <w:rsid w:val="00291DE0"/>
    <w:rsid w:val="00292DA1"/>
    <w:rsid w:val="0029376F"/>
    <w:rsid w:val="002953FA"/>
    <w:rsid w:val="00296497"/>
    <w:rsid w:val="002A22E4"/>
    <w:rsid w:val="002A6BCE"/>
    <w:rsid w:val="002B64CB"/>
    <w:rsid w:val="002C5864"/>
    <w:rsid w:val="002C5DAB"/>
    <w:rsid w:val="002D363C"/>
    <w:rsid w:val="002D491C"/>
    <w:rsid w:val="002D7608"/>
    <w:rsid w:val="002E2F48"/>
    <w:rsid w:val="002E5400"/>
    <w:rsid w:val="002F1601"/>
    <w:rsid w:val="002F4263"/>
    <w:rsid w:val="00300484"/>
    <w:rsid w:val="00301072"/>
    <w:rsid w:val="00303461"/>
    <w:rsid w:val="00312576"/>
    <w:rsid w:val="00313F5E"/>
    <w:rsid w:val="00315175"/>
    <w:rsid w:val="00316A0D"/>
    <w:rsid w:val="0032112C"/>
    <w:rsid w:val="00323173"/>
    <w:rsid w:val="00326A07"/>
    <w:rsid w:val="00327C17"/>
    <w:rsid w:val="003317B4"/>
    <w:rsid w:val="00344415"/>
    <w:rsid w:val="00344F61"/>
    <w:rsid w:val="0035389F"/>
    <w:rsid w:val="00360742"/>
    <w:rsid w:val="00362D58"/>
    <w:rsid w:val="00363D13"/>
    <w:rsid w:val="003669E3"/>
    <w:rsid w:val="00367EA7"/>
    <w:rsid w:val="00370D28"/>
    <w:rsid w:val="00371808"/>
    <w:rsid w:val="00374AD9"/>
    <w:rsid w:val="003759CB"/>
    <w:rsid w:val="00377286"/>
    <w:rsid w:val="00377381"/>
    <w:rsid w:val="003776F7"/>
    <w:rsid w:val="0038071E"/>
    <w:rsid w:val="00390949"/>
    <w:rsid w:val="00391CB2"/>
    <w:rsid w:val="003923AC"/>
    <w:rsid w:val="00395EE1"/>
    <w:rsid w:val="003A0590"/>
    <w:rsid w:val="003A4FF7"/>
    <w:rsid w:val="003A6B37"/>
    <w:rsid w:val="003B23BF"/>
    <w:rsid w:val="003B5DD6"/>
    <w:rsid w:val="003C49A8"/>
    <w:rsid w:val="003C51BE"/>
    <w:rsid w:val="003E7BE1"/>
    <w:rsid w:val="003F5E15"/>
    <w:rsid w:val="00403724"/>
    <w:rsid w:val="0040384C"/>
    <w:rsid w:val="00403D15"/>
    <w:rsid w:val="004140A8"/>
    <w:rsid w:val="00416F6B"/>
    <w:rsid w:val="00425159"/>
    <w:rsid w:val="004254B5"/>
    <w:rsid w:val="004275D4"/>
    <w:rsid w:val="004312A7"/>
    <w:rsid w:val="00443433"/>
    <w:rsid w:val="00447AD6"/>
    <w:rsid w:val="0045297A"/>
    <w:rsid w:val="00453B62"/>
    <w:rsid w:val="0045504F"/>
    <w:rsid w:val="00455D9D"/>
    <w:rsid w:val="00465431"/>
    <w:rsid w:val="0046696C"/>
    <w:rsid w:val="00476F39"/>
    <w:rsid w:val="00482F4B"/>
    <w:rsid w:val="004850BD"/>
    <w:rsid w:val="00485D63"/>
    <w:rsid w:val="004937EF"/>
    <w:rsid w:val="004954CB"/>
    <w:rsid w:val="00496B19"/>
    <w:rsid w:val="004A159D"/>
    <w:rsid w:val="004A19E7"/>
    <w:rsid w:val="004A53A2"/>
    <w:rsid w:val="004A633F"/>
    <w:rsid w:val="004A6C75"/>
    <w:rsid w:val="004B06D8"/>
    <w:rsid w:val="004B0F02"/>
    <w:rsid w:val="004B14C1"/>
    <w:rsid w:val="004B22E1"/>
    <w:rsid w:val="004B4864"/>
    <w:rsid w:val="004C0828"/>
    <w:rsid w:val="004C0858"/>
    <w:rsid w:val="004C26CE"/>
    <w:rsid w:val="004C6525"/>
    <w:rsid w:val="004D0778"/>
    <w:rsid w:val="004D5536"/>
    <w:rsid w:val="004E416E"/>
    <w:rsid w:val="004E4C6A"/>
    <w:rsid w:val="004E4D26"/>
    <w:rsid w:val="004E72F8"/>
    <w:rsid w:val="004F1737"/>
    <w:rsid w:val="004F70D6"/>
    <w:rsid w:val="00501FA8"/>
    <w:rsid w:val="005023F9"/>
    <w:rsid w:val="00503862"/>
    <w:rsid w:val="00505FBC"/>
    <w:rsid w:val="00514231"/>
    <w:rsid w:val="005219B1"/>
    <w:rsid w:val="00522F24"/>
    <w:rsid w:val="00532BA6"/>
    <w:rsid w:val="00533B76"/>
    <w:rsid w:val="005446D3"/>
    <w:rsid w:val="00546AC3"/>
    <w:rsid w:val="0055082C"/>
    <w:rsid w:val="00551190"/>
    <w:rsid w:val="005531F8"/>
    <w:rsid w:val="00557D6C"/>
    <w:rsid w:val="00557D9C"/>
    <w:rsid w:val="0056595C"/>
    <w:rsid w:val="00573AA2"/>
    <w:rsid w:val="00582539"/>
    <w:rsid w:val="00592AD0"/>
    <w:rsid w:val="005936A5"/>
    <w:rsid w:val="005A197E"/>
    <w:rsid w:val="005A2933"/>
    <w:rsid w:val="005A3956"/>
    <w:rsid w:val="005A79A2"/>
    <w:rsid w:val="005B2DC8"/>
    <w:rsid w:val="005B34DA"/>
    <w:rsid w:val="005B61AC"/>
    <w:rsid w:val="005C20AE"/>
    <w:rsid w:val="005C3AA4"/>
    <w:rsid w:val="005C76AF"/>
    <w:rsid w:val="005C7DA2"/>
    <w:rsid w:val="005D1A75"/>
    <w:rsid w:val="005D2249"/>
    <w:rsid w:val="005D3924"/>
    <w:rsid w:val="005D44E4"/>
    <w:rsid w:val="005D6C08"/>
    <w:rsid w:val="005E1968"/>
    <w:rsid w:val="005E25A1"/>
    <w:rsid w:val="005E334A"/>
    <w:rsid w:val="005F29B6"/>
    <w:rsid w:val="005F2B8A"/>
    <w:rsid w:val="005F5257"/>
    <w:rsid w:val="005F5719"/>
    <w:rsid w:val="00600FCC"/>
    <w:rsid w:val="0061313D"/>
    <w:rsid w:val="00613220"/>
    <w:rsid w:val="00621AB9"/>
    <w:rsid w:val="006274D5"/>
    <w:rsid w:val="0064100B"/>
    <w:rsid w:val="0064436A"/>
    <w:rsid w:val="00651698"/>
    <w:rsid w:val="00651EDD"/>
    <w:rsid w:val="00655345"/>
    <w:rsid w:val="00660841"/>
    <w:rsid w:val="00661F71"/>
    <w:rsid w:val="006635ED"/>
    <w:rsid w:val="00667FB1"/>
    <w:rsid w:val="00674789"/>
    <w:rsid w:val="006765A0"/>
    <w:rsid w:val="00677C93"/>
    <w:rsid w:val="006834A9"/>
    <w:rsid w:val="00687A7A"/>
    <w:rsid w:val="006929E4"/>
    <w:rsid w:val="006B3DF7"/>
    <w:rsid w:val="006C226C"/>
    <w:rsid w:val="006C3500"/>
    <w:rsid w:val="006C54C9"/>
    <w:rsid w:val="006D5335"/>
    <w:rsid w:val="006D5A1F"/>
    <w:rsid w:val="006E18E1"/>
    <w:rsid w:val="006E284D"/>
    <w:rsid w:val="006E39B5"/>
    <w:rsid w:val="006E3F7D"/>
    <w:rsid w:val="006E534F"/>
    <w:rsid w:val="006F09CD"/>
    <w:rsid w:val="006F6748"/>
    <w:rsid w:val="00701358"/>
    <w:rsid w:val="0070477B"/>
    <w:rsid w:val="00705E3D"/>
    <w:rsid w:val="00712720"/>
    <w:rsid w:val="00723EB2"/>
    <w:rsid w:val="0072726F"/>
    <w:rsid w:val="00730DA3"/>
    <w:rsid w:val="00733919"/>
    <w:rsid w:val="00734C66"/>
    <w:rsid w:val="00734CF0"/>
    <w:rsid w:val="00744E5E"/>
    <w:rsid w:val="00753205"/>
    <w:rsid w:val="007562CC"/>
    <w:rsid w:val="00757C14"/>
    <w:rsid w:val="007609EB"/>
    <w:rsid w:val="00760A5A"/>
    <w:rsid w:val="007613E4"/>
    <w:rsid w:val="0076661E"/>
    <w:rsid w:val="00766CD9"/>
    <w:rsid w:val="00766FCA"/>
    <w:rsid w:val="007725FE"/>
    <w:rsid w:val="00776D4C"/>
    <w:rsid w:val="0078119C"/>
    <w:rsid w:val="00782413"/>
    <w:rsid w:val="00782CC3"/>
    <w:rsid w:val="00792148"/>
    <w:rsid w:val="007A0680"/>
    <w:rsid w:val="007A10D3"/>
    <w:rsid w:val="007A1597"/>
    <w:rsid w:val="007A46CE"/>
    <w:rsid w:val="007A550C"/>
    <w:rsid w:val="007B2336"/>
    <w:rsid w:val="007B3A33"/>
    <w:rsid w:val="007B6859"/>
    <w:rsid w:val="007C0174"/>
    <w:rsid w:val="007C6D77"/>
    <w:rsid w:val="007C7B81"/>
    <w:rsid w:val="007D0D58"/>
    <w:rsid w:val="007D11BB"/>
    <w:rsid w:val="007E359B"/>
    <w:rsid w:val="0080040C"/>
    <w:rsid w:val="0080045E"/>
    <w:rsid w:val="0080434E"/>
    <w:rsid w:val="00804839"/>
    <w:rsid w:val="0080707C"/>
    <w:rsid w:val="00807277"/>
    <w:rsid w:val="008101C8"/>
    <w:rsid w:val="00812660"/>
    <w:rsid w:val="00813DF7"/>
    <w:rsid w:val="00816F11"/>
    <w:rsid w:val="00817680"/>
    <w:rsid w:val="00820095"/>
    <w:rsid w:val="008204FF"/>
    <w:rsid w:val="008211CB"/>
    <w:rsid w:val="00823B5C"/>
    <w:rsid w:val="0082464B"/>
    <w:rsid w:val="00831D4B"/>
    <w:rsid w:val="008327F4"/>
    <w:rsid w:val="008332D4"/>
    <w:rsid w:val="00834E7A"/>
    <w:rsid w:val="008376E1"/>
    <w:rsid w:val="008455DD"/>
    <w:rsid w:val="00857067"/>
    <w:rsid w:val="00857A5E"/>
    <w:rsid w:val="00864936"/>
    <w:rsid w:val="008704F0"/>
    <w:rsid w:val="00871DFD"/>
    <w:rsid w:val="008738AE"/>
    <w:rsid w:val="00873DA1"/>
    <w:rsid w:val="00875B30"/>
    <w:rsid w:val="00876816"/>
    <w:rsid w:val="00876A33"/>
    <w:rsid w:val="00891844"/>
    <w:rsid w:val="00894559"/>
    <w:rsid w:val="00894C2C"/>
    <w:rsid w:val="00894FB5"/>
    <w:rsid w:val="008A2C26"/>
    <w:rsid w:val="008A3F87"/>
    <w:rsid w:val="008A57ED"/>
    <w:rsid w:val="008B1249"/>
    <w:rsid w:val="008B2A2C"/>
    <w:rsid w:val="008B724F"/>
    <w:rsid w:val="008C0E84"/>
    <w:rsid w:val="008C129D"/>
    <w:rsid w:val="008C41DD"/>
    <w:rsid w:val="008E1ABE"/>
    <w:rsid w:val="008E1D33"/>
    <w:rsid w:val="008E232F"/>
    <w:rsid w:val="008E2C76"/>
    <w:rsid w:val="008E63BF"/>
    <w:rsid w:val="008E64CA"/>
    <w:rsid w:val="008E740C"/>
    <w:rsid w:val="008E7660"/>
    <w:rsid w:val="008F054E"/>
    <w:rsid w:val="008F14CC"/>
    <w:rsid w:val="008F338F"/>
    <w:rsid w:val="008F6DE9"/>
    <w:rsid w:val="00901442"/>
    <w:rsid w:val="00903C66"/>
    <w:rsid w:val="00905410"/>
    <w:rsid w:val="009066FF"/>
    <w:rsid w:val="00906D1F"/>
    <w:rsid w:val="009076BB"/>
    <w:rsid w:val="00910EFA"/>
    <w:rsid w:val="00912C66"/>
    <w:rsid w:val="00913571"/>
    <w:rsid w:val="0092313E"/>
    <w:rsid w:val="00923B6F"/>
    <w:rsid w:val="009261EB"/>
    <w:rsid w:val="00926AF5"/>
    <w:rsid w:val="009277DA"/>
    <w:rsid w:val="00934DC5"/>
    <w:rsid w:val="00936E86"/>
    <w:rsid w:val="009372B6"/>
    <w:rsid w:val="00943CE5"/>
    <w:rsid w:val="0094437F"/>
    <w:rsid w:val="009444C3"/>
    <w:rsid w:val="0094504C"/>
    <w:rsid w:val="0094539D"/>
    <w:rsid w:val="00945D1C"/>
    <w:rsid w:val="00946F66"/>
    <w:rsid w:val="009578DE"/>
    <w:rsid w:val="00957D4D"/>
    <w:rsid w:val="009607DA"/>
    <w:rsid w:val="009618DB"/>
    <w:rsid w:val="00970030"/>
    <w:rsid w:val="00973F3F"/>
    <w:rsid w:val="009745A1"/>
    <w:rsid w:val="00976144"/>
    <w:rsid w:val="00976B64"/>
    <w:rsid w:val="00980BD6"/>
    <w:rsid w:val="0098237A"/>
    <w:rsid w:val="00982E7C"/>
    <w:rsid w:val="00984553"/>
    <w:rsid w:val="009914D7"/>
    <w:rsid w:val="009923AC"/>
    <w:rsid w:val="00995018"/>
    <w:rsid w:val="00996713"/>
    <w:rsid w:val="00997B5F"/>
    <w:rsid w:val="009A5438"/>
    <w:rsid w:val="009A6691"/>
    <w:rsid w:val="009B00E2"/>
    <w:rsid w:val="009B6808"/>
    <w:rsid w:val="009C354C"/>
    <w:rsid w:val="009C5821"/>
    <w:rsid w:val="009C709D"/>
    <w:rsid w:val="009D2B8C"/>
    <w:rsid w:val="009D70CE"/>
    <w:rsid w:val="009E5183"/>
    <w:rsid w:val="009E5B14"/>
    <w:rsid w:val="009F0BC3"/>
    <w:rsid w:val="009F732A"/>
    <w:rsid w:val="00A00C16"/>
    <w:rsid w:val="00A0396F"/>
    <w:rsid w:val="00A03F48"/>
    <w:rsid w:val="00A04A47"/>
    <w:rsid w:val="00A062CC"/>
    <w:rsid w:val="00A06ADF"/>
    <w:rsid w:val="00A10AD4"/>
    <w:rsid w:val="00A124F1"/>
    <w:rsid w:val="00A16548"/>
    <w:rsid w:val="00A200AD"/>
    <w:rsid w:val="00A2593E"/>
    <w:rsid w:val="00A35883"/>
    <w:rsid w:val="00A37AB9"/>
    <w:rsid w:val="00A421FF"/>
    <w:rsid w:val="00A424EF"/>
    <w:rsid w:val="00A46FCF"/>
    <w:rsid w:val="00A51B57"/>
    <w:rsid w:val="00A538D3"/>
    <w:rsid w:val="00A60AED"/>
    <w:rsid w:val="00A62DCD"/>
    <w:rsid w:val="00A64F4A"/>
    <w:rsid w:val="00A732C6"/>
    <w:rsid w:val="00A75A08"/>
    <w:rsid w:val="00A8238A"/>
    <w:rsid w:val="00A82F5A"/>
    <w:rsid w:val="00A901EF"/>
    <w:rsid w:val="00A920B2"/>
    <w:rsid w:val="00A93915"/>
    <w:rsid w:val="00AA0F13"/>
    <w:rsid w:val="00AB4B3F"/>
    <w:rsid w:val="00AB773B"/>
    <w:rsid w:val="00AC3314"/>
    <w:rsid w:val="00AC419C"/>
    <w:rsid w:val="00AD0FBB"/>
    <w:rsid w:val="00AD6367"/>
    <w:rsid w:val="00AE30C5"/>
    <w:rsid w:val="00AE44F6"/>
    <w:rsid w:val="00AE6332"/>
    <w:rsid w:val="00AF23E0"/>
    <w:rsid w:val="00AF2617"/>
    <w:rsid w:val="00AF2A51"/>
    <w:rsid w:val="00AF2E2E"/>
    <w:rsid w:val="00AF2EB1"/>
    <w:rsid w:val="00AF6FEB"/>
    <w:rsid w:val="00B023E4"/>
    <w:rsid w:val="00B216F1"/>
    <w:rsid w:val="00B4257A"/>
    <w:rsid w:val="00B442DF"/>
    <w:rsid w:val="00B45399"/>
    <w:rsid w:val="00B71208"/>
    <w:rsid w:val="00B747D7"/>
    <w:rsid w:val="00B809FB"/>
    <w:rsid w:val="00B81588"/>
    <w:rsid w:val="00B81AF6"/>
    <w:rsid w:val="00B84C8D"/>
    <w:rsid w:val="00B8566D"/>
    <w:rsid w:val="00B867A3"/>
    <w:rsid w:val="00B907FC"/>
    <w:rsid w:val="00B915F0"/>
    <w:rsid w:val="00B954F7"/>
    <w:rsid w:val="00BA029B"/>
    <w:rsid w:val="00BA09E6"/>
    <w:rsid w:val="00BA2DB3"/>
    <w:rsid w:val="00BA58D4"/>
    <w:rsid w:val="00BA5DA3"/>
    <w:rsid w:val="00BA752A"/>
    <w:rsid w:val="00BB4E2C"/>
    <w:rsid w:val="00BC572E"/>
    <w:rsid w:val="00BC760F"/>
    <w:rsid w:val="00BD39F7"/>
    <w:rsid w:val="00BE1905"/>
    <w:rsid w:val="00BE4FE6"/>
    <w:rsid w:val="00BF33F5"/>
    <w:rsid w:val="00BF73AF"/>
    <w:rsid w:val="00C167B6"/>
    <w:rsid w:val="00C168B5"/>
    <w:rsid w:val="00C16E6A"/>
    <w:rsid w:val="00C16EEA"/>
    <w:rsid w:val="00C217A5"/>
    <w:rsid w:val="00C247B8"/>
    <w:rsid w:val="00C25D57"/>
    <w:rsid w:val="00C30865"/>
    <w:rsid w:val="00C40867"/>
    <w:rsid w:val="00C450A7"/>
    <w:rsid w:val="00C4669C"/>
    <w:rsid w:val="00C50B4B"/>
    <w:rsid w:val="00C51813"/>
    <w:rsid w:val="00C542BA"/>
    <w:rsid w:val="00C55011"/>
    <w:rsid w:val="00C61858"/>
    <w:rsid w:val="00C64A63"/>
    <w:rsid w:val="00C65B7B"/>
    <w:rsid w:val="00C66B87"/>
    <w:rsid w:val="00C7019F"/>
    <w:rsid w:val="00C727C6"/>
    <w:rsid w:val="00C760B8"/>
    <w:rsid w:val="00C76FE1"/>
    <w:rsid w:val="00C77619"/>
    <w:rsid w:val="00C923CE"/>
    <w:rsid w:val="00C9492D"/>
    <w:rsid w:val="00C94C16"/>
    <w:rsid w:val="00CA4375"/>
    <w:rsid w:val="00CA6A6B"/>
    <w:rsid w:val="00CB1F8E"/>
    <w:rsid w:val="00CB3055"/>
    <w:rsid w:val="00CC084B"/>
    <w:rsid w:val="00CC69DE"/>
    <w:rsid w:val="00CD3B4C"/>
    <w:rsid w:val="00CD45F4"/>
    <w:rsid w:val="00CD703A"/>
    <w:rsid w:val="00CE0D81"/>
    <w:rsid w:val="00CE2B4C"/>
    <w:rsid w:val="00CE595C"/>
    <w:rsid w:val="00CE756D"/>
    <w:rsid w:val="00CF5863"/>
    <w:rsid w:val="00D10203"/>
    <w:rsid w:val="00D13607"/>
    <w:rsid w:val="00D1521A"/>
    <w:rsid w:val="00D16BE4"/>
    <w:rsid w:val="00D2166B"/>
    <w:rsid w:val="00D30058"/>
    <w:rsid w:val="00D3133C"/>
    <w:rsid w:val="00D313C0"/>
    <w:rsid w:val="00D31A35"/>
    <w:rsid w:val="00D33781"/>
    <w:rsid w:val="00D37EA3"/>
    <w:rsid w:val="00D47406"/>
    <w:rsid w:val="00D50B44"/>
    <w:rsid w:val="00D5446A"/>
    <w:rsid w:val="00D566A5"/>
    <w:rsid w:val="00D65949"/>
    <w:rsid w:val="00D71684"/>
    <w:rsid w:val="00D7479D"/>
    <w:rsid w:val="00D766AF"/>
    <w:rsid w:val="00D774E9"/>
    <w:rsid w:val="00D82046"/>
    <w:rsid w:val="00D95716"/>
    <w:rsid w:val="00D95D87"/>
    <w:rsid w:val="00D969D0"/>
    <w:rsid w:val="00DA08B6"/>
    <w:rsid w:val="00DA1E44"/>
    <w:rsid w:val="00DA3DBD"/>
    <w:rsid w:val="00DA4518"/>
    <w:rsid w:val="00DB27AC"/>
    <w:rsid w:val="00DB3CBC"/>
    <w:rsid w:val="00DB49F9"/>
    <w:rsid w:val="00DB5ED6"/>
    <w:rsid w:val="00DB6814"/>
    <w:rsid w:val="00DC10C8"/>
    <w:rsid w:val="00DC1B79"/>
    <w:rsid w:val="00DE4E1B"/>
    <w:rsid w:val="00DE7B6A"/>
    <w:rsid w:val="00DF1D6F"/>
    <w:rsid w:val="00DF42F4"/>
    <w:rsid w:val="00DF7BA3"/>
    <w:rsid w:val="00E0541A"/>
    <w:rsid w:val="00E062D4"/>
    <w:rsid w:val="00E15207"/>
    <w:rsid w:val="00E20CD0"/>
    <w:rsid w:val="00E226D8"/>
    <w:rsid w:val="00E27797"/>
    <w:rsid w:val="00E31B61"/>
    <w:rsid w:val="00E340DA"/>
    <w:rsid w:val="00E36EEB"/>
    <w:rsid w:val="00E42D5D"/>
    <w:rsid w:val="00E45714"/>
    <w:rsid w:val="00E5417A"/>
    <w:rsid w:val="00E545DF"/>
    <w:rsid w:val="00E56616"/>
    <w:rsid w:val="00E56F0F"/>
    <w:rsid w:val="00E57284"/>
    <w:rsid w:val="00E66091"/>
    <w:rsid w:val="00E73AA8"/>
    <w:rsid w:val="00E802E9"/>
    <w:rsid w:val="00E840BD"/>
    <w:rsid w:val="00E91FB0"/>
    <w:rsid w:val="00E921D3"/>
    <w:rsid w:val="00E93B64"/>
    <w:rsid w:val="00EA013E"/>
    <w:rsid w:val="00EA4BCD"/>
    <w:rsid w:val="00EA5320"/>
    <w:rsid w:val="00EA56BB"/>
    <w:rsid w:val="00EC257C"/>
    <w:rsid w:val="00ED04E9"/>
    <w:rsid w:val="00ED5C86"/>
    <w:rsid w:val="00ED5CD5"/>
    <w:rsid w:val="00ED78EF"/>
    <w:rsid w:val="00EF1BE6"/>
    <w:rsid w:val="00F011B2"/>
    <w:rsid w:val="00F0375E"/>
    <w:rsid w:val="00F04C6B"/>
    <w:rsid w:val="00F17696"/>
    <w:rsid w:val="00F22C52"/>
    <w:rsid w:val="00F23FE5"/>
    <w:rsid w:val="00F34F6E"/>
    <w:rsid w:val="00F34FA7"/>
    <w:rsid w:val="00F35E58"/>
    <w:rsid w:val="00F37183"/>
    <w:rsid w:val="00F424EA"/>
    <w:rsid w:val="00F42BA2"/>
    <w:rsid w:val="00F4749D"/>
    <w:rsid w:val="00F52BE1"/>
    <w:rsid w:val="00F5418F"/>
    <w:rsid w:val="00F5791F"/>
    <w:rsid w:val="00F57A78"/>
    <w:rsid w:val="00F60CDE"/>
    <w:rsid w:val="00F702C1"/>
    <w:rsid w:val="00F760A0"/>
    <w:rsid w:val="00F80BF0"/>
    <w:rsid w:val="00F94D4E"/>
    <w:rsid w:val="00F952AC"/>
    <w:rsid w:val="00F97F8A"/>
    <w:rsid w:val="00FA2FC5"/>
    <w:rsid w:val="00FA40BD"/>
    <w:rsid w:val="00FB3AC9"/>
    <w:rsid w:val="00FC0226"/>
    <w:rsid w:val="00FC74EC"/>
    <w:rsid w:val="00FC7C38"/>
    <w:rsid w:val="00FD50EC"/>
    <w:rsid w:val="00FD5D4B"/>
    <w:rsid w:val="00FE2393"/>
    <w:rsid w:val="00FE736B"/>
    <w:rsid w:val="00FF1245"/>
    <w:rsid w:val="00FF1E21"/>
    <w:rsid w:val="00FF2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54A92-EAB8-4540-8F11-6B0D065B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B1"/>
    <w:pPr>
      <w:spacing w:after="200" w:line="276" w:lineRule="auto"/>
    </w:pPr>
    <w:rPr>
      <w:rFonts w:ascii="Arial" w:eastAsia="Times New Roman" w:hAnsi="Arial"/>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214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92148"/>
    <w:rPr>
      <w:rFonts w:ascii="Tahoma" w:eastAsia="Times New Roman" w:hAnsi="Tahoma" w:cs="Tahoma"/>
      <w:sz w:val="16"/>
      <w:szCs w:val="16"/>
      <w:lang w:eastAsia="pt-BR"/>
    </w:rPr>
  </w:style>
  <w:style w:type="paragraph" w:customStyle="1" w:styleId="GradeMdia21">
    <w:name w:val="Grade Média 21"/>
    <w:aliases w:val="Texto"/>
    <w:basedOn w:val="Normal"/>
    <w:next w:val="Normal"/>
    <w:link w:val="GradeMdia2Char"/>
    <w:autoRedefine/>
    <w:uiPriority w:val="1"/>
    <w:qFormat/>
    <w:rsid w:val="001D23EC"/>
    <w:pPr>
      <w:spacing w:after="0" w:line="240" w:lineRule="auto"/>
      <w:jc w:val="both"/>
    </w:pPr>
    <w:rPr>
      <w:rFonts w:ascii="Times New Roman" w:eastAsia="Calibri" w:hAnsi="Times New Roman"/>
      <w:noProof/>
      <w:color w:val="000000"/>
      <w:szCs w:val="24"/>
      <w:lang w:eastAsia="en-US"/>
    </w:rPr>
  </w:style>
  <w:style w:type="character" w:customStyle="1" w:styleId="GradeMdia2Char">
    <w:name w:val="Grade Média 2 Char"/>
    <w:aliases w:val="Texto Char"/>
    <w:link w:val="GradeMdia21"/>
    <w:uiPriority w:val="1"/>
    <w:rsid w:val="001D23EC"/>
    <w:rPr>
      <w:rFonts w:eastAsia="Calibri"/>
      <w:noProof/>
      <w:color w:val="000000"/>
      <w:szCs w:val="24"/>
    </w:rPr>
  </w:style>
  <w:style w:type="character" w:styleId="Refdecomentrio">
    <w:name w:val="annotation reference"/>
    <w:uiPriority w:val="99"/>
    <w:semiHidden/>
    <w:unhideWhenUsed/>
    <w:rsid w:val="00A901EF"/>
    <w:rPr>
      <w:sz w:val="18"/>
      <w:szCs w:val="18"/>
    </w:rPr>
  </w:style>
  <w:style w:type="paragraph" w:styleId="Textodecomentrio">
    <w:name w:val="annotation text"/>
    <w:basedOn w:val="Normal"/>
    <w:link w:val="TextodecomentrioChar"/>
    <w:uiPriority w:val="99"/>
    <w:semiHidden/>
    <w:unhideWhenUsed/>
    <w:rsid w:val="00A901EF"/>
    <w:pPr>
      <w:spacing w:line="240" w:lineRule="auto"/>
    </w:pPr>
    <w:rPr>
      <w:szCs w:val="24"/>
    </w:rPr>
  </w:style>
  <w:style w:type="character" w:customStyle="1" w:styleId="TextodecomentrioChar">
    <w:name w:val="Texto de comentário Char"/>
    <w:link w:val="Textodecomentrio"/>
    <w:uiPriority w:val="99"/>
    <w:semiHidden/>
    <w:rsid w:val="00A901EF"/>
    <w:rPr>
      <w:rFonts w:ascii="Arial" w:eastAsia="Times New Roman" w:hAnsi="Arial" w:cs="Times New Roman"/>
      <w:szCs w:val="24"/>
      <w:lang w:eastAsia="pt-BR"/>
    </w:rPr>
  </w:style>
  <w:style w:type="paragraph" w:styleId="Assuntodocomentrio">
    <w:name w:val="annotation subject"/>
    <w:basedOn w:val="Textodecomentrio"/>
    <w:next w:val="Textodecomentrio"/>
    <w:link w:val="AssuntodocomentrioChar"/>
    <w:uiPriority w:val="99"/>
    <w:semiHidden/>
    <w:unhideWhenUsed/>
    <w:rsid w:val="00A901EF"/>
    <w:rPr>
      <w:b/>
      <w:bCs/>
      <w:sz w:val="20"/>
      <w:szCs w:val="20"/>
    </w:rPr>
  </w:style>
  <w:style w:type="character" w:customStyle="1" w:styleId="AssuntodocomentrioChar">
    <w:name w:val="Assunto do comentário Char"/>
    <w:link w:val="Assuntodocomentrio"/>
    <w:uiPriority w:val="99"/>
    <w:semiHidden/>
    <w:rsid w:val="00A901EF"/>
    <w:rPr>
      <w:rFonts w:ascii="Arial" w:eastAsia="Times New Roman" w:hAnsi="Arial" w:cs="Times New Roman"/>
      <w:b/>
      <w:bCs/>
      <w:sz w:val="20"/>
      <w:szCs w:val="20"/>
      <w:lang w:eastAsia="pt-BR"/>
    </w:rPr>
  </w:style>
  <w:style w:type="paragraph" w:styleId="Cabealho">
    <w:name w:val="header"/>
    <w:basedOn w:val="Normal"/>
    <w:link w:val="CabealhoChar"/>
    <w:uiPriority w:val="99"/>
    <w:unhideWhenUsed/>
    <w:rsid w:val="005A197E"/>
    <w:pPr>
      <w:tabs>
        <w:tab w:val="center" w:pos="4252"/>
        <w:tab w:val="right" w:pos="8504"/>
      </w:tabs>
      <w:spacing w:after="0" w:line="240" w:lineRule="auto"/>
    </w:pPr>
  </w:style>
  <w:style w:type="character" w:customStyle="1" w:styleId="CabealhoChar">
    <w:name w:val="Cabeçalho Char"/>
    <w:link w:val="Cabealho"/>
    <w:uiPriority w:val="99"/>
    <w:rsid w:val="005A197E"/>
    <w:rPr>
      <w:rFonts w:ascii="Arial" w:eastAsia="Times New Roman" w:hAnsi="Arial" w:cs="Times New Roman"/>
      <w:lang w:eastAsia="pt-BR"/>
    </w:rPr>
  </w:style>
  <w:style w:type="paragraph" w:styleId="Rodap">
    <w:name w:val="footer"/>
    <w:basedOn w:val="Normal"/>
    <w:link w:val="RodapChar"/>
    <w:uiPriority w:val="99"/>
    <w:unhideWhenUsed/>
    <w:rsid w:val="005A197E"/>
    <w:pPr>
      <w:tabs>
        <w:tab w:val="center" w:pos="4252"/>
        <w:tab w:val="right" w:pos="8504"/>
      </w:tabs>
      <w:spacing w:after="0" w:line="240" w:lineRule="auto"/>
    </w:pPr>
  </w:style>
  <w:style w:type="character" w:customStyle="1" w:styleId="RodapChar">
    <w:name w:val="Rodapé Char"/>
    <w:link w:val="Rodap"/>
    <w:uiPriority w:val="99"/>
    <w:rsid w:val="005A197E"/>
    <w:rPr>
      <w:rFonts w:ascii="Arial" w:eastAsia="Times New Roman" w:hAnsi="Arial" w:cs="Times New Roman"/>
      <w:lang w:eastAsia="pt-BR"/>
    </w:rPr>
  </w:style>
  <w:style w:type="table" w:styleId="Tabelacomgrade">
    <w:name w:val="Table Grid"/>
    <w:basedOn w:val="Tabelanormal"/>
    <w:uiPriority w:val="59"/>
    <w:rsid w:val="0012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35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7355">
      <w:bodyDiv w:val="1"/>
      <w:marLeft w:val="0"/>
      <w:marRight w:val="0"/>
      <w:marTop w:val="0"/>
      <w:marBottom w:val="0"/>
      <w:divBdr>
        <w:top w:val="none" w:sz="0" w:space="0" w:color="auto"/>
        <w:left w:val="none" w:sz="0" w:space="0" w:color="auto"/>
        <w:bottom w:val="none" w:sz="0" w:space="0" w:color="auto"/>
        <w:right w:val="none" w:sz="0" w:space="0" w:color="auto"/>
      </w:divBdr>
      <w:divsChild>
        <w:div w:id="314186307">
          <w:marLeft w:val="547"/>
          <w:marRight w:val="0"/>
          <w:marTop w:val="0"/>
          <w:marBottom w:val="0"/>
          <w:divBdr>
            <w:top w:val="none" w:sz="0" w:space="0" w:color="auto"/>
            <w:left w:val="none" w:sz="0" w:space="0" w:color="auto"/>
            <w:bottom w:val="none" w:sz="0" w:space="0" w:color="auto"/>
            <w:right w:val="none" w:sz="0" w:space="0" w:color="auto"/>
          </w:divBdr>
        </w:div>
      </w:divsChild>
    </w:div>
    <w:div w:id="690254374">
      <w:bodyDiv w:val="1"/>
      <w:marLeft w:val="0"/>
      <w:marRight w:val="0"/>
      <w:marTop w:val="0"/>
      <w:marBottom w:val="0"/>
      <w:divBdr>
        <w:top w:val="none" w:sz="0" w:space="0" w:color="auto"/>
        <w:left w:val="none" w:sz="0" w:space="0" w:color="auto"/>
        <w:bottom w:val="none" w:sz="0" w:space="0" w:color="auto"/>
        <w:right w:val="none" w:sz="0" w:space="0" w:color="auto"/>
      </w:divBdr>
    </w:div>
    <w:div w:id="715736241">
      <w:bodyDiv w:val="1"/>
      <w:marLeft w:val="0"/>
      <w:marRight w:val="0"/>
      <w:marTop w:val="0"/>
      <w:marBottom w:val="0"/>
      <w:divBdr>
        <w:top w:val="none" w:sz="0" w:space="0" w:color="auto"/>
        <w:left w:val="none" w:sz="0" w:space="0" w:color="auto"/>
        <w:bottom w:val="none" w:sz="0" w:space="0" w:color="auto"/>
        <w:right w:val="none" w:sz="0" w:space="0" w:color="auto"/>
      </w:divBdr>
      <w:divsChild>
        <w:div w:id="1381588176">
          <w:marLeft w:val="547"/>
          <w:marRight w:val="0"/>
          <w:marTop w:val="0"/>
          <w:marBottom w:val="0"/>
          <w:divBdr>
            <w:top w:val="none" w:sz="0" w:space="0" w:color="auto"/>
            <w:left w:val="none" w:sz="0" w:space="0" w:color="auto"/>
            <w:bottom w:val="none" w:sz="0" w:space="0" w:color="auto"/>
            <w:right w:val="none" w:sz="0" w:space="0" w:color="auto"/>
          </w:divBdr>
        </w:div>
      </w:divsChild>
    </w:div>
    <w:div w:id="969358220">
      <w:bodyDiv w:val="1"/>
      <w:marLeft w:val="0"/>
      <w:marRight w:val="0"/>
      <w:marTop w:val="0"/>
      <w:marBottom w:val="0"/>
      <w:divBdr>
        <w:top w:val="none" w:sz="0" w:space="0" w:color="auto"/>
        <w:left w:val="none" w:sz="0" w:space="0" w:color="auto"/>
        <w:bottom w:val="none" w:sz="0" w:space="0" w:color="auto"/>
        <w:right w:val="none" w:sz="0" w:space="0" w:color="auto"/>
      </w:divBdr>
    </w:div>
    <w:div w:id="981349749">
      <w:bodyDiv w:val="1"/>
      <w:marLeft w:val="0"/>
      <w:marRight w:val="0"/>
      <w:marTop w:val="0"/>
      <w:marBottom w:val="0"/>
      <w:divBdr>
        <w:top w:val="none" w:sz="0" w:space="0" w:color="auto"/>
        <w:left w:val="none" w:sz="0" w:space="0" w:color="auto"/>
        <w:bottom w:val="none" w:sz="0" w:space="0" w:color="auto"/>
        <w:right w:val="none" w:sz="0" w:space="0" w:color="auto"/>
      </w:divBdr>
      <w:divsChild>
        <w:div w:id="1702245458">
          <w:marLeft w:val="547"/>
          <w:marRight w:val="0"/>
          <w:marTop w:val="0"/>
          <w:marBottom w:val="0"/>
          <w:divBdr>
            <w:top w:val="none" w:sz="0" w:space="0" w:color="auto"/>
            <w:left w:val="none" w:sz="0" w:space="0" w:color="auto"/>
            <w:bottom w:val="none" w:sz="0" w:space="0" w:color="auto"/>
            <w:right w:val="none" w:sz="0" w:space="0" w:color="auto"/>
          </w:divBdr>
        </w:div>
      </w:divsChild>
    </w:div>
    <w:div w:id="1072699243">
      <w:bodyDiv w:val="1"/>
      <w:marLeft w:val="0"/>
      <w:marRight w:val="0"/>
      <w:marTop w:val="0"/>
      <w:marBottom w:val="0"/>
      <w:divBdr>
        <w:top w:val="none" w:sz="0" w:space="0" w:color="auto"/>
        <w:left w:val="none" w:sz="0" w:space="0" w:color="auto"/>
        <w:bottom w:val="none" w:sz="0" w:space="0" w:color="auto"/>
        <w:right w:val="none" w:sz="0" w:space="0" w:color="auto"/>
      </w:divBdr>
    </w:div>
    <w:div w:id="1082026806">
      <w:bodyDiv w:val="1"/>
      <w:marLeft w:val="0"/>
      <w:marRight w:val="0"/>
      <w:marTop w:val="0"/>
      <w:marBottom w:val="0"/>
      <w:divBdr>
        <w:top w:val="none" w:sz="0" w:space="0" w:color="auto"/>
        <w:left w:val="none" w:sz="0" w:space="0" w:color="auto"/>
        <w:bottom w:val="none" w:sz="0" w:space="0" w:color="auto"/>
        <w:right w:val="none" w:sz="0" w:space="0" w:color="auto"/>
      </w:divBdr>
      <w:divsChild>
        <w:div w:id="244606241">
          <w:marLeft w:val="0"/>
          <w:marRight w:val="0"/>
          <w:marTop w:val="0"/>
          <w:marBottom w:val="0"/>
          <w:divBdr>
            <w:top w:val="none" w:sz="0" w:space="0" w:color="auto"/>
            <w:left w:val="none" w:sz="0" w:space="0" w:color="auto"/>
            <w:bottom w:val="none" w:sz="0" w:space="0" w:color="auto"/>
            <w:right w:val="none" w:sz="0" w:space="0" w:color="auto"/>
          </w:divBdr>
          <w:divsChild>
            <w:div w:id="1078790095">
              <w:marLeft w:val="0"/>
              <w:marRight w:val="60"/>
              <w:marTop w:val="0"/>
              <w:marBottom w:val="0"/>
              <w:divBdr>
                <w:top w:val="none" w:sz="0" w:space="0" w:color="auto"/>
                <w:left w:val="none" w:sz="0" w:space="0" w:color="auto"/>
                <w:bottom w:val="none" w:sz="0" w:space="0" w:color="auto"/>
                <w:right w:val="none" w:sz="0" w:space="0" w:color="auto"/>
              </w:divBdr>
              <w:divsChild>
                <w:div w:id="1266696912">
                  <w:marLeft w:val="0"/>
                  <w:marRight w:val="0"/>
                  <w:marTop w:val="0"/>
                  <w:marBottom w:val="120"/>
                  <w:divBdr>
                    <w:top w:val="single" w:sz="6" w:space="0" w:color="C0C0C0"/>
                    <w:left w:val="single" w:sz="6" w:space="0" w:color="D9D9D9"/>
                    <w:bottom w:val="single" w:sz="6" w:space="0" w:color="D9D9D9"/>
                    <w:right w:val="single" w:sz="6" w:space="0" w:color="D9D9D9"/>
                  </w:divBdr>
                  <w:divsChild>
                    <w:div w:id="36899922">
                      <w:marLeft w:val="0"/>
                      <w:marRight w:val="0"/>
                      <w:marTop w:val="0"/>
                      <w:marBottom w:val="0"/>
                      <w:divBdr>
                        <w:top w:val="none" w:sz="0" w:space="0" w:color="auto"/>
                        <w:left w:val="none" w:sz="0" w:space="0" w:color="auto"/>
                        <w:bottom w:val="none" w:sz="0" w:space="0" w:color="auto"/>
                        <w:right w:val="none" w:sz="0" w:space="0" w:color="auto"/>
                      </w:divBdr>
                    </w:div>
                    <w:div w:id="6322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51494">
          <w:marLeft w:val="0"/>
          <w:marRight w:val="0"/>
          <w:marTop w:val="0"/>
          <w:marBottom w:val="0"/>
          <w:divBdr>
            <w:top w:val="none" w:sz="0" w:space="0" w:color="auto"/>
            <w:left w:val="none" w:sz="0" w:space="0" w:color="auto"/>
            <w:bottom w:val="none" w:sz="0" w:space="0" w:color="auto"/>
            <w:right w:val="none" w:sz="0" w:space="0" w:color="auto"/>
          </w:divBdr>
          <w:divsChild>
            <w:div w:id="106195513">
              <w:marLeft w:val="60"/>
              <w:marRight w:val="0"/>
              <w:marTop w:val="0"/>
              <w:marBottom w:val="0"/>
              <w:divBdr>
                <w:top w:val="none" w:sz="0" w:space="0" w:color="auto"/>
                <w:left w:val="none" w:sz="0" w:space="0" w:color="auto"/>
                <w:bottom w:val="none" w:sz="0" w:space="0" w:color="auto"/>
                <w:right w:val="none" w:sz="0" w:space="0" w:color="auto"/>
              </w:divBdr>
              <w:divsChild>
                <w:div w:id="688795004">
                  <w:marLeft w:val="0"/>
                  <w:marRight w:val="0"/>
                  <w:marTop w:val="0"/>
                  <w:marBottom w:val="0"/>
                  <w:divBdr>
                    <w:top w:val="none" w:sz="0" w:space="0" w:color="auto"/>
                    <w:left w:val="none" w:sz="0" w:space="0" w:color="auto"/>
                    <w:bottom w:val="none" w:sz="0" w:space="0" w:color="auto"/>
                    <w:right w:val="none" w:sz="0" w:space="0" w:color="auto"/>
                  </w:divBdr>
                  <w:divsChild>
                    <w:div w:id="8221211">
                      <w:marLeft w:val="0"/>
                      <w:marRight w:val="0"/>
                      <w:marTop w:val="0"/>
                      <w:marBottom w:val="120"/>
                      <w:divBdr>
                        <w:top w:val="single" w:sz="6" w:space="0" w:color="F5F5F5"/>
                        <w:left w:val="single" w:sz="6" w:space="0" w:color="F5F5F5"/>
                        <w:bottom w:val="single" w:sz="6" w:space="0" w:color="F5F5F5"/>
                        <w:right w:val="single" w:sz="6" w:space="0" w:color="F5F5F5"/>
                      </w:divBdr>
                      <w:divsChild>
                        <w:div w:id="51122657">
                          <w:marLeft w:val="0"/>
                          <w:marRight w:val="0"/>
                          <w:marTop w:val="0"/>
                          <w:marBottom w:val="0"/>
                          <w:divBdr>
                            <w:top w:val="none" w:sz="0" w:space="0" w:color="auto"/>
                            <w:left w:val="none" w:sz="0" w:space="0" w:color="auto"/>
                            <w:bottom w:val="none" w:sz="0" w:space="0" w:color="auto"/>
                            <w:right w:val="none" w:sz="0" w:space="0" w:color="auto"/>
                          </w:divBdr>
                          <w:divsChild>
                            <w:div w:id="10468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9570">
      <w:bodyDiv w:val="1"/>
      <w:marLeft w:val="0"/>
      <w:marRight w:val="0"/>
      <w:marTop w:val="0"/>
      <w:marBottom w:val="0"/>
      <w:divBdr>
        <w:top w:val="none" w:sz="0" w:space="0" w:color="auto"/>
        <w:left w:val="none" w:sz="0" w:space="0" w:color="auto"/>
        <w:bottom w:val="none" w:sz="0" w:space="0" w:color="auto"/>
        <w:right w:val="none" w:sz="0" w:space="0" w:color="auto"/>
      </w:divBdr>
    </w:div>
    <w:div w:id="1280990034">
      <w:bodyDiv w:val="1"/>
      <w:marLeft w:val="0"/>
      <w:marRight w:val="0"/>
      <w:marTop w:val="0"/>
      <w:marBottom w:val="0"/>
      <w:divBdr>
        <w:top w:val="none" w:sz="0" w:space="0" w:color="auto"/>
        <w:left w:val="none" w:sz="0" w:space="0" w:color="auto"/>
        <w:bottom w:val="none" w:sz="0" w:space="0" w:color="auto"/>
        <w:right w:val="none" w:sz="0" w:space="0" w:color="auto"/>
      </w:divBdr>
    </w:div>
    <w:div w:id="1549486020">
      <w:bodyDiv w:val="1"/>
      <w:marLeft w:val="0"/>
      <w:marRight w:val="0"/>
      <w:marTop w:val="0"/>
      <w:marBottom w:val="0"/>
      <w:divBdr>
        <w:top w:val="none" w:sz="0" w:space="0" w:color="auto"/>
        <w:left w:val="none" w:sz="0" w:space="0" w:color="auto"/>
        <w:bottom w:val="none" w:sz="0" w:space="0" w:color="auto"/>
        <w:right w:val="none" w:sz="0" w:space="0" w:color="auto"/>
      </w:divBdr>
    </w:div>
    <w:div w:id="1661035425">
      <w:bodyDiv w:val="1"/>
      <w:marLeft w:val="0"/>
      <w:marRight w:val="0"/>
      <w:marTop w:val="0"/>
      <w:marBottom w:val="0"/>
      <w:divBdr>
        <w:top w:val="none" w:sz="0" w:space="0" w:color="auto"/>
        <w:left w:val="none" w:sz="0" w:space="0" w:color="auto"/>
        <w:bottom w:val="none" w:sz="0" w:space="0" w:color="auto"/>
        <w:right w:val="none" w:sz="0" w:space="0" w:color="auto"/>
      </w:divBdr>
      <w:divsChild>
        <w:div w:id="1288851097">
          <w:marLeft w:val="547"/>
          <w:marRight w:val="0"/>
          <w:marTop w:val="0"/>
          <w:marBottom w:val="0"/>
          <w:divBdr>
            <w:top w:val="none" w:sz="0" w:space="0" w:color="auto"/>
            <w:left w:val="none" w:sz="0" w:space="0" w:color="auto"/>
            <w:bottom w:val="none" w:sz="0" w:space="0" w:color="auto"/>
            <w:right w:val="none" w:sz="0" w:space="0" w:color="auto"/>
          </w:divBdr>
        </w:div>
      </w:divsChild>
    </w:div>
    <w:div w:id="1902668079">
      <w:bodyDiv w:val="1"/>
      <w:marLeft w:val="0"/>
      <w:marRight w:val="0"/>
      <w:marTop w:val="0"/>
      <w:marBottom w:val="0"/>
      <w:divBdr>
        <w:top w:val="none" w:sz="0" w:space="0" w:color="auto"/>
        <w:left w:val="none" w:sz="0" w:space="0" w:color="auto"/>
        <w:bottom w:val="none" w:sz="0" w:space="0" w:color="auto"/>
        <w:right w:val="none" w:sz="0" w:space="0" w:color="auto"/>
      </w:divBdr>
      <w:divsChild>
        <w:div w:id="1895238917">
          <w:marLeft w:val="547"/>
          <w:marRight w:val="0"/>
          <w:marTop w:val="0"/>
          <w:marBottom w:val="0"/>
          <w:divBdr>
            <w:top w:val="none" w:sz="0" w:space="0" w:color="auto"/>
            <w:left w:val="none" w:sz="0" w:space="0" w:color="auto"/>
            <w:bottom w:val="none" w:sz="0" w:space="0" w:color="auto"/>
            <w:right w:val="none" w:sz="0" w:space="0" w:color="auto"/>
          </w:divBdr>
        </w:div>
      </w:divsChild>
    </w:div>
    <w:div w:id="1987588350">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2">
          <w:marLeft w:val="547"/>
          <w:marRight w:val="0"/>
          <w:marTop w:val="0"/>
          <w:marBottom w:val="0"/>
          <w:divBdr>
            <w:top w:val="none" w:sz="0" w:space="0" w:color="auto"/>
            <w:left w:val="none" w:sz="0" w:space="0" w:color="auto"/>
            <w:bottom w:val="none" w:sz="0" w:space="0" w:color="auto"/>
            <w:right w:val="none" w:sz="0" w:space="0" w:color="auto"/>
          </w:divBdr>
        </w:div>
      </w:divsChild>
    </w:div>
    <w:div w:id="200640103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20">
          <w:marLeft w:val="0"/>
          <w:marRight w:val="0"/>
          <w:marTop w:val="0"/>
          <w:marBottom w:val="0"/>
          <w:divBdr>
            <w:top w:val="none" w:sz="0" w:space="0" w:color="auto"/>
            <w:left w:val="none" w:sz="0" w:space="0" w:color="auto"/>
            <w:bottom w:val="none" w:sz="0" w:space="0" w:color="auto"/>
            <w:right w:val="none" w:sz="0" w:space="0" w:color="auto"/>
          </w:divBdr>
        </w:div>
        <w:div w:id="175617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1.7277641619300701E-4"/>
          <c:y val="0.15317822560315555"/>
          <c:w val="0.65804905181554296"/>
          <c:h val="0.81715082224891378"/>
        </c:manualLayout>
      </c:layout>
      <c:pie3DChart>
        <c:varyColors val="1"/>
        <c:ser>
          <c:idx val="0"/>
          <c:order val="0"/>
          <c:dPt>
            <c:idx val="0"/>
            <c:bubble3D val="0"/>
          </c:dPt>
          <c:dPt>
            <c:idx val="1"/>
            <c:bubble3D val="0"/>
          </c:dPt>
          <c:dPt>
            <c:idx val="2"/>
            <c:bubble3D val="0"/>
          </c:dPt>
          <c:dLbls>
            <c:dLbl>
              <c:idx val="0"/>
              <c:layout>
                <c:manualLayout>
                  <c:x val="3.1434183309867726E-2"/>
                  <c:y val="6.5770422764950986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3.7384019050598807E-2"/>
                  <c:y val="7.3126028737933182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4.963463176374476E-2"/>
                  <c:y val="-5.4613935969868174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'Q16 - Como é mensurado'!$E$15:$E$17</c:f>
              <c:strCache>
                <c:ptCount val="3"/>
                <c:pt idx="0">
                  <c:v>Fair value - Fluxo de Caixa Descontado (23)</c:v>
                </c:pt>
                <c:pt idx="1">
                  <c:v>Fair value - mercado ativo (6)</c:v>
                </c:pt>
                <c:pt idx="2">
                  <c:v>Custo histórico (3)</c:v>
                </c:pt>
              </c:strCache>
            </c:strRef>
          </c:cat>
          <c:val>
            <c:numRef>
              <c:f>'Q16 - Como é mensurado'!$F$15:$F$17</c:f>
              <c:numCache>
                <c:formatCode>ge\r\a\l</c:formatCode>
                <c:ptCount val="3"/>
                <c:pt idx="0">
                  <c:v>23</c:v>
                </c:pt>
                <c:pt idx="1">
                  <c:v>6</c:v>
                </c:pt>
                <c:pt idx="2">
                  <c:v>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5472719055813391"/>
          <c:y val="0.23154292154158695"/>
          <c:w val="0.42521336323025849"/>
          <c:h val="0.43359825321295897"/>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6FDEC7-84EA-48AE-8BD8-E34D6231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19</Pages>
  <Words>31409</Words>
  <Characters>169610</Characters>
  <Application>Microsoft Office Word</Application>
  <DocSecurity>0</DocSecurity>
  <Lines>1413</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Revisor1</cp:lastModifiedBy>
  <cp:revision>73</cp:revision>
  <cp:lastPrinted>2018-01-10T11:07:00Z</cp:lastPrinted>
  <dcterms:created xsi:type="dcterms:W3CDTF">2018-12-03T18:23:00Z</dcterms:created>
  <dcterms:modified xsi:type="dcterms:W3CDTF">2018-12-04T13:45:00Z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http://www.zotero.org/styles/apa-old-doi-prefix</vt:lpwstr>
  </property>
  <property fmtid="{D5CDD505-2E9C-101B-9397-08002B2CF9AE}" pid="9" name="Mendeley Recent Style Name 3_1">
    <vt:lpwstr>American Psychological Association 6th edition ("doi:" DOI prefix)</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http://www.zotero.org/styles/associacao-brasileira-de-normas-tecnicas</vt:lpwstr>
  </property>
  <property fmtid="{D5CDD505-2E9C-101B-9397-08002B2CF9AE}" pid="13" name="Mendeley Recent Style Name 5_1">
    <vt:lpwstr>Associação Brasileira de Normas Técnicas (Portuguese - Brazil)</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16th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Harvard - Cite Them Right 9th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http://www.zotero.org/styles/associacao-brasileira-de-normas-tecnicas-ufrgs-initials</vt:lpwstr>
  </property>
  <property fmtid="{D5CDD505-2E9C-101B-9397-08002B2CF9AE}" pid="21" name="Mendeley Recent Style Name 9_1">
    <vt:lpwstr>Universidade Federal do Rio Grande do Sul - SBUFRGS - ABNT (autoria abreviada) (Portuguese - Brazil)</vt:lpwstr>
  </property>
  <property fmtid="{D5CDD505-2E9C-101B-9397-08002B2CF9AE}" pid="22" name="Mendeley Document_1">
    <vt:lpwstr>True</vt:lpwstr>
  </property>
  <property fmtid="{D5CDD505-2E9C-101B-9397-08002B2CF9AE}" pid="23" name="Mendeley Unique User Id_1">
    <vt:lpwstr>8a9fb8e2-510d-397a-ae88-94b45bb29b19</vt:lpwstr>
  </property>
  <property fmtid="{D5CDD505-2E9C-101B-9397-08002B2CF9AE}" pid="24" name="Mendeley Citation Style_1">
    <vt:lpwstr>http://www.zotero.org/styles/associacao-brasileira-de-normas-tecnicas</vt:lpwstr>
  </property>
</Properties>
</file>