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48" w:rsidRPr="000E5487" w:rsidRDefault="002953FA" w:rsidP="00B747D7">
      <w:pPr>
        <w:spacing w:after="0" w:line="240" w:lineRule="auto"/>
        <w:jc w:val="center"/>
        <w:rPr>
          <w:rFonts w:ascii="Times New Roman" w:eastAsia="Calibri" w:hAnsi="Times New Roman"/>
          <w:b/>
          <w:color w:val="000000"/>
          <w:szCs w:val="24"/>
          <w:lang w:eastAsia="en-US"/>
        </w:rPr>
      </w:pPr>
      <w:r>
        <w:rPr>
          <w:rFonts w:ascii="Times New Roman" w:eastAsia="Calibri" w:hAnsi="Times New Roman"/>
          <w:b/>
          <w:color w:val="000000"/>
          <w:szCs w:val="24"/>
          <w:lang w:eastAsia="en-US"/>
        </w:rPr>
        <w:t xml:space="preserve">As </w:t>
      </w:r>
      <w:r w:rsidRPr="00BE4FE6">
        <w:rPr>
          <w:rFonts w:ascii="Times New Roman" w:eastAsia="Calibri" w:hAnsi="Times New Roman"/>
          <w:b/>
          <w:color w:val="000000"/>
          <w:szCs w:val="24"/>
          <w:lang w:eastAsia="en-US"/>
        </w:rPr>
        <w:t xml:space="preserve">Escolhas Contábeis </w:t>
      </w:r>
      <w:r>
        <w:rPr>
          <w:rFonts w:ascii="Times New Roman" w:eastAsia="Calibri" w:hAnsi="Times New Roman"/>
          <w:b/>
          <w:color w:val="000000"/>
          <w:szCs w:val="24"/>
          <w:lang w:eastAsia="en-US"/>
        </w:rPr>
        <w:t>na Mensuração d</w:t>
      </w:r>
      <w:r w:rsidRPr="00BE4FE6">
        <w:rPr>
          <w:rFonts w:ascii="Times New Roman" w:eastAsia="Calibri" w:hAnsi="Times New Roman"/>
          <w:b/>
          <w:color w:val="000000"/>
          <w:szCs w:val="24"/>
          <w:lang w:eastAsia="en-US"/>
        </w:rPr>
        <w:t>e Ativos Biológicos</w:t>
      </w:r>
      <w:r>
        <w:rPr>
          <w:rFonts w:ascii="Times New Roman" w:eastAsia="Calibri" w:hAnsi="Times New Roman"/>
          <w:b/>
          <w:color w:val="000000"/>
          <w:szCs w:val="24"/>
          <w:lang w:eastAsia="en-US"/>
        </w:rPr>
        <w:t xml:space="preserve"> estão Associadas ao</w:t>
      </w:r>
      <w:r w:rsidRPr="002953FA">
        <w:rPr>
          <w:rFonts w:ascii="Times New Roman" w:eastAsia="Calibri" w:hAnsi="Times New Roman"/>
          <w:b/>
          <w:color w:val="000000"/>
          <w:szCs w:val="24"/>
          <w:lang w:eastAsia="en-US"/>
        </w:rPr>
        <w:t xml:space="preserve"> Perfil </w:t>
      </w:r>
      <w:r>
        <w:rPr>
          <w:rFonts w:ascii="Times New Roman" w:eastAsia="Calibri" w:hAnsi="Times New Roman"/>
          <w:b/>
          <w:color w:val="000000"/>
          <w:szCs w:val="24"/>
          <w:lang w:eastAsia="en-US"/>
        </w:rPr>
        <w:t>do Profissional Contábil</w:t>
      </w:r>
      <w:r w:rsidRPr="00BE4FE6">
        <w:rPr>
          <w:rFonts w:ascii="Times New Roman" w:eastAsia="Calibri" w:hAnsi="Times New Roman"/>
          <w:b/>
          <w:color w:val="000000"/>
          <w:szCs w:val="24"/>
          <w:lang w:eastAsia="en-US"/>
        </w:rPr>
        <w:t>?</w:t>
      </w:r>
    </w:p>
    <w:p w:rsidR="005A197E" w:rsidRPr="000E5487" w:rsidRDefault="005A197E" w:rsidP="00B747D7">
      <w:pPr>
        <w:spacing w:after="0" w:line="240" w:lineRule="auto"/>
        <w:jc w:val="center"/>
        <w:rPr>
          <w:rFonts w:ascii="Times New Roman" w:eastAsia="Calibri" w:hAnsi="Times New Roman"/>
          <w:b/>
          <w:color w:val="000000"/>
          <w:szCs w:val="24"/>
          <w:lang w:eastAsia="en-US"/>
        </w:rPr>
      </w:pPr>
    </w:p>
    <w:p w:rsidR="003A4FF7" w:rsidRPr="000E5487" w:rsidRDefault="002953FA" w:rsidP="00B747D7">
      <w:pPr>
        <w:spacing w:after="0" w:line="240" w:lineRule="auto"/>
        <w:jc w:val="center"/>
        <w:rPr>
          <w:rFonts w:ascii="Times New Roman" w:eastAsia="Calibri" w:hAnsi="Times New Roman"/>
          <w:b/>
          <w:color w:val="000000"/>
          <w:szCs w:val="24"/>
          <w:lang w:val="en-US" w:eastAsia="en-US"/>
        </w:rPr>
      </w:pPr>
      <w:r w:rsidRPr="002953FA">
        <w:rPr>
          <w:rFonts w:ascii="Times New Roman" w:eastAsia="Calibri" w:hAnsi="Times New Roman"/>
          <w:b/>
          <w:color w:val="000000"/>
          <w:szCs w:val="24"/>
          <w:lang w:val="en-US" w:eastAsia="en-US"/>
        </w:rPr>
        <w:t>Are the Accounting Choices in the Measurement of Biological Assets Associated with the Accounting Professional Profile?</w:t>
      </w:r>
    </w:p>
    <w:p w:rsidR="00CE0D81" w:rsidRDefault="00CE0D81" w:rsidP="00B747D7">
      <w:pPr>
        <w:spacing w:after="0" w:line="240" w:lineRule="auto"/>
        <w:rPr>
          <w:rFonts w:ascii="Times New Roman" w:eastAsia="Calibri" w:hAnsi="Times New Roman"/>
          <w:b/>
          <w:color w:val="000000"/>
          <w:szCs w:val="24"/>
          <w:lang w:val="en-US" w:eastAsia="en-US"/>
        </w:rPr>
      </w:pPr>
    </w:p>
    <w:p w:rsidR="00A35883" w:rsidRDefault="00A35883" w:rsidP="00A35883">
      <w:pPr>
        <w:spacing w:after="0" w:line="240" w:lineRule="auto"/>
        <w:jc w:val="center"/>
        <w:rPr>
          <w:rFonts w:ascii="Times New Roman" w:eastAsia="Calibri" w:hAnsi="Times New Roman"/>
          <w:b/>
          <w:color w:val="000000"/>
          <w:szCs w:val="24"/>
          <w:lang w:val="en-US" w:eastAsia="en-US"/>
        </w:rPr>
      </w:pPr>
      <w:r>
        <w:rPr>
          <w:rFonts w:ascii="Times New Roman" w:eastAsia="Calibri" w:hAnsi="Times New Roman"/>
          <w:b/>
          <w:color w:val="000000"/>
          <w:szCs w:val="24"/>
          <w:lang w:val="en-US" w:eastAsia="en-US"/>
        </w:rPr>
        <w:t>Rafael Todescato Cavalheiro</w:t>
      </w:r>
    </w:p>
    <w:p w:rsidR="00A35883" w:rsidRPr="00A35883" w:rsidRDefault="00A35883" w:rsidP="00A35883">
      <w:pPr>
        <w:spacing w:after="0" w:line="240" w:lineRule="auto"/>
        <w:jc w:val="center"/>
        <w:rPr>
          <w:rFonts w:ascii="Times New Roman" w:eastAsia="Calibri" w:hAnsi="Times New Roman"/>
          <w:color w:val="000000"/>
          <w:szCs w:val="24"/>
          <w:lang w:eastAsia="en-US"/>
        </w:rPr>
      </w:pPr>
      <w:r w:rsidRPr="00A35883">
        <w:rPr>
          <w:rFonts w:ascii="Times New Roman" w:eastAsia="Calibri" w:hAnsi="Times New Roman"/>
          <w:color w:val="000000"/>
          <w:szCs w:val="24"/>
          <w:lang w:eastAsia="en-US"/>
        </w:rPr>
        <w:t>Mestre em Agronegócios – UFGD</w:t>
      </w:r>
    </w:p>
    <w:p w:rsidR="00A35883" w:rsidRPr="00A35883" w:rsidRDefault="00A35883" w:rsidP="00A35883">
      <w:pPr>
        <w:spacing w:after="0" w:line="240" w:lineRule="auto"/>
        <w:jc w:val="center"/>
        <w:rPr>
          <w:rFonts w:ascii="Times New Roman" w:eastAsia="Calibri" w:hAnsi="Times New Roman"/>
          <w:color w:val="000000"/>
          <w:szCs w:val="24"/>
          <w:lang w:eastAsia="en-US"/>
        </w:rPr>
      </w:pPr>
      <w:r w:rsidRPr="00A35883">
        <w:rPr>
          <w:rFonts w:ascii="Times New Roman" w:eastAsia="Calibri" w:hAnsi="Times New Roman"/>
          <w:color w:val="000000"/>
          <w:szCs w:val="24"/>
          <w:lang w:eastAsia="en-US"/>
        </w:rPr>
        <w:t>Universidade Federal da Grande Dourados – UFGD</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Faculdade de Administração, Ciências Contábeis e Economia (FACE), Campus Universitário, Caixa Postal – 364 - Dourados - MS</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 xml:space="preserve">CEP 79804-970 </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b/>
          <w:bCs/>
          <w:color w:val="0000FF"/>
          <w:szCs w:val="24"/>
          <w:lang w:eastAsia="en-US"/>
        </w:rPr>
      </w:pPr>
      <w:r w:rsidRPr="00A35883">
        <w:rPr>
          <w:rFonts w:ascii="Times New Roman" w:eastAsiaTheme="minorHAnsi" w:hAnsi="Times New Roman"/>
          <w:color w:val="000000"/>
          <w:szCs w:val="24"/>
          <w:lang w:eastAsia="en-US"/>
        </w:rPr>
        <w:t xml:space="preserve">E-mail: </w:t>
      </w:r>
      <w:r w:rsidRPr="00A35883">
        <w:rPr>
          <w:rFonts w:ascii="Times New Roman" w:eastAsiaTheme="minorHAnsi" w:hAnsi="Times New Roman"/>
          <w:b/>
          <w:bCs/>
          <w:color w:val="0000FF"/>
          <w:szCs w:val="24"/>
          <w:u w:val="single"/>
          <w:lang w:eastAsia="en-US"/>
        </w:rPr>
        <w:t>rafaeltodescato@hotmail.com</w:t>
      </w:r>
    </w:p>
    <w:p w:rsidR="00A35883" w:rsidRDefault="00A35883" w:rsidP="00A35883">
      <w:pPr>
        <w:autoSpaceDE w:val="0"/>
        <w:autoSpaceDN w:val="0"/>
        <w:adjustRightInd w:val="0"/>
        <w:spacing w:after="0" w:line="240" w:lineRule="auto"/>
        <w:jc w:val="center"/>
        <w:rPr>
          <w:rFonts w:ascii="Times New Roman" w:eastAsiaTheme="minorHAnsi" w:hAnsi="Times New Roman"/>
          <w:b/>
          <w:bCs/>
          <w:color w:val="000000"/>
          <w:szCs w:val="24"/>
          <w:lang w:eastAsia="en-US"/>
        </w:rPr>
      </w:pP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b/>
          <w:bCs/>
          <w:color w:val="000000"/>
          <w:szCs w:val="24"/>
          <w:lang w:eastAsia="en-US"/>
        </w:rPr>
      </w:pPr>
      <w:r w:rsidRPr="00A35883">
        <w:rPr>
          <w:rFonts w:ascii="Times New Roman" w:eastAsiaTheme="minorHAnsi" w:hAnsi="Times New Roman"/>
          <w:b/>
          <w:bCs/>
          <w:color w:val="000000"/>
          <w:szCs w:val="24"/>
          <w:lang w:eastAsia="en-US"/>
        </w:rPr>
        <w:t>Régio Marcio Toesca Gimenes</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Pós-Dout</w:t>
      </w:r>
      <w:r>
        <w:rPr>
          <w:rFonts w:ascii="Times New Roman" w:eastAsiaTheme="minorHAnsi" w:hAnsi="Times New Roman"/>
          <w:color w:val="000000"/>
          <w:szCs w:val="24"/>
          <w:lang w:eastAsia="en-US"/>
        </w:rPr>
        <w:t>or em Finanças Corporativas -</w:t>
      </w:r>
      <w:r w:rsidRPr="00A35883">
        <w:rPr>
          <w:rFonts w:ascii="Times New Roman" w:eastAsiaTheme="minorHAnsi" w:hAnsi="Times New Roman"/>
          <w:color w:val="000000"/>
          <w:szCs w:val="24"/>
          <w:lang w:eastAsia="en-US"/>
        </w:rPr>
        <w:t xml:space="preserve"> FEA/USP</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Universidade Federal da Grande Dourados</w:t>
      </w:r>
      <w:r w:rsidR="00C51813">
        <w:rPr>
          <w:rFonts w:ascii="Times New Roman" w:eastAsiaTheme="minorHAnsi" w:hAnsi="Times New Roman"/>
          <w:color w:val="000000"/>
          <w:szCs w:val="24"/>
          <w:lang w:eastAsia="en-US"/>
        </w:rPr>
        <w:t xml:space="preserve"> - UFGD</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Faculdade de Administração, Ciências Contábeis e Economia (FACE), Campus Universitário, Caixa Postal – 364 - Dourados - MS</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 xml:space="preserve">CEP 79804-970 </w:t>
      </w:r>
    </w:p>
    <w:p w:rsidR="00A35883" w:rsidRDefault="00A35883" w:rsidP="00A35883">
      <w:pPr>
        <w:spacing w:after="0" w:line="240" w:lineRule="auto"/>
        <w:jc w:val="center"/>
        <w:rPr>
          <w:rFonts w:ascii="Times New Roman" w:eastAsiaTheme="minorHAnsi" w:hAnsi="Times New Roman"/>
          <w:b/>
          <w:bCs/>
          <w:color w:val="0000FF"/>
          <w:szCs w:val="24"/>
          <w:u w:val="single"/>
          <w:lang w:eastAsia="en-US"/>
        </w:rPr>
      </w:pPr>
      <w:r w:rsidRPr="00A35883">
        <w:rPr>
          <w:rFonts w:ascii="Times New Roman" w:eastAsiaTheme="minorHAnsi" w:hAnsi="Times New Roman"/>
          <w:color w:val="000000"/>
          <w:szCs w:val="24"/>
          <w:lang w:eastAsia="en-US"/>
        </w:rPr>
        <w:t xml:space="preserve">E-mail: </w:t>
      </w:r>
      <w:r w:rsidRPr="00A35883">
        <w:rPr>
          <w:rFonts w:ascii="Times New Roman" w:eastAsiaTheme="minorHAnsi" w:hAnsi="Times New Roman"/>
          <w:b/>
          <w:bCs/>
          <w:color w:val="0000FF"/>
          <w:szCs w:val="24"/>
          <w:u w:val="single"/>
          <w:lang w:eastAsia="en-US"/>
        </w:rPr>
        <w:t>regiomtoesca@gmail.com</w:t>
      </w:r>
    </w:p>
    <w:p w:rsidR="00A35883" w:rsidRDefault="00A35883" w:rsidP="00A35883">
      <w:pPr>
        <w:spacing w:after="0" w:line="240" w:lineRule="auto"/>
        <w:jc w:val="center"/>
        <w:rPr>
          <w:rFonts w:ascii="Times New Roman" w:eastAsiaTheme="minorHAnsi" w:hAnsi="Times New Roman"/>
          <w:b/>
          <w:bCs/>
          <w:color w:val="0000FF"/>
          <w:szCs w:val="24"/>
          <w:u w:val="single"/>
          <w:lang w:eastAsia="en-US"/>
        </w:rPr>
      </w:pP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b/>
          <w:bCs/>
          <w:color w:val="000000"/>
          <w:szCs w:val="24"/>
          <w:lang w:eastAsia="en-US"/>
        </w:rPr>
      </w:pPr>
      <w:r w:rsidRPr="00A35883">
        <w:rPr>
          <w:rFonts w:ascii="Times New Roman" w:eastAsiaTheme="minorHAnsi" w:hAnsi="Times New Roman"/>
          <w:b/>
          <w:bCs/>
          <w:color w:val="000000"/>
          <w:szCs w:val="24"/>
          <w:lang w:eastAsia="en-US"/>
        </w:rPr>
        <w:t>Erlaine Binotto</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 xml:space="preserve">Doutora em Agronegócios </w:t>
      </w:r>
      <w:r>
        <w:rPr>
          <w:rFonts w:ascii="Times New Roman" w:eastAsiaTheme="minorHAnsi" w:hAnsi="Times New Roman"/>
          <w:color w:val="000000"/>
          <w:szCs w:val="24"/>
          <w:lang w:eastAsia="en-US"/>
        </w:rPr>
        <w:t>-</w:t>
      </w:r>
      <w:r w:rsidRPr="00A35883">
        <w:rPr>
          <w:rFonts w:ascii="Times New Roman" w:eastAsiaTheme="minorHAnsi" w:hAnsi="Times New Roman"/>
          <w:color w:val="000000"/>
          <w:szCs w:val="24"/>
          <w:lang w:eastAsia="en-US"/>
        </w:rPr>
        <w:t xml:space="preserve"> UFRGS</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Universidade Federal da Grande Dourados</w:t>
      </w:r>
      <w:r w:rsidR="00C51813">
        <w:rPr>
          <w:rFonts w:ascii="Times New Roman" w:eastAsiaTheme="minorHAnsi" w:hAnsi="Times New Roman"/>
          <w:color w:val="000000"/>
          <w:szCs w:val="24"/>
          <w:lang w:eastAsia="en-US"/>
        </w:rPr>
        <w:t xml:space="preserve"> - UFGD</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Faculdade de Administração, Ciências Contábeis e Economia (FACE), Campus Universitário, Caixa Postal – 364 - Dourados - MS</w:t>
      </w:r>
    </w:p>
    <w:p w:rsidR="00A35883" w:rsidRPr="00A35883" w:rsidRDefault="00A35883" w:rsidP="00A35883">
      <w:pPr>
        <w:autoSpaceDE w:val="0"/>
        <w:autoSpaceDN w:val="0"/>
        <w:adjustRightInd w:val="0"/>
        <w:spacing w:after="0" w:line="240" w:lineRule="auto"/>
        <w:jc w:val="center"/>
        <w:rPr>
          <w:rFonts w:ascii="Times New Roman" w:eastAsiaTheme="minorHAnsi" w:hAnsi="Times New Roman"/>
          <w:color w:val="000000"/>
          <w:szCs w:val="24"/>
          <w:lang w:eastAsia="en-US"/>
        </w:rPr>
      </w:pPr>
      <w:r w:rsidRPr="00A35883">
        <w:rPr>
          <w:rFonts w:ascii="Times New Roman" w:eastAsiaTheme="minorHAnsi" w:hAnsi="Times New Roman"/>
          <w:color w:val="000000"/>
          <w:szCs w:val="24"/>
          <w:lang w:eastAsia="en-US"/>
        </w:rPr>
        <w:t xml:space="preserve">CEP 79804-970 </w:t>
      </w:r>
    </w:p>
    <w:p w:rsidR="00A35883" w:rsidRPr="00A35883" w:rsidRDefault="00A35883" w:rsidP="00A35883">
      <w:pPr>
        <w:spacing w:after="0" w:line="240" w:lineRule="auto"/>
        <w:jc w:val="center"/>
        <w:rPr>
          <w:rFonts w:ascii="Times New Roman" w:eastAsiaTheme="minorHAnsi" w:hAnsi="Times New Roman"/>
          <w:b/>
          <w:bCs/>
          <w:color w:val="0000FF"/>
          <w:szCs w:val="24"/>
          <w:lang w:eastAsia="en-US"/>
        </w:rPr>
      </w:pPr>
      <w:r w:rsidRPr="00A35883">
        <w:rPr>
          <w:rFonts w:ascii="Times New Roman" w:eastAsiaTheme="minorHAnsi" w:hAnsi="Times New Roman"/>
          <w:color w:val="000000"/>
          <w:szCs w:val="24"/>
          <w:lang w:eastAsia="en-US"/>
        </w:rPr>
        <w:t xml:space="preserve">E-mail: </w:t>
      </w:r>
      <w:r w:rsidR="00C51813" w:rsidRPr="00C51813">
        <w:rPr>
          <w:rFonts w:ascii="Times New Roman" w:eastAsiaTheme="minorHAnsi" w:hAnsi="Times New Roman"/>
          <w:b/>
          <w:bCs/>
          <w:color w:val="0000FF"/>
          <w:szCs w:val="24"/>
          <w:u w:val="single"/>
          <w:lang w:eastAsia="en-US"/>
        </w:rPr>
        <w:t>e-binotto@uol.com.br</w:t>
      </w:r>
    </w:p>
    <w:p w:rsidR="00A35883" w:rsidRPr="00A35883" w:rsidRDefault="00A35883" w:rsidP="00A35883">
      <w:pPr>
        <w:spacing w:after="0" w:line="240" w:lineRule="auto"/>
        <w:jc w:val="center"/>
        <w:rPr>
          <w:rFonts w:ascii="Times New Roman" w:eastAsiaTheme="minorHAnsi" w:hAnsi="Times New Roman"/>
          <w:b/>
          <w:bCs/>
          <w:color w:val="0000FF"/>
          <w:szCs w:val="24"/>
          <w:u w:val="single"/>
          <w:lang w:eastAsia="en-US"/>
        </w:rPr>
      </w:pPr>
    </w:p>
    <w:p w:rsidR="00A35883" w:rsidRPr="00A35883" w:rsidRDefault="00A35883" w:rsidP="00A35883">
      <w:pPr>
        <w:spacing w:after="0" w:line="240" w:lineRule="auto"/>
        <w:jc w:val="center"/>
        <w:rPr>
          <w:rFonts w:ascii="Times New Roman" w:eastAsia="Calibri" w:hAnsi="Times New Roman"/>
          <w:b/>
          <w:color w:val="000000"/>
          <w:szCs w:val="24"/>
          <w:lang w:eastAsia="en-US"/>
        </w:rPr>
      </w:pPr>
    </w:p>
    <w:p w:rsidR="00871DFD" w:rsidRPr="000E5487" w:rsidRDefault="00CE0D81" w:rsidP="00B747D7">
      <w:pPr>
        <w:spacing w:after="120" w:line="240" w:lineRule="auto"/>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Resumo</w:t>
      </w:r>
    </w:p>
    <w:p w:rsidR="00871DFD" w:rsidRPr="000E5487" w:rsidRDefault="00B023E4" w:rsidP="00B747D7">
      <w:pPr>
        <w:spacing w:after="0" w:line="240" w:lineRule="auto"/>
        <w:jc w:val="both"/>
        <w:rPr>
          <w:rFonts w:ascii="Times New Roman" w:hAnsi="Times New Roman"/>
          <w:noProof/>
          <w:szCs w:val="24"/>
        </w:rPr>
      </w:pPr>
      <w:r>
        <w:rPr>
          <w:rFonts w:ascii="Times New Roman" w:eastAsia="Calibri" w:hAnsi="Times New Roman"/>
          <w:color w:val="000000"/>
          <w:szCs w:val="24"/>
          <w:lang w:eastAsia="en-US"/>
        </w:rPr>
        <w:t>C</w:t>
      </w:r>
      <w:r w:rsidR="0045504F">
        <w:rPr>
          <w:rFonts w:ascii="Times New Roman" w:eastAsia="Calibri" w:hAnsi="Times New Roman"/>
          <w:color w:val="000000"/>
          <w:szCs w:val="24"/>
          <w:lang w:eastAsia="en-US"/>
        </w:rPr>
        <w:t xml:space="preserve">om a entrada em vigor da IAS 41 no Brasil, a discricionariedade das escolhas contábeis relativas a mensuração de ativos biológicos se apresenta como um </w:t>
      </w:r>
      <w:r w:rsidR="0045504F" w:rsidRPr="0045504F">
        <w:rPr>
          <w:rFonts w:ascii="Times New Roman" w:eastAsia="Calibri" w:hAnsi="Times New Roman"/>
          <w:color w:val="000000"/>
          <w:szCs w:val="24"/>
          <w:lang w:eastAsia="en-US"/>
        </w:rPr>
        <w:t xml:space="preserve">desafio para os profissionais contábeis e para  as </w:t>
      </w:r>
      <w:r w:rsidR="002C5DAB">
        <w:rPr>
          <w:rFonts w:ascii="Times New Roman" w:eastAsia="Calibri" w:hAnsi="Times New Roman"/>
          <w:color w:val="000000"/>
          <w:szCs w:val="24"/>
          <w:lang w:eastAsia="en-US"/>
        </w:rPr>
        <w:t xml:space="preserve">entidades que atuam no setor do  </w:t>
      </w:r>
      <w:r w:rsidR="0045504F" w:rsidRPr="0045504F">
        <w:rPr>
          <w:rFonts w:ascii="Times New Roman" w:eastAsia="Calibri" w:hAnsi="Times New Roman"/>
          <w:color w:val="000000"/>
          <w:szCs w:val="24"/>
          <w:lang w:eastAsia="en-US"/>
        </w:rPr>
        <w:t>agronegócio</w:t>
      </w:r>
      <w:r w:rsidR="002C5DAB">
        <w:rPr>
          <w:rFonts w:ascii="Times New Roman" w:eastAsia="Calibri" w:hAnsi="Times New Roman"/>
          <w:color w:val="000000"/>
          <w:szCs w:val="24"/>
          <w:lang w:eastAsia="en-US"/>
        </w:rPr>
        <w:t xml:space="preserve">, </w:t>
      </w:r>
      <w:r w:rsidR="007C0174">
        <w:rPr>
          <w:rFonts w:ascii="Times New Roman" w:eastAsia="Calibri" w:hAnsi="Times New Roman"/>
          <w:color w:val="000000"/>
          <w:szCs w:val="24"/>
          <w:lang w:eastAsia="en-US"/>
        </w:rPr>
        <w:t xml:space="preserve">sendo este, </w:t>
      </w:r>
      <w:r w:rsidR="002C5DAB">
        <w:rPr>
          <w:rFonts w:ascii="Times New Roman" w:eastAsia="Calibri" w:hAnsi="Times New Roman"/>
          <w:color w:val="000000"/>
          <w:szCs w:val="24"/>
          <w:lang w:eastAsia="en-US"/>
        </w:rPr>
        <w:t>um</w:t>
      </w:r>
      <w:r w:rsidR="0045504F" w:rsidRPr="0045504F">
        <w:rPr>
          <w:rFonts w:ascii="Times New Roman" w:eastAsia="Calibri" w:hAnsi="Times New Roman"/>
          <w:color w:val="000000"/>
          <w:szCs w:val="24"/>
          <w:lang w:eastAsia="en-US"/>
        </w:rPr>
        <w:t xml:space="preserve"> </w:t>
      </w:r>
      <w:r w:rsidR="0045504F">
        <w:rPr>
          <w:rFonts w:ascii="Times New Roman" w:eastAsia="Calibri" w:hAnsi="Times New Roman"/>
          <w:color w:val="000000"/>
          <w:szCs w:val="24"/>
          <w:lang w:eastAsia="en-US"/>
        </w:rPr>
        <w:t xml:space="preserve">enriquecido campo de </w:t>
      </w:r>
      <w:r w:rsidR="007C0174">
        <w:rPr>
          <w:rFonts w:ascii="Times New Roman" w:eastAsia="Calibri" w:hAnsi="Times New Roman"/>
          <w:color w:val="000000"/>
          <w:szCs w:val="24"/>
          <w:lang w:eastAsia="en-US"/>
        </w:rPr>
        <w:t>pesquisa</w:t>
      </w:r>
      <w:r w:rsidR="0045504F">
        <w:rPr>
          <w:rFonts w:ascii="Times New Roman" w:eastAsia="Calibri" w:hAnsi="Times New Roman"/>
          <w:color w:val="000000"/>
          <w:szCs w:val="24"/>
          <w:lang w:eastAsia="en-US"/>
        </w:rPr>
        <w:t xml:space="preserve"> para a Contabilidade. Nesse sentido, e</w:t>
      </w:r>
      <w:r w:rsidR="00871DFD" w:rsidRPr="000E5487">
        <w:rPr>
          <w:rFonts w:ascii="Times New Roman" w:eastAsia="Calibri" w:hAnsi="Times New Roman"/>
          <w:color w:val="000000"/>
          <w:szCs w:val="24"/>
          <w:lang w:eastAsia="en-US"/>
        </w:rPr>
        <w:t>sse estudo tem por objetivo identificar as</w:t>
      </w:r>
      <w:r w:rsidR="005E25A1" w:rsidRPr="000E5487">
        <w:rPr>
          <w:rFonts w:ascii="Times New Roman" w:eastAsia="Calibri" w:hAnsi="Times New Roman"/>
          <w:color w:val="000000"/>
          <w:szCs w:val="24"/>
          <w:lang w:eastAsia="en-US"/>
        </w:rPr>
        <w:t xml:space="preserve"> </w:t>
      </w:r>
      <w:r w:rsidR="00871DFD" w:rsidRPr="000E5487">
        <w:rPr>
          <w:rFonts w:ascii="Times New Roman" w:eastAsia="Calibri" w:hAnsi="Times New Roman"/>
          <w:color w:val="000000"/>
          <w:szCs w:val="24"/>
          <w:lang w:eastAsia="en-US"/>
        </w:rPr>
        <w:t xml:space="preserve">escolhas contábeis no contexto da mensuração de ativos biológicos e verificar se tais escolhas estão associadas ao perfil dos </w:t>
      </w:r>
      <w:r w:rsidR="00203B31" w:rsidRPr="000E5487">
        <w:rPr>
          <w:rFonts w:ascii="Times New Roman" w:eastAsia="Calibri" w:hAnsi="Times New Roman"/>
          <w:color w:val="000000"/>
          <w:szCs w:val="24"/>
          <w:lang w:eastAsia="en-US"/>
        </w:rPr>
        <w:t xml:space="preserve">profissionais que </w:t>
      </w:r>
      <w:r w:rsidR="00455D9D" w:rsidRPr="000E5487">
        <w:rPr>
          <w:rFonts w:ascii="Times New Roman" w:eastAsia="Calibri" w:hAnsi="Times New Roman"/>
          <w:color w:val="000000"/>
          <w:szCs w:val="24"/>
          <w:lang w:eastAsia="en-US"/>
        </w:rPr>
        <w:t>o</w:t>
      </w:r>
      <w:r w:rsidR="00CE595C" w:rsidRPr="000E5487">
        <w:rPr>
          <w:rFonts w:ascii="Times New Roman" w:eastAsia="Calibri" w:hAnsi="Times New Roman"/>
          <w:color w:val="000000"/>
          <w:szCs w:val="24"/>
          <w:lang w:eastAsia="en-US"/>
        </w:rPr>
        <w:t>s</w:t>
      </w:r>
      <w:r w:rsidR="00BE4FE6">
        <w:rPr>
          <w:rFonts w:ascii="Times New Roman" w:eastAsia="Calibri" w:hAnsi="Times New Roman"/>
          <w:color w:val="000000"/>
          <w:szCs w:val="24"/>
          <w:lang w:eastAsia="en-US"/>
        </w:rPr>
        <w:t xml:space="preserve"> mensuram</w:t>
      </w:r>
      <w:r w:rsidR="00871DFD" w:rsidRPr="000E5487">
        <w:rPr>
          <w:rFonts w:ascii="Times New Roman" w:eastAsia="Calibri" w:hAnsi="Times New Roman"/>
          <w:color w:val="000000"/>
          <w:szCs w:val="24"/>
          <w:lang w:eastAsia="en-US"/>
        </w:rPr>
        <w:t xml:space="preserve">. </w:t>
      </w:r>
      <w:r w:rsidR="006765A0" w:rsidRPr="000E5487">
        <w:rPr>
          <w:rFonts w:ascii="Times New Roman" w:eastAsia="Calibri" w:hAnsi="Times New Roman"/>
          <w:color w:val="000000"/>
          <w:szCs w:val="24"/>
          <w:lang w:eastAsia="en-US"/>
        </w:rPr>
        <w:t>O levantamento das escolhas contábeis foi realizado mediante a aplicação de questionário enviado a uma amostra de e</w:t>
      </w:r>
      <w:r w:rsidR="00BE4FE6">
        <w:rPr>
          <w:rFonts w:ascii="Times New Roman" w:eastAsia="Calibri" w:hAnsi="Times New Roman"/>
          <w:color w:val="000000"/>
          <w:szCs w:val="24"/>
          <w:lang w:eastAsia="en-US"/>
        </w:rPr>
        <w:t xml:space="preserve">mpresas </w:t>
      </w:r>
      <w:r w:rsidR="00BE4FE6" w:rsidRPr="00BE4FE6">
        <w:rPr>
          <w:rFonts w:ascii="Times New Roman" w:eastAsia="Calibri" w:hAnsi="Times New Roman"/>
          <w:color w:val="000000"/>
          <w:szCs w:val="24"/>
          <w:lang w:eastAsia="en-US"/>
        </w:rPr>
        <w:t>do setor sucroenergético brasileiro</w:t>
      </w:r>
      <w:r w:rsidR="006765A0" w:rsidRPr="000E5487">
        <w:rPr>
          <w:rFonts w:ascii="Times New Roman" w:eastAsia="Calibri" w:hAnsi="Times New Roman"/>
          <w:color w:val="000000"/>
          <w:szCs w:val="24"/>
          <w:lang w:eastAsia="en-US"/>
        </w:rPr>
        <w:t xml:space="preserve"> e a referida associação foi testada por meio do </w:t>
      </w:r>
      <w:r w:rsidR="006765A0" w:rsidRPr="000E5487">
        <w:rPr>
          <w:rFonts w:ascii="Times New Roman" w:hAnsi="Times New Roman"/>
          <w:color w:val="000000"/>
          <w:szCs w:val="24"/>
        </w:rPr>
        <w:t>t</w:t>
      </w:r>
      <w:r w:rsidR="00F011B2" w:rsidRPr="000E5487">
        <w:rPr>
          <w:rFonts w:ascii="Times New Roman" w:hAnsi="Times New Roman"/>
          <w:color w:val="000000"/>
          <w:szCs w:val="24"/>
        </w:rPr>
        <w:t xml:space="preserve">este exato de </w:t>
      </w:r>
      <w:r w:rsidR="00F011B2" w:rsidRPr="000E5487">
        <w:rPr>
          <w:rFonts w:ascii="Times New Roman" w:hAnsi="Times New Roman"/>
          <w:i/>
          <w:color w:val="000000"/>
          <w:szCs w:val="24"/>
        </w:rPr>
        <w:t>Fisher</w:t>
      </w:r>
      <w:r w:rsidR="00F011B2" w:rsidRPr="000E5487">
        <w:rPr>
          <w:rFonts w:ascii="Times New Roman" w:hAnsi="Times New Roman"/>
          <w:bCs/>
          <w:szCs w:val="24"/>
        </w:rPr>
        <w:t xml:space="preserve"> com </w:t>
      </w:r>
      <w:r w:rsidR="00F011B2" w:rsidRPr="000E5487">
        <w:rPr>
          <w:rFonts w:ascii="Times New Roman" w:hAnsi="Times New Roman"/>
          <w:color w:val="000000"/>
          <w:szCs w:val="24"/>
        </w:rPr>
        <w:t xml:space="preserve">nível de significância fixado em 5%. Obteve-se </w:t>
      </w:r>
      <w:r w:rsidR="00F011B2" w:rsidRPr="000E5487">
        <w:rPr>
          <w:rFonts w:ascii="Times New Roman" w:eastAsia="Calibri" w:hAnsi="Times New Roman"/>
          <w:color w:val="000000"/>
          <w:szCs w:val="24"/>
          <w:lang w:eastAsia="en-US"/>
        </w:rPr>
        <w:t>32 respostas válidas</w:t>
      </w:r>
      <w:r w:rsidR="00203B31" w:rsidRPr="000E5487">
        <w:rPr>
          <w:rFonts w:ascii="Times New Roman" w:eastAsia="Calibri" w:hAnsi="Times New Roman"/>
          <w:color w:val="000000"/>
          <w:szCs w:val="24"/>
          <w:lang w:eastAsia="en-US"/>
        </w:rPr>
        <w:t xml:space="preserve"> que permitem inferir uma associação significativa entre o </w:t>
      </w:r>
      <w:r w:rsidR="009F732A" w:rsidRPr="000E5487">
        <w:rPr>
          <w:rFonts w:ascii="Times New Roman" w:hAnsi="Times New Roman"/>
          <w:noProof/>
          <w:szCs w:val="24"/>
        </w:rPr>
        <w:t xml:space="preserve">tempo de experiência do profissional </w:t>
      </w:r>
      <w:r w:rsidR="00BA029B" w:rsidRPr="000E5487">
        <w:rPr>
          <w:rFonts w:ascii="Times New Roman" w:hAnsi="Times New Roman"/>
          <w:noProof/>
          <w:szCs w:val="24"/>
        </w:rPr>
        <w:t xml:space="preserve">na mensuração de ativos biológicos </w:t>
      </w:r>
      <w:r w:rsidR="00203B31" w:rsidRPr="000E5487">
        <w:rPr>
          <w:rFonts w:ascii="Times New Roman" w:hAnsi="Times New Roman"/>
          <w:noProof/>
          <w:szCs w:val="24"/>
        </w:rPr>
        <w:t xml:space="preserve">e as </w:t>
      </w:r>
      <w:r w:rsidR="00B907FC" w:rsidRPr="000E5487">
        <w:rPr>
          <w:rFonts w:ascii="Times New Roman" w:hAnsi="Times New Roman"/>
          <w:noProof/>
          <w:szCs w:val="24"/>
        </w:rPr>
        <w:t>escolhas contábeis relativas a avaliação d</w:t>
      </w:r>
      <w:r w:rsidR="00BA029B" w:rsidRPr="000E5487">
        <w:rPr>
          <w:rFonts w:ascii="Times New Roman" w:hAnsi="Times New Roman"/>
          <w:noProof/>
          <w:szCs w:val="24"/>
        </w:rPr>
        <w:t>esse</w:t>
      </w:r>
      <w:r w:rsidR="00667FB1" w:rsidRPr="000E5487">
        <w:rPr>
          <w:rFonts w:ascii="Times New Roman" w:hAnsi="Times New Roman"/>
          <w:noProof/>
          <w:szCs w:val="24"/>
        </w:rPr>
        <w:t>s</w:t>
      </w:r>
      <w:r w:rsidR="00B907FC" w:rsidRPr="000E5487">
        <w:rPr>
          <w:rFonts w:ascii="Times New Roman" w:hAnsi="Times New Roman"/>
          <w:noProof/>
          <w:szCs w:val="24"/>
        </w:rPr>
        <w:t xml:space="preserve"> ativo</w:t>
      </w:r>
      <w:r w:rsidR="00667FB1" w:rsidRPr="000E5487">
        <w:rPr>
          <w:rFonts w:ascii="Times New Roman" w:hAnsi="Times New Roman"/>
          <w:noProof/>
          <w:szCs w:val="24"/>
        </w:rPr>
        <w:t>s</w:t>
      </w:r>
      <w:r w:rsidR="00B907FC" w:rsidRPr="000E5487">
        <w:rPr>
          <w:rFonts w:ascii="Times New Roman" w:hAnsi="Times New Roman"/>
          <w:noProof/>
          <w:szCs w:val="24"/>
        </w:rPr>
        <w:t xml:space="preserve">, </w:t>
      </w:r>
      <w:r w:rsidR="00203B31" w:rsidRPr="000E5487">
        <w:rPr>
          <w:rFonts w:ascii="Times New Roman" w:hAnsi="Times New Roman"/>
          <w:noProof/>
          <w:szCs w:val="24"/>
        </w:rPr>
        <w:t xml:space="preserve">especificamente quanto a </w:t>
      </w:r>
      <w:r w:rsidR="00043DC7" w:rsidRPr="000E5487">
        <w:rPr>
          <w:rFonts w:ascii="Times New Roman" w:hAnsi="Times New Roman"/>
          <w:noProof/>
          <w:szCs w:val="24"/>
        </w:rPr>
        <w:t xml:space="preserve">definição do </w:t>
      </w:r>
      <w:r w:rsidR="00B907FC" w:rsidRPr="000E5487">
        <w:rPr>
          <w:rFonts w:ascii="Times New Roman" w:hAnsi="Times New Roman"/>
          <w:noProof/>
          <w:szCs w:val="24"/>
        </w:rPr>
        <w:t xml:space="preserve">método de mensuração, </w:t>
      </w:r>
      <w:r w:rsidR="00043DC7" w:rsidRPr="000E5487">
        <w:rPr>
          <w:rFonts w:ascii="Times New Roman" w:hAnsi="Times New Roman"/>
          <w:noProof/>
          <w:szCs w:val="24"/>
        </w:rPr>
        <w:t>d</w:t>
      </w:r>
      <w:r w:rsidR="00B907FC" w:rsidRPr="000E5487">
        <w:rPr>
          <w:rFonts w:ascii="Times New Roman" w:hAnsi="Times New Roman"/>
          <w:noProof/>
          <w:szCs w:val="24"/>
        </w:rPr>
        <w:t>a taxa de desconto</w:t>
      </w:r>
      <w:r w:rsidR="00667FB1" w:rsidRPr="000E5487">
        <w:rPr>
          <w:rFonts w:ascii="Times New Roman" w:hAnsi="Times New Roman"/>
          <w:noProof/>
          <w:szCs w:val="24"/>
        </w:rPr>
        <w:t xml:space="preserve">, </w:t>
      </w:r>
      <w:r w:rsidR="00043DC7" w:rsidRPr="000E5487">
        <w:rPr>
          <w:rFonts w:ascii="Times New Roman" w:hAnsi="Times New Roman"/>
          <w:noProof/>
          <w:szCs w:val="24"/>
        </w:rPr>
        <w:t xml:space="preserve">do horizonte de projeção dos </w:t>
      </w:r>
      <w:r w:rsidR="00C55011" w:rsidRPr="000E5487">
        <w:rPr>
          <w:rFonts w:ascii="Times New Roman" w:hAnsi="Times New Roman"/>
          <w:noProof/>
          <w:szCs w:val="24"/>
        </w:rPr>
        <w:t>fluxo</w:t>
      </w:r>
      <w:r w:rsidR="00043DC7" w:rsidRPr="000E5487">
        <w:rPr>
          <w:rFonts w:ascii="Times New Roman" w:hAnsi="Times New Roman"/>
          <w:noProof/>
          <w:szCs w:val="24"/>
        </w:rPr>
        <w:t>s</w:t>
      </w:r>
      <w:r w:rsidR="00C55011" w:rsidRPr="000E5487">
        <w:rPr>
          <w:rFonts w:ascii="Times New Roman" w:hAnsi="Times New Roman"/>
          <w:noProof/>
          <w:szCs w:val="24"/>
        </w:rPr>
        <w:t xml:space="preserve"> de caixa</w:t>
      </w:r>
      <w:r w:rsidR="00043DC7" w:rsidRPr="000E5487">
        <w:rPr>
          <w:rFonts w:ascii="Times New Roman" w:hAnsi="Times New Roman"/>
          <w:noProof/>
          <w:szCs w:val="24"/>
        </w:rPr>
        <w:t>, d</w:t>
      </w:r>
      <w:r w:rsidR="00B907FC" w:rsidRPr="000E5487">
        <w:rPr>
          <w:rFonts w:ascii="Times New Roman" w:hAnsi="Times New Roman"/>
          <w:noProof/>
          <w:szCs w:val="24"/>
        </w:rPr>
        <w:t>o coeficiente beta</w:t>
      </w:r>
      <w:r w:rsidR="00043DC7" w:rsidRPr="000E5487">
        <w:rPr>
          <w:rFonts w:ascii="Times New Roman" w:hAnsi="Times New Roman"/>
          <w:noProof/>
          <w:szCs w:val="24"/>
        </w:rPr>
        <w:t xml:space="preserve"> e d</w:t>
      </w:r>
      <w:r w:rsidR="00B907FC" w:rsidRPr="000E5487">
        <w:rPr>
          <w:rFonts w:ascii="Times New Roman" w:hAnsi="Times New Roman"/>
          <w:noProof/>
          <w:szCs w:val="24"/>
        </w:rPr>
        <w:t xml:space="preserve">a </w:t>
      </w:r>
      <w:r w:rsidR="00043DC7" w:rsidRPr="000E5487">
        <w:rPr>
          <w:rFonts w:ascii="Times New Roman" w:hAnsi="Times New Roman"/>
          <w:noProof/>
          <w:szCs w:val="24"/>
        </w:rPr>
        <w:t>consideração ou não do risco</w:t>
      </w:r>
      <w:r w:rsidR="00667FB1" w:rsidRPr="000E5487">
        <w:rPr>
          <w:rFonts w:ascii="Times New Roman" w:hAnsi="Times New Roman"/>
          <w:noProof/>
          <w:szCs w:val="24"/>
        </w:rPr>
        <w:t xml:space="preserve"> </w:t>
      </w:r>
      <w:r w:rsidR="00043DC7" w:rsidRPr="000E5487">
        <w:rPr>
          <w:rFonts w:ascii="Times New Roman" w:hAnsi="Times New Roman"/>
          <w:noProof/>
          <w:szCs w:val="24"/>
        </w:rPr>
        <w:t>país na definição do custo do capital próprio das empresas</w:t>
      </w:r>
      <w:r w:rsidR="00923B6F" w:rsidRPr="000E5487">
        <w:rPr>
          <w:rFonts w:ascii="Times New Roman" w:hAnsi="Times New Roman"/>
          <w:noProof/>
          <w:szCs w:val="24"/>
        </w:rPr>
        <w:t xml:space="preserve"> </w:t>
      </w:r>
      <w:r w:rsidR="00667FB1" w:rsidRPr="000E5487">
        <w:rPr>
          <w:rFonts w:ascii="Times New Roman" w:hAnsi="Times New Roman"/>
          <w:noProof/>
          <w:szCs w:val="24"/>
        </w:rPr>
        <w:t>componentes da amostra.</w:t>
      </w:r>
      <w:r w:rsidR="0010368E">
        <w:rPr>
          <w:rFonts w:ascii="Times New Roman" w:hAnsi="Times New Roman"/>
          <w:noProof/>
          <w:szCs w:val="24"/>
        </w:rPr>
        <w:t xml:space="preserve"> </w:t>
      </w:r>
      <w:r w:rsidR="0010368E" w:rsidRPr="0010368E">
        <w:rPr>
          <w:rFonts w:ascii="Times New Roman" w:hAnsi="Times New Roman"/>
          <w:noProof/>
          <w:szCs w:val="24"/>
        </w:rPr>
        <w:t>Essa associação co</w:t>
      </w:r>
      <w:r w:rsidR="0010368E">
        <w:rPr>
          <w:rFonts w:ascii="Times New Roman" w:hAnsi="Times New Roman"/>
          <w:noProof/>
          <w:szCs w:val="24"/>
        </w:rPr>
        <w:t>ntribui para o debate,</w:t>
      </w:r>
      <w:r w:rsidR="0010368E" w:rsidRPr="0010368E">
        <w:rPr>
          <w:rFonts w:ascii="Times New Roman" w:hAnsi="Times New Roman"/>
          <w:noProof/>
          <w:szCs w:val="24"/>
        </w:rPr>
        <w:t xml:space="preserve"> no sentido de que, não só o </w:t>
      </w:r>
      <w:r w:rsidR="0010368E" w:rsidRPr="0010368E">
        <w:rPr>
          <w:rFonts w:ascii="Times New Roman" w:hAnsi="Times New Roman"/>
          <w:i/>
          <w:noProof/>
          <w:szCs w:val="24"/>
        </w:rPr>
        <w:t>background</w:t>
      </w:r>
      <w:r w:rsidR="0010368E" w:rsidRPr="0010368E">
        <w:rPr>
          <w:rFonts w:ascii="Times New Roman" w:hAnsi="Times New Roman"/>
          <w:noProof/>
          <w:szCs w:val="24"/>
        </w:rPr>
        <w:t xml:space="preserve"> cultural individual dos profissionais, mas a experiência e o </w:t>
      </w:r>
      <w:r w:rsidR="0010368E" w:rsidRPr="0010368E">
        <w:rPr>
          <w:rFonts w:ascii="Times New Roman" w:hAnsi="Times New Roman"/>
          <w:i/>
          <w:noProof/>
          <w:szCs w:val="24"/>
        </w:rPr>
        <w:t>know-how</w:t>
      </w:r>
      <w:r w:rsidR="0010368E" w:rsidRPr="0010368E">
        <w:rPr>
          <w:rFonts w:ascii="Times New Roman" w:hAnsi="Times New Roman"/>
          <w:noProof/>
          <w:szCs w:val="24"/>
        </w:rPr>
        <w:t xml:space="preserve"> aliados a governança corporativa, podem explicar as escolhas contábeis.</w:t>
      </w:r>
      <w:r w:rsidR="0045504F">
        <w:rPr>
          <w:rFonts w:ascii="Times New Roman" w:hAnsi="Times New Roman"/>
          <w:noProof/>
          <w:szCs w:val="24"/>
        </w:rPr>
        <w:t xml:space="preserve"> </w:t>
      </w:r>
    </w:p>
    <w:p w:rsidR="00E57284" w:rsidRPr="000E5487" w:rsidRDefault="00E57284" w:rsidP="00B747D7">
      <w:pPr>
        <w:spacing w:after="0" w:line="240" w:lineRule="auto"/>
        <w:ind w:firstLine="709"/>
        <w:jc w:val="both"/>
        <w:rPr>
          <w:rFonts w:ascii="Times New Roman" w:hAnsi="Times New Roman"/>
          <w:noProof/>
          <w:szCs w:val="24"/>
        </w:rPr>
      </w:pPr>
    </w:p>
    <w:p w:rsidR="00D65949" w:rsidRPr="000E5487" w:rsidRDefault="00D65949" w:rsidP="00B747D7">
      <w:pPr>
        <w:spacing w:after="0" w:line="240" w:lineRule="auto"/>
        <w:jc w:val="both"/>
        <w:rPr>
          <w:rFonts w:ascii="Times New Roman" w:hAnsi="Times New Roman"/>
          <w:b/>
          <w:noProof/>
          <w:szCs w:val="24"/>
        </w:rPr>
      </w:pPr>
      <w:r w:rsidRPr="000E5487">
        <w:rPr>
          <w:rFonts w:ascii="Times New Roman" w:hAnsi="Times New Roman"/>
          <w:b/>
          <w:noProof/>
          <w:szCs w:val="24"/>
        </w:rPr>
        <w:lastRenderedPageBreak/>
        <w:t xml:space="preserve">Palavras-chave: </w:t>
      </w:r>
      <w:r w:rsidR="005C3AA4" w:rsidRPr="000E5487">
        <w:rPr>
          <w:rFonts w:ascii="Times New Roman" w:hAnsi="Times New Roman"/>
          <w:noProof/>
          <w:szCs w:val="24"/>
        </w:rPr>
        <w:t>Valor justo; CPC 29; IAS 41; Escolhas Contábeis.</w:t>
      </w:r>
    </w:p>
    <w:p w:rsidR="009F732A" w:rsidRPr="000E5487" w:rsidRDefault="009F732A" w:rsidP="00B747D7">
      <w:pPr>
        <w:spacing w:after="0" w:line="240" w:lineRule="auto"/>
        <w:jc w:val="both"/>
        <w:rPr>
          <w:rFonts w:ascii="Times New Roman" w:hAnsi="Times New Roman"/>
          <w:b/>
          <w:noProof/>
          <w:szCs w:val="24"/>
        </w:rPr>
      </w:pPr>
    </w:p>
    <w:p w:rsidR="009F732A" w:rsidRPr="000E5487" w:rsidRDefault="009F732A" w:rsidP="00B747D7">
      <w:pPr>
        <w:spacing w:after="120" w:line="240" w:lineRule="auto"/>
        <w:rPr>
          <w:rFonts w:ascii="Times New Roman" w:eastAsia="Calibri" w:hAnsi="Times New Roman"/>
          <w:b/>
          <w:color w:val="000000"/>
          <w:szCs w:val="24"/>
          <w:lang w:val="en-US" w:eastAsia="en-US"/>
        </w:rPr>
      </w:pPr>
      <w:r w:rsidRPr="000E5487">
        <w:rPr>
          <w:rFonts w:ascii="Times New Roman" w:eastAsia="Calibri" w:hAnsi="Times New Roman"/>
          <w:b/>
          <w:color w:val="000000"/>
          <w:szCs w:val="24"/>
          <w:lang w:val="en-US" w:eastAsia="en-US"/>
        </w:rPr>
        <w:t>A</w:t>
      </w:r>
      <w:r w:rsidR="00CE0D81" w:rsidRPr="000E5487">
        <w:rPr>
          <w:rFonts w:ascii="Times New Roman" w:eastAsia="Calibri" w:hAnsi="Times New Roman"/>
          <w:b/>
          <w:color w:val="000000"/>
          <w:szCs w:val="24"/>
          <w:lang w:val="en-US" w:eastAsia="en-US"/>
        </w:rPr>
        <w:t>bstract</w:t>
      </w:r>
    </w:p>
    <w:p w:rsidR="00F5418F" w:rsidRPr="000E5487" w:rsidRDefault="00B023E4" w:rsidP="00B747D7">
      <w:pPr>
        <w:spacing w:after="0" w:line="240" w:lineRule="auto"/>
        <w:jc w:val="both"/>
        <w:rPr>
          <w:rFonts w:ascii="Times New Roman" w:eastAsia="Calibri" w:hAnsi="Times New Roman"/>
          <w:color w:val="000000"/>
          <w:szCs w:val="24"/>
          <w:lang w:val="en-US" w:eastAsia="en-US"/>
        </w:rPr>
      </w:pPr>
      <w:r w:rsidRPr="00B023E4">
        <w:rPr>
          <w:rFonts w:ascii="Times New Roman" w:eastAsia="Calibri" w:hAnsi="Times New Roman"/>
          <w:color w:val="000000"/>
          <w:szCs w:val="24"/>
          <w:lang w:val="en-US" w:eastAsia="en-US"/>
        </w:rPr>
        <w:t>With the entry into force of IAS 41 in Brazil, the discretionary choice of accounting for the measurement of biological assets presents itself as a challenge for accounting professionals and for entities that operate in the agribusiness sector, which is an enriched field of research for Accounting. In this sense, this study aims to identify the accounting choices in the context of the measurement of biological assets and to verify if such choices are associated to the profile of the professionals that measure them. The collection of the accounting choices was made through the application of a questionnaire sent to a sample of companies in the Brazilian sugar and ethanol industry. The association was tested using the Fisher's exact test with a significance level set at 5%. We obtained 32 valid answers that allow us to infer a significant association between the professional's experience in the measurement of biological assets and the accounting choices related to the valuation of these assets, specifically regarding the definition of the method of measurement, discount rate, horizon cash flow projections, beta coefficients and whether or not country risk is taken into account in defining the cost of equity of the sampled companies. This association contributes to the debate, in the sense that not only the individual's professional background, but the experience and know-how allied to corporate governance, can explain accounting choices.</w:t>
      </w:r>
    </w:p>
    <w:p w:rsidR="00D82046" w:rsidRPr="000E5487" w:rsidRDefault="00D82046" w:rsidP="00B747D7">
      <w:pPr>
        <w:spacing w:after="0" w:line="240" w:lineRule="auto"/>
        <w:ind w:firstLine="709"/>
        <w:jc w:val="both"/>
        <w:rPr>
          <w:rFonts w:ascii="Times New Roman" w:eastAsia="Calibri" w:hAnsi="Times New Roman"/>
          <w:color w:val="000000"/>
          <w:szCs w:val="24"/>
          <w:lang w:val="en-US" w:eastAsia="en-US"/>
        </w:rPr>
      </w:pPr>
    </w:p>
    <w:p w:rsidR="00D82046" w:rsidRPr="000E5487" w:rsidRDefault="00D82046" w:rsidP="00B747D7">
      <w:pPr>
        <w:spacing w:after="0" w:line="240" w:lineRule="auto"/>
        <w:jc w:val="both"/>
        <w:rPr>
          <w:rFonts w:ascii="Times New Roman" w:eastAsia="Calibri" w:hAnsi="Times New Roman"/>
          <w:color w:val="000000"/>
          <w:szCs w:val="24"/>
          <w:lang w:val="en-US" w:eastAsia="en-US"/>
        </w:rPr>
      </w:pPr>
      <w:r w:rsidRPr="000E5487">
        <w:rPr>
          <w:rFonts w:ascii="Times New Roman" w:eastAsia="Calibri" w:hAnsi="Times New Roman"/>
          <w:b/>
          <w:color w:val="000000"/>
          <w:szCs w:val="24"/>
          <w:lang w:val="en-US" w:eastAsia="en-US"/>
        </w:rPr>
        <w:t>Keywords:</w:t>
      </w:r>
      <w:r w:rsidRPr="000E5487">
        <w:rPr>
          <w:rFonts w:ascii="Times New Roman" w:eastAsia="Calibri" w:hAnsi="Times New Roman"/>
          <w:color w:val="000000"/>
          <w:szCs w:val="24"/>
          <w:lang w:val="en-US" w:eastAsia="en-US"/>
        </w:rPr>
        <w:t xml:space="preserve"> Fair value; CPC 29; IAS 41; </w:t>
      </w:r>
      <w:bookmarkStart w:id="0" w:name="_GoBack"/>
      <w:bookmarkEnd w:id="0"/>
      <w:r w:rsidRPr="000E5487">
        <w:rPr>
          <w:rFonts w:ascii="Times New Roman" w:eastAsia="Calibri" w:hAnsi="Times New Roman"/>
          <w:color w:val="000000"/>
          <w:szCs w:val="24"/>
          <w:lang w:val="en-US" w:eastAsia="en-US"/>
        </w:rPr>
        <w:t>Accounting Choices.</w:t>
      </w:r>
    </w:p>
    <w:p w:rsidR="00CE0D81" w:rsidRPr="00162BFD" w:rsidRDefault="00CE0D81" w:rsidP="00B747D7">
      <w:pPr>
        <w:spacing w:after="0" w:line="240" w:lineRule="auto"/>
        <w:jc w:val="both"/>
        <w:rPr>
          <w:rFonts w:ascii="Times New Roman" w:eastAsia="Calibri" w:hAnsi="Times New Roman"/>
          <w:b/>
          <w:color w:val="000000"/>
          <w:szCs w:val="24"/>
          <w:lang w:val="en-US" w:eastAsia="en-US"/>
        </w:rPr>
      </w:pPr>
    </w:p>
    <w:p w:rsidR="00792148" w:rsidRPr="000E5487" w:rsidRDefault="00300484" w:rsidP="00B747D7">
      <w:pPr>
        <w:spacing w:after="120" w:line="240" w:lineRule="auto"/>
        <w:jc w:val="both"/>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 xml:space="preserve">1 </w:t>
      </w:r>
      <w:r w:rsidR="0094437F" w:rsidRPr="000E5487">
        <w:rPr>
          <w:rFonts w:ascii="Times New Roman" w:eastAsia="Calibri" w:hAnsi="Times New Roman"/>
          <w:b/>
          <w:color w:val="000000"/>
          <w:szCs w:val="24"/>
          <w:lang w:eastAsia="en-US"/>
        </w:rPr>
        <w:t>I</w:t>
      </w:r>
      <w:r w:rsidR="00CE0D81" w:rsidRPr="000E5487">
        <w:rPr>
          <w:rFonts w:ascii="Times New Roman" w:eastAsia="Calibri" w:hAnsi="Times New Roman"/>
          <w:b/>
          <w:color w:val="000000"/>
          <w:szCs w:val="24"/>
          <w:lang w:eastAsia="en-US"/>
        </w:rPr>
        <w:t>ntrodução</w:t>
      </w:r>
    </w:p>
    <w:p w:rsidR="000B2F55" w:rsidRPr="000E5487" w:rsidRDefault="002E5400"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No contexto da adoção das</w:t>
      </w:r>
      <w:r w:rsidR="00E57284" w:rsidRPr="000E5487">
        <w:rPr>
          <w:rFonts w:ascii="Times New Roman" w:eastAsia="Calibri" w:hAnsi="Times New Roman"/>
          <w:color w:val="000000"/>
          <w:szCs w:val="24"/>
          <w:lang w:eastAsia="en-US"/>
        </w:rPr>
        <w:t xml:space="preserve"> </w:t>
      </w:r>
      <w:r w:rsidR="00E57284" w:rsidRPr="000E5487">
        <w:rPr>
          <w:rFonts w:ascii="Times New Roman" w:eastAsia="Calibri" w:hAnsi="Times New Roman"/>
          <w:i/>
          <w:color w:val="000000"/>
          <w:szCs w:val="24"/>
          <w:lang w:eastAsia="en-US"/>
        </w:rPr>
        <w:t>International Financial Reporting Standards</w:t>
      </w:r>
      <w:r w:rsidRPr="000E5487">
        <w:rPr>
          <w:rFonts w:ascii="Times New Roman" w:eastAsia="Calibri" w:hAnsi="Times New Roman"/>
          <w:color w:val="000000"/>
          <w:szCs w:val="24"/>
          <w:lang w:eastAsia="en-US"/>
        </w:rPr>
        <w:t xml:space="preserve"> </w:t>
      </w:r>
      <w:r w:rsidR="00782CC3"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IFRS</w:t>
      </w:r>
      <w:r w:rsidR="00782CC3"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no Brasil, a mensuração a </w:t>
      </w:r>
      <w:r w:rsidRPr="000E5487">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xml:space="preserve"> de ativos biológicos passou a ser exigida a partir de 2010, com a entrada em vigor da IAS </w:t>
      </w:r>
      <w:r w:rsidR="00CC084B" w:rsidRPr="000E5487">
        <w:rPr>
          <w:rFonts w:ascii="Times New Roman" w:eastAsia="Calibri" w:hAnsi="Times New Roman"/>
          <w:color w:val="000000"/>
          <w:szCs w:val="24"/>
          <w:lang w:eastAsia="en-US"/>
        </w:rPr>
        <w:t xml:space="preserve">nº </w:t>
      </w:r>
      <w:r w:rsidRPr="000E5487">
        <w:rPr>
          <w:rFonts w:ascii="Times New Roman" w:eastAsia="Calibri" w:hAnsi="Times New Roman"/>
          <w:color w:val="000000"/>
          <w:szCs w:val="24"/>
          <w:lang w:eastAsia="en-US"/>
        </w:rPr>
        <w:t>41</w:t>
      </w:r>
      <w:r w:rsidR="00CC084B" w:rsidRPr="000E5487">
        <w:rPr>
          <w:rFonts w:ascii="Times New Roman" w:eastAsia="Calibri" w:hAnsi="Times New Roman"/>
          <w:color w:val="000000"/>
          <w:szCs w:val="24"/>
          <w:lang w:eastAsia="en-US"/>
        </w:rPr>
        <w:t xml:space="preserve"> –</w:t>
      </w:r>
      <w:r w:rsidR="00CC084B" w:rsidRPr="000E5487">
        <w:rPr>
          <w:rFonts w:ascii="Times New Roman" w:eastAsia="Calibri" w:hAnsi="Times New Roman"/>
          <w:i/>
          <w:color w:val="000000"/>
          <w:szCs w:val="24"/>
          <w:lang w:eastAsia="en-US"/>
        </w:rPr>
        <w:t xml:space="preserve"> Agriculture</w:t>
      </w:r>
      <w:r w:rsidR="00CC084B" w:rsidRPr="000E5487">
        <w:rPr>
          <w:rFonts w:ascii="Times New Roman" w:eastAsia="Calibri" w:hAnsi="Times New Roman"/>
          <w:color w:val="000000"/>
          <w:szCs w:val="24"/>
          <w:lang w:eastAsia="en-US"/>
        </w:rPr>
        <w:t xml:space="preserve"> </w:t>
      </w:r>
      <w:r w:rsidR="000C391D" w:rsidRPr="000E5487">
        <w:rPr>
          <w:rFonts w:ascii="Times New Roman" w:eastAsia="Calibri" w:hAnsi="Times New Roman"/>
          <w:color w:val="000000"/>
          <w:szCs w:val="24"/>
          <w:lang w:eastAsia="en-US"/>
        </w:rPr>
        <w:t>por meio</w:t>
      </w:r>
      <w:r w:rsidRPr="000E5487">
        <w:rPr>
          <w:rFonts w:ascii="Times New Roman" w:eastAsia="Calibri" w:hAnsi="Times New Roman"/>
          <w:color w:val="000000"/>
          <w:szCs w:val="24"/>
          <w:lang w:eastAsia="en-US"/>
        </w:rPr>
        <w:t xml:space="preserve"> do CPC 29. </w:t>
      </w:r>
      <w:r w:rsidR="009076BB" w:rsidRPr="000E5487">
        <w:rPr>
          <w:rFonts w:ascii="Times New Roman" w:eastAsia="Calibri" w:hAnsi="Times New Roman"/>
          <w:color w:val="000000"/>
          <w:szCs w:val="24"/>
          <w:lang w:eastAsia="en-US"/>
        </w:rPr>
        <w:t>A avaliaç</w:t>
      </w:r>
      <w:r w:rsidR="00AF6FEB" w:rsidRPr="000E5487">
        <w:rPr>
          <w:rFonts w:ascii="Times New Roman" w:eastAsia="Calibri" w:hAnsi="Times New Roman"/>
          <w:color w:val="000000"/>
          <w:szCs w:val="24"/>
          <w:lang w:eastAsia="en-US"/>
        </w:rPr>
        <w:t>ão de animais ou plantas vivos a</w:t>
      </w:r>
      <w:r w:rsidR="009076BB" w:rsidRPr="000E5487">
        <w:rPr>
          <w:rFonts w:ascii="Times New Roman" w:eastAsia="Calibri" w:hAnsi="Times New Roman"/>
          <w:color w:val="000000"/>
          <w:szCs w:val="24"/>
          <w:lang w:eastAsia="en-US"/>
        </w:rPr>
        <w:t xml:space="preserve"> </w:t>
      </w:r>
      <w:r w:rsidR="009076BB" w:rsidRPr="000E5487">
        <w:rPr>
          <w:rFonts w:ascii="Times New Roman" w:eastAsia="Calibri" w:hAnsi="Times New Roman"/>
          <w:i/>
          <w:color w:val="000000"/>
          <w:szCs w:val="24"/>
          <w:lang w:eastAsia="en-US"/>
        </w:rPr>
        <w:t>fair value</w:t>
      </w:r>
      <w:r w:rsidR="009076BB" w:rsidRPr="000E5487">
        <w:rPr>
          <w:rFonts w:ascii="Times New Roman" w:eastAsia="Calibri" w:hAnsi="Times New Roman"/>
          <w:color w:val="000000"/>
          <w:szCs w:val="24"/>
          <w:lang w:eastAsia="en-US"/>
        </w:rPr>
        <w:t xml:space="preserve"> </w:t>
      </w:r>
      <w:r w:rsidR="00EF1BE6" w:rsidRPr="000E5487">
        <w:rPr>
          <w:rFonts w:ascii="Times New Roman" w:eastAsia="Calibri" w:hAnsi="Times New Roman"/>
          <w:color w:val="000000"/>
          <w:szCs w:val="24"/>
          <w:lang w:eastAsia="en-US"/>
        </w:rPr>
        <w:t xml:space="preserve">é relevante e </w:t>
      </w:r>
      <w:r w:rsidR="00A03F48" w:rsidRPr="000E5487">
        <w:rPr>
          <w:rFonts w:ascii="Times New Roman" w:eastAsia="Calibri" w:hAnsi="Times New Roman"/>
          <w:color w:val="000000"/>
          <w:szCs w:val="24"/>
          <w:lang w:eastAsia="en-US"/>
        </w:rPr>
        <w:t>melhor reflete a realidade econômico-financeira das entidades que atuam no agronegócio</w:t>
      </w:r>
      <w:r w:rsidR="00782CC3" w:rsidRPr="000E5487">
        <w:rPr>
          <w:rFonts w:ascii="Times New Roman" w:eastAsia="Calibri" w:hAnsi="Times New Roman"/>
          <w:color w:val="000000"/>
          <w:szCs w:val="24"/>
          <w:lang w:eastAsia="en-US"/>
        </w:rPr>
        <w:t>,</w:t>
      </w:r>
      <w:r w:rsidR="009076BB" w:rsidRPr="000E5487">
        <w:rPr>
          <w:rFonts w:ascii="Times New Roman" w:eastAsia="Calibri" w:hAnsi="Times New Roman"/>
          <w:i/>
          <w:color w:val="000000"/>
          <w:szCs w:val="24"/>
          <w:lang w:eastAsia="en-US"/>
        </w:rPr>
        <w:t xml:space="preserve"> </w:t>
      </w:r>
      <w:r w:rsidR="00A03F48" w:rsidRPr="000E5487">
        <w:rPr>
          <w:rFonts w:ascii="Times New Roman" w:eastAsia="Calibri" w:hAnsi="Times New Roman"/>
          <w:color w:val="000000"/>
          <w:szCs w:val="24"/>
          <w:lang w:eastAsia="en-US"/>
        </w:rPr>
        <w:t>por aproximar o valor de seus ativos a</w:t>
      </w:r>
      <w:r w:rsidR="00EF1BE6" w:rsidRPr="000E5487">
        <w:rPr>
          <w:rFonts w:ascii="Times New Roman" w:eastAsia="Calibri" w:hAnsi="Times New Roman"/>
          <w:color w:val="000000"/>
          <w:szCs w:val="24"/>
          <w:lang w:eastAsia="en-US"/>
        </w:rPr>
        <w:t>o</w:t>
      </w:r>
      <w:r w:rsidR="00A03F48" w:rsidRPr="000E5487">
        <w:rPr>
          <w:rFonts w:ascii="Times New Roman" w:eastAsia="Calibri" w:hAnsi="Times New Roman"/>
          <w:color w:val="000000"/>
          <w:szCs w:val="24"/>
          <w:lang w:eastAsia="en-US"/>
        </w:rPr>
        <w:t xml:space="preserve"> valor de mercado </w:t>
      </w:r>
      <w:r w:rsidR="00A03F48" w:rsidRPr="000E5487">
        <w:rPr>
          <w:rFonts w:ascii="Times New Roman" w:eastAsia="Calibri" w:hAnsi="Times New Roman"/>
          <w:color w:val="000000"/>
          <w:szCs w:val="24"/>
          <w:lang w:eastAsia="en-US"/>
        </w:rPr>
        <w:fldChar w:fldCharType="begin" w:fldLock="1"/>
      </w:r>
      <w:r w:rsidR="00DE4E1B">
        <w:rPr>
          <w:rFonts w:ascii="Times New Roman" w:eastAsia="Calibri" w:hAnsi="Times New Roman"/>
          <w:color w:val="000000"/>
          <w:szCs w:val="24"/>
          <w:lang w:eastAsia="en-US"/>
        </w:rPr>
        <w:instrText>ADDIN CSL_CITATION {"citationItems":[{"id":"ITEM-1","itemData":{"DOI":"10.1080/02102412.2017.1389549","ISSN":"0210-2412","abstract":"This study develops an empirical analysis of the relevance of accounting information when biological assets are measured at fair value. We use an international sample of firms with biological assets. We find that biological assets influence unpredictability when they are measured at historical cost (HC). In this case, the ability of accounting data to predict future cash flows diminishes as the proportion of biological assets on total assets increases. The valuation at fair value (FV) switches this negative influence of biological assets to a positive one. We find that when they are measured at FV, the prediction accuracy of future cash flows improves as the ratio of biological assets to total assets increases. This evidence is robust to different measures of prediction accuracy, as well as to the improvement of accounting standards, regardless of FV, over time. The evidence is weaker for bearer plants. © 2017 Asociación Española de Contabilidad y Administración de Empresas (AECA)","author":[{"dropping-particle":"","family":"Argilés-Bosch","given":"Josep Maria","non-dropping-particle":"","parse-names":false,"suffix":""},{"dropping-particle":"","family":"Miarons","given":"Meritxell","non-dropping-particle":"","parse-names":false,"suffix":""},{"dropping-particle":"","family":"Garcia-Blandon","given":"Josep","non-dropping-particle":"","parse-names":false,"suffix":""},{"dropping-particle":"","family":"Benavente","given":"Carmen","non-dropping-particle":"","parse-names":false,"suffix":""},{"dropping-particle":"","family":"Ravenda","given":"Diego","non-dropping-particle":"","parse-names":false,"suffix":""}],"container-title":"Spanish Journal of Finance and Accounting","id":"ITEM-1","issued":{"date-parts":[["2017","11","2"]]},"page":"1-24","publisher":"Routledge","title":"Usefulness of fair valuation of biological assets for cash flow prediction","type":"article-journal"},"uris":["http://www.mendeley.com/documents/?uuid=f67ffb28-8d57-44e5-bbc9-ede8c1515ba4"]},{"id":"ITEM-2","itemData":{"DOI":"10.4270/ruc.2013433","ISSN":"18093337","abstract":"Em 2009, o Comitê de Pronunciamentos Contábeis (CPC) aprovou o Pronunciamento Técnico CPC 29 – Ativos Biológicos e Produtos Agrícolas. O CPC 29 expõem o tratamento contábil dos ativos biológicos e produtos agrícolas, trazendo como principal novidade a utilização do fair value na mensuração contábil de tais ativos, em detrimento do custo histórico. Nesse contexto insere-se este artigo, que tem por objetivo avaliar a relevância da adoção do fair value para mensuração dos ativos biológicos, bem como analisar seus reflexos sobre o patrimônio líquido (PL). Para tanto, analisa-se a questão do value relevance dos ativos biológicos mensurados ao custo histórico e ao fair value, bem como o impacto da mudança de base de mensuração sobre o PL, para os exercícios de 2008 e 2009, das empresas listadas na BM&amp;FBovespa, que exploram tais ativos. As evidências empíricas encontradas apontam que a adoção do valor justo causou mudanças significativas no saldo dos ativos biológicos, que por sua vez impactou, significativamente, o PL das companhias. As evidências sugerem ainda que os ativos biológicos, quando avaliados pelo custo histórico, eram apresentados com valores subestimados pela contabilidade. Portanto, a avaliação pelo valor justo foi benéfica, uma vez que se apresentou mais próxima da estimação do mercado. Uma justificativa plausível para esse achado é o fato de que com o passar do tempo, o custo histórico é suscetível de não refletir a capacidade de benefício econômico do bem, uma vez que se limita aos valores de face na data da aquisição ou produção.","author":[{"dropping-particle":"","family":"Silva Filho","given":"Augusto Cezar da Cunha","non-dropping-particle":"","parse-names":false,"suffix":""},{"dropping-particle":"","family":"Martins","given":"Vinícius Gomes","non-dropping-particle":"","parse-names":false,"suffix":""},{"dropping-particle":"","family":"Machado","given":"Márcio André Veras","non-dropping-particle":"","parse-names":false,"suffix":""}],"container-title":"Revista Universo Contábil","id":"ITEM-2","issue":"4","issued":{"date-parts":[["2013","12","30"]]},"page":"110-127","title":"Adoção do valor justo para os ativos biológicos: análise de sua relevância em empresas brasileiras","type":"article-journal","volume":"9"},"uris":["http://www.mendeley.com/documents/?uuid=8e29a6bb-2879-3c12-99c0-304756e6bc46"]},{"id":"ITEM-3","itemData":{"DOI":"10.1016/j.intaccaudtax.2017.10.001","ISSN":"10619518","author":[{"dropping-particle":"","family":"Gonçalves","given":"Rute","non-dropping-particle":"","parse-names":false,"suffix":""},{"dropping-particle":"","family":"Lopes","given":"Patrícia","non-dropping-particle":"","parse-names":false,"suffix":""},{"dropping-particle":"","family":"Craig","given":"Russell","non-dropping-particle":"","parse-names":false,"suffix":""}],"container-title":"Journal of International Accounting, Auditing and Taxation","id":"ITEM-3","issue":"October","issued":{"date-parts":[["2017"]]},"page":"118-126","title":"Value relevance of biological assets under IFRS","type":"article-journal","volume":"29"},"uris":["http://www.mendeley.com/documents/?uuid=98c05584-9f49-42cb-876c-cab38579ca99"]}],"mendeley":{"formattedCitation":"(ARGILÉS-BOSCH et al., 2017; GONÇALVES; LOPES; CRAIG, 2017; SILVA FILHO; MARTINS; MACHADO, 2013)","plainTextFormattedCitation":"(ARGILÉS-BOSCH et al., 2017; GONÇALVES; LOPES; CRAIG, 2017; SILVA FILHO; MARTINS; MACHADO, 2013)","previouslyFormattedCitation":"(ARGILÉS-BOSCH et al., 2017; GONÇALVES; LOPES; CRAIG, 2017; SILVA FILHO; MARTINS; MACHADO, 2013)"},"properties":{"noteIndex":0},"schema":"https://github.com/citation-style-language/schema/raw/master/csl-citation.json"}</w:instrText>
      </w:r>
      <w:r w:rsidR="00A03F48" w:rsidRPr="000E5487">
        <w:rPr>
          <w:rFonts w:ascii="Times New Roman" w:eastAsia="Calibri" w:hAnsi="Times New Roman"/>
          <w:color w:val="000000"/>
          <w:szCs w:val="24"/>
          <w:lang w:eastAsia="en-US"/>
        </w:rPr>
        <w:fldChar w:fldCharType="separate"/>
      </w:r>
      <w:r w:rsidR="00DE4E1B" w:rsidRPr="00DE4E1B">
        <w:rPr>
          <w:rFonts w:ascii="Times New Roman" w:eastAsia="Calibri" w:hAnsi="Times New Roman"/>
          <w:noProof/>
          <w:color w:val="000000"/>
          <w:szCs w:val="24"/>
          <w:lang w:eastAsia="en-US"/>
        </w:rPr>
        <w:t>(ARGILÉS-BOSCH et al., 2017; GONÇALVES; LOPES; CRAIG, 2017; SILVA FILHO; MARTINS; MACHADO, 2013)</w:t>
      </w:r>
      <w:r w:rsidR="00A03F48" w:rsidRPr="000E5487">
        <w:rPr>
          <w:rFonts w:ascii="Times New Roman" w:eastAsia="Calibri" w:hAnsi="Times New Roman"/>
          <w:color w:val="000000"/>
          <w:szCs w:val="24"/>
          <w:lang w:eastAsia="en-US"/>
        </w:rPr>
        <w:fldChar w:fldCharType="end"/>
      </w:r>
      <w:r w:rsidR="000B2F55" w:rsidRPr="000E5487">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 xml:space="preserve">Contudo, dada à falta de um mercado ativo que subsidie a utilização de dados observáveis, conforme estabelecido pela hierarquia do </w:t>
      </w:r>
      <w:r w:rsidRPr="000E5487">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as entidade</w:t>
      </w:r>
      <w:r w:rsidR="009372B6" w:rsidRPr="000E5487">
        <w:rPr>
          <w:rFonts w:ascii="Times New Roman" w:eastAsia="Calibri" w:hAnsi="Times New Roman"/>
          <w:color w:val="000000"/>
          <w:szCs w:val="24"/>
          <w:lang w:eastAsia="en-US"/>
        </w:rPr>
        <w:t>s</w:t>
      </w:r>
      <w:r w:rsidRPr="000E5487">
        <w:rPr>
          <w:rFonts w:ascii="Times New Roman" w:eastAsia="Calibri" w:hAnsi="Times New Roman"/>
          <w:color w:val="000000"/>
          <w:szCs w:val="24"/>
          <w:lang w:eastAsia="en-US"/>
        </w:rPr>
        <w:t xml:space="preserve"> utilizam premissas e informações internas para mensurar seus ativos biológicos.</w:t>
      </w:r>
    </w:p>
    <w:p w:rsidR="002E5400" w:rsidRPr="000E5487" w:rsidRDefault="002E5400"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A utilização de dados não observáveis (nível 3 da hierarquia do </w:t>
      </w:r>
      <w:r w:rsidRPr="000E5487">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xml:space="preserve">) possibilita aos preparadores das demonstrações financeiras fazer escolhas contábeis que permitam </w:t>
      </w:r>
      <w:r w:rsidR="001E2B29" w:rsidRPr="000E5487">
        <w:rPr>
          <w:rFonts w:ascii="Times New Roman" w:eastAsia="Calibri" w:hAnsi="Times New Roman"/>
          <w:color w:val="000000"/>
          <w:szCs w:val="24"/>
          <w:lang w:eastAsia="en-US"/>
        </w:rPr>
        <w:t xml:space="preserve">a </w:t>
      </w:r>
      <w:r w:rsidRPr="000E5487">
        <w:rPr>
          <w:rFonts w:ascii="Times New Roman" w:eastAsia="Calibri" w:hAnsi="Times New Roman"/>
          <w:color w:val="000000"/>
          <w:szCs w:val="24"/>
          <w:lang w:eastAsia="en-US"/>
        </w:rPr>
        <w:t>a</w:t>
      </w:r>
      <w:r w:rsidR="00240833" w:rsidRPr="000E5487">
        <w:rPr>
          <w:rFonts w:ascii="Times New Roman" w:eastAsia="Calibri" w:hAnsi="Times New Roman"/>
          <w:color w:val="000000"/>
          <w:szCs w:val="24"/>
          <w:lang w:eastAsia="en-US"/>
        </w:rPr>
        <w:t>dequada</w:t>
      </w:r>
      <w:r w:rsidRPr="000E5487">
        <w:rPr>
          <w:rFonts w:ascii="Times New Roman" w:eastAsia="Calibri" w:hAnsi="Times New Roman"/>
          <w:color w:val="000000"/>
          <w:szCs w:val="24"/>
          <w:lang w:eastAsia="en-US"/>
        </w:rPr>
        <w:t xml:space="preserve"> evidenciação do valor dos ativos biológicos. Entretanto a norma estabelece que essa discricionariedade </w:t>
      </w:r>
      <w:r w:rsidR="00782CC3" w:rsidRPr="000E5487">
        <w:rPr>
          <w:rFonts w:ascii="Times New Roman" w:eastAsia="Calibri" w:hAnsi="Times New Roman"/>
          <w:color w:val="000000"/>
          <w:szCs w:val="24"/>
          <w:lang w:eastAsia="en-US"/>
        </w:rPr>
        <w:t xml:space="preserve">está </w:t>
      </w:r>
      <w:r w:rsidRPr="000E5487">
        <w:rPr>
          <w:rFonts w:ascii="Times New Roman" w:eastAsia="Calibri" w:hAnsi="Times New Roman"/>
          <w:color w:val="000000"/>
          <w:szCs w:val="24"/>
          <w:lang w:eastAsia="en-US"/>
        </w:rPr>
        <w:t>condicionada a divulgação das premissas e metodologias adotada</w:t>
      </w:r>
      <w:r w:rsidR="000C391D" w:rsidRPr="000E5487">
        <w:rPr>
          <w:rFonts w:ascii="Times New Roman" w:eastAsia="Calibri" w:hAnsi="Times New Roman"/>
          <w:color w:val="000000"/>
          <w:szCs w:val="24"/>
          <w:lang w:eastAsia="en-US"/>
        </w:rPr>
        <w:t>s</w:t>
      </w:r>
      <w:r w:rsidRPr="000E5487">
        <w:rPr>
          <w:rFonts w:ascii="Times New Roman" w:eastAsia="Calibri" w:hAnsi="Times New Roman"/>
          <w:color w:val="000000"/>
          <w:szCs w:val="24"/>
          <w:lang w:eastAsia="en-US"/>
        </w:rPr>
        <w:t xml:space="preserve"> na mensuração.</w:t>
      </w:r>
    </w:p>
    <w:p w:rsidR="0018230C" w:rsidRPr="001154CF" w:rsidRDefault="006C226C"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Com o advento da </w:t>
      </w:r>
      <w:r w:rsidR="00CC69DE" w:rsidRPr="000E5487">
        <w:rPr>
          <w:rFonts w:ascii="Times New Roman" w:eastAsia="Calibri" w:hAnsi="Times New Roman"/>
          <w:color w:val="000000"/>
          <w:szCs w:val="24"/>
          <w:lang w:eastAsia="en-US"/>
        </w:rPr>
        <w:t>c</w:t>
      </w:r>
      <w:r w:rsidRPr="000E5487">
        <w:rPr>
          <w:rFonts w:ascii="Times New Roman" w:eastAsia="Calibri" w:hAnsi="Times New Roman"/>
          <w:color w:val="000000"/>
          <w:szCs w:val="24"/>
          <w:lang w:eastAsia="en-US"/>
        </w:rPr>
        <w:t>ontabilidade baseada em princípios (IFRS)</w:t>
      </w:r>
      <w:r w:rsidR="004F70D6" w:rsidRPr="000E5487">
        <w:rPr>
          <w:rFonts w:ascii="Times New Roman" w:eastAsia="Calibri" w:hAnsi="Times New Roman"/>
          <w:color w:val="000000"/>
          <w:szCs w:val="24"/>
          <w:lang w:eastAsia="en-US"/>
        </w:rPr>
        <w:t>,</w:t>
      </w:r>
      <w:r w:rsidR="00813DF7" w:rsidRPr="000E5487">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a</w:t>
      </w:r>
      <w:r w:rsidR="00E802E9" w:rsidRPr="000E5487">
        <w:rPr>
          <w:rFonts w:ascii="Times New Roman" w:eastAsia="Calibri" w:hAnsi="Times New Roman"/>
          <w:color w:val="000000"/>
          <w:szCs w:val="24"/>
          <w:lang w:eastAsia="en-US"/>
        </w:rPr>
        <w:t xml:space="preserve"> discricionariedade das escolhas contábeis é colocada para os preparadores das demonstrações </w:t>
      </w:r>
      <w:r w:rsidR="006E3F7D" w:rsidRPr="000E5487">
        <w:rPr>
          <w:rFonts w:ascii="Times New Roman" w:eastAsia="Calibri" w:hAnsi="Times New Roman"/>
          <w:color w:val="000000"/>
          <w:szCs w:val="24"/>
          <w:lang w:eastAsia="en-US"/>
        </w:rPr>
        <w:t>financeiras</w:t>
      </w:r>
      <w:r w:rsidR="00E802E9" w:rsidRPr="000E5487">
        <w:rPr>
          <w:rFonts w:ascii="Times New Roman" w:eastAsia="Calibri" w:hAnsi="Times New Roman"/>
          <w:color w:val="000000"/>
          <w:szCs w:val="24"/>
          <w:lang w:eastAsia="en-US"/>
        </w:rPr>
        <w:t xml:space="preserve"> com </w:t>
      </w:r>
      <w:r w:rsidR="00CC084B" w:rsidRPr="000E5487">
        <w:rPr>
          <w:rFonts w:ascii="Times New Roman" w:eastAsia="Calibri" w:hAnsi="Times New Roman"/>
          <w:color w:val="000000"/>
          <w:szCs w:val="24"/>
          <w:lang w:eastAsia="en-US"/>
        </w:rPr>
        <w:t xml:space="preserve">o intuito </w:t>
      </w:r>
      <w:r w:rsidR="00E802E9" w:rsidRPr="000E5487">
        <w:rPr>
          <w:rFonts w:ascii="Times New Roman" w:eastAsia="Calibri" w:hAnsi="Times New Roman"/>
          <w:color w:val="000000"/>
          <w:szCs w:val="24"/>
          <w:lang w:eastAsia="en-US"/>
        </w:rPr>
        <w:t xml:space="preserve">de </w:t>
      </w:r>
      <w:r w:rsidR="004F70D6" w:rsidRPr="000E5487">
        <w:rPr>
          <w:rFonts w:ascii="Times New Roman" w:eastAsia="Calibri" w:hAnsi="Times New Roman"/>
          <w:color w:val="000000"/>
          <w:szCs w:val="24"/>
          <w:lang w:eastAsia="en-US"/>
        </w:rPr>
        <w:t xml:space="preserve">que </w:t>
      </w:r>
      <w:r w:rsidR="00E802E9" w:rsidRPr="000E5487">
        <w:rPr>
          <w:rFonts w:ascii="Times New Roman" w:eastAsia="Calibri" w:hAnsi="Times New Roman"/>
          <w:color w:val="000000"/>
          <w:szCs w:val="24"/>
          <w:lang w:eastAsia="en-US"/>
        </w:rPr>
        <w:t>a situação econômico-financeira da</w:t>
      </w:r>
      <w:r w:rsidRPr="000E5487">
        <w:rPr>
          <w:rFonts w:ascii="Times New Roman" w:eastAsia="Calibri" w:hAnsi="Times New Roman"/>
          <w:color w:val="000000"/>
          <w:szCs w:val="24"/>
          <w:lang w:eastAsia="en-US"/>
        </w:rPr>
        <w:t>s</w:t>
      </w:r>
      <w:r w:rsidR="00E802E9" w:rsidRPr="000E5487">
        <w:rPr>
          <w:rFonts w:ascii="Times New Roman" w:eastAsia="Calibri" w:hAnsi="Times New Roman"/>
          <w:color w:val="000000"/>
          <w:szCs w:val="24"/>
          <w:lang w:eastAsia="en-US"/>
        </w:rPr>
        <w:t xml:space="preserve"> entidade</w:t>
      </w:r>
      <w:r w:rsidRPr="000E5487">
        <w:rPr>
          <w:rFonts w:ascii="Times New Roman" w:eastAsia="Calibri" w:hAnsi="Times New Roman"/>
          <w:color w:val="000000"/>
          <w:szCs w:val="24"/>
          <w:lang w:eastAsia="en-US"/>
        </w:rPr>
        <w:t>s</w:t>
      </w:r>
      <w:r w:rsidR="004F70D6" w:rsidRPr="000E5487">
        <w:rPr>
          <w:rFonts w:ascii="Times New Roman" w:eastAsia="Calibri" w:hAnsi="Times New Roman"/>
          <w:color w:val="000000"/>
          <w:szCs w:val="24"/>
          <w:lang w:eastAsia="en-US"/>
        </w:rPr>
        <w:t xml:space="preserve"> </w:t>
      </w:r>
      <w:r w:rsidR="002E5400" w:rsidRPr="000E5487">
        <w:rPr>
          <w:rFonts w:ascii="Times New Roman" w:eastAsia="Calibri" w:hAnsi="Times New Roman"/>
          <w:color w:val="000000"/>
          <w:szCs w:val="24"/>
          <w:lang w:eastAsia="en-US"/>
        </w:rPr>
        <w:t xml:space="preserve">seja </w:t>
      </w:r>
      <w:r w:rsidR="004F70D6" w:rsidRPr="000E5487">
        <w:rPr>
          <w:rFonts w:ascii="Times New Roman" w:eastAsia="Calibri" w:hAnsi="Times New Roman"/>
          <w:color w:val="000000"/>
          <w:szCs w:val="24"/>
          <w:lang w:eastAsia="en-US"/>
        </w:rPr>
        <w:t>representada fidedignamente</w:t>
      </w:r>
      <w:r w:rsidR="00E802E9" w:rsidRPr="000E5487">
        <w:rPr>
          <w:rFonts w:ascii="Times New Roman" w:eastAsia="Calibri" w:hAnsi="Times New Roman"/>
          <w:color w:val="000000"/>
          <w:szCs w:val="24"/>
          <w:lang w:eastAsia="en-US"/>
        </w:rPr>
        <w:t xml:space="preserve">. </w:t>
      </w:r>
      <w:r w:rsidR="008F6DE9" w:rsidRPr="001154CF">
        <w:rPr>
          <w:rFonts w:ascii="Times New Roman" w:eastAsia="Calibri" w:hAnsi="Times New Roman"/>
          <w:color w:val="000000"/>
          <w:szCs w:val="24"/>
          <w:lang w:eastAsia="en-US"/>
        </w:rPr>
        <w:t xml:space="preserve">Para </w:t>
      </w:r>
      <w:r w:rsidR="001154CF">
        <w:rPr>
          <w:rFonts w:ascii="Times New Roman" w:eastAsia="Calibri" w:hAnsi="Times New Roman"/>
          <w:color w:val="000000"/>
          <w:szCs w:val="24"/>
          <w:lang w:eastAsia="en-US"/>
        </w:rPr>
        <w:fldChar w:fldCharType="begin" w:fldLock="1"/>
      </w:r>
      <w:r w:rsidR="00BB4E2C">
        <w:rPr>
          <w:rFonts w:ascii="Times New Roman" w:eastAsia="Calibri" w:hAnsi="Times New Roman"/>
          <w:color w:val="000000"/>
          <w:szCs w:val="24"/>
          <w:lang w:eastAsia="en-US"/>
        </w:rPr>
        <w:instrText>ADDIN CSL_CITATION {"citationItems":[{"id":"ITEM-1","itemData":{"DOI":"10.1016/S0890-8389(05)80023-X","ISBN":"08908389","ISSN":"10958347","abstract":"This paper summarizes the theory and evidence on accounting choice for capital markets researchers. It also explains why knowledge of that theory and evidence is important to capital markets researchers. Many capital market studies such as those of the relationship between earnings and rates of return assume that accounting choice does not vary with firm variables such as growth, gearing etc. Theory and evidence indicates such variation exists. Hence, accounting choice theory provides competing hypotheses for observed relationships in the capital markets literature such as the relation between earnings response coefficients and gearing. © 1992 Academic Press Limited.","author":[{"dropping-particle":"","family":"Watts","given":"Ross L","non-dropping-particle":"","parse-names":false,"suffix":""}],"container-title":"The British Accounting Review","id":"ITEM-1","issue":"3","issued":{"date-parts":[["1992"]]},"page":"235-267","title":"Accounting choice theory and market-based research in accounting","type":"article-journal","volume":"24"},"uris":["http://www.mendeley.com/documents/?uuid=564a2212-3f2c-4dd3-b5d0-62d9b40adc0c"]}],"mendeley":{"formattedCitation":"(WATTS, 1992)","manualFormatting":"Watts (1992)","plainTextFormattedCitation":"(WATTS, 1992)","previouslyFormattedCitation":"(WATTS, 1992)"},"properties":{"noteIndex":0},"schema":"https://github.com/citation-style-language/schema/raw/master/csl-citation.json"}</w:instrText>
      </w:r>
      <w:r w:rsidR="001154CF">
        <w:rPr>
          <w:rFonts w:ascii="Times New Roman" w:eastAsia="Calibri" w:hAnsi="Times New Roman"/>
          <w:color w:val="000000"/>
          <w:szCs w:val="24"/>
          <w:lang w:eastAsia="en-US"/>
        </w:rPr>
        <w:fldChar w:fldCharType="separate"/>
      </w:r>
      <w:r w:rsidR="001154CF" w:rsidRPr="001154CF">
        <w:rPr>
          <w:rFonts w:ascii="Times New Roman" w:eastAsia="Calibri" w:hAnsi="Times New Roman"/>
          <w:noProof/>
          <w:color w:val="000000"/>
          <w:szCs w:val="24"/>
          <w:lang w:eastAsia="en-US"/>
        </w:rPr>
        <w:t xml:space="preserve">Watts </w:t>
      </w:r>
      <w:r w:rsidR="001154CF">
        <w:rPr>
          <w:rFonts w:ascii="Times New Roman" w:eastAsia="Calibri" w:hAnsi="Times New Roman"/>
          <w:noProof/>
          <w:color w:val="000000"/>
          <w:szCs w:val="24"/>
          <w:lang w:eastAsia="en-US"/>
        </w:rPr>
        <w:t>(</w:t>
      </w:r>
      <w:r w:rsidR="001154CF" w:rsidRPr="001154CF">
        <w:rPr>
          <w:rFonts w:ascii="Times New Roman" w:eastAsia="Calibri" w:hAnsi="Times New Roman"/>
          <w:noProof/>
          <w:color w:val="000000"/>
          <w:szCs w:val="24"/>
          <w:lang w:eastAsia="en-US"/>
        </w:rPr>
        <w:t>1992)</w:t>
      </w:r>
      <w:r w:rsidR="001154CF">
        <w:rPr>
          <w:rFonts w:ascii="Times New Roman" w:eastAsia="Calibri" w:hAnsi="Times New Roman"/>
          <w:color w:val="000000"/>
          <w:szCs w:val="24"/>
          <w:lang w:eastAsia="en-US"/>
        </w:rPr>
        <w:fldChar w:fldCharType="end"/>
      </w:r>
      <w:r w:rsidR="008F6DE9" w:rsidRPr="001154CF">
        <w:rPr>
          <w:rFonts w:ascii="Times New Roman" w:eastAsia="Calibri" w:hAnsi="Times New Roman"/>
          <w:color w:val="000000"/>
          <w:szCs w:val="24"/>
          <w:lang w:eastAsia="en-US"/>
        </w:rPr>
        <w:t xml:space="preserve">, as escolhas contábeis envolvem as </w:t>
      </w:r>
      <w:r w:rsidR="0025123B" w:rsidRPr="001154CF">
        <w:rPr>
          <w:rFonts w:ascii="Times New Roman" w:eastAsia="Calibri" w:hAnsi="Times New Roman"/>
          <w:color w:val="000000"/>
          <w:szCs w:val="24"/>
          <w:lang w:eastAsia="en-US"/>
        </w:rPr>
        <w:t>opções</w:t>
      </w:r>
      <w:r w:rsidR="008F6DE9" w:rsidRPr="001154CF">
        <w:rPr>
          <w:rFonts w:ascii="Times New Roman" w:eastAsia="Calibri" w:hAnsi="Times New Roman"/>
          <w:color w:val="000000"/>
          <w:szCs w:val="24"/>
          <w:lang w:eastAsia="en-US"/>
        </w:rPr>
        <w:t xml:space="preserve"> dos gestores por determinados m</w:t>
      </w:r>
      <w:r w:rsidR="00A124F1" w:rsidRPr="001154CF">
        <w:rPr>
          <w:rFonts w:ascii="Times New Roman" w:eastAsia="Calibri" w:hAnsi="Times New Roman"/>
          <w:color w:val="000000"/>
          <w:szCs w:val="24"/>
          <w:lang w:eastAsia="en-US"/>
        </w:rPr>
        <w:t>étodos em detrimento de outros.</w:t>
      </w:r>
    </w:p>
    <w:p w:rsidR="0018230C" w:rsidRPr="000E5487" w:rsidRDefault="006C226C"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Diversas IFRS possuem mais de uma alternativa</w:t>
      </w:r>
      <w:r w:rsidR="00782CC3"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igualmente válida para a contabilização de um </w:t>
      </w:r>
      <w:r w:rsidR="001B2021" w:rsidRPr="000E5487">
        <w:rPr>
          <w:rFonts w:ascii="Times New Roman" w:eastAsia="Calibri" w:hAnsi="Times New Roman"/>
          <w:color w:val="000000"/>
          <w:szCs w:val="24"/>
          <w:lang w:eastAsia="en-US"/>
        </w:rPr>
        <w:t xml:space="preserve">fato </w:t>
      </w:r>
      <w:r w:rsidRPr="000E5487">
        <w:rPr>
          <w:rFonts w:ascii="Times New Roman" w:eastAsia="Calibri" w:hAnsi="Times New Roman"/>
          <w:color w:val="000000"/>
          <w:szCs w:val="24"/>
          <w:lang w:eastAsia="en-US"/>
        </w:rPr>
        <w:t>econômico, como é o caso da IAS 41</w:t>
      </w:r>
      <w:r w:rsidR="00613220" w:rsidRPr="000E5487">
        <w:rPr>
          <w:rFonts w:ascii="Times New Roman" w:eastAsia="Calibri" w:hAnsi="Times New Roman"/>
          <w:color w:val="000000"/>
          <w:szCs w:val="24"/>
          <w:lang w:eastAsia="en-US"/>
        </w:rPr>
        <w:t>. Nesse sentido,</w:t>
      </w:r>
      <w:r w:rsidR="0018230C" w:rsidRPr="000E5487">
        <w:rPr>
          <w:rFonts w:ascii="Times New Roman" w:eastAsia="Calibri" w:hAnsi="Times New Roman"/>
          <w:color w:val="000000"/>
          <w:szCs w:val="24"/>
          <w:lang w:eastAsia="en-US"/>
        </w:rPr>
        <w:t xml:space="preserve"> ao possibilitar diferentes tratamentos contábeis a um mesmo fato,</w:t>
      </w:r>
      <w:r w:rsidR="00613220" w:rsidRPr="000E5487">
        <w:rPr>
          <w:rFonts w:ascii="Times New Roman" w:eastAsia="Calibri" w:hAnsi="Times New Roman"/>
          <w:color w:val="000000"/>
          <w:szCs w:val="24"/>
          <w:lang w:eastAsia="en-US"/>
        </w:rPr>
        <w:t xml:space="preserve"> </w:t>
      </w:r>
      <w:r w:rsidR="0018230C" w:rsidRPr="000E5487">
        <w:rPr>
          <w:rFonts w:ascii="Times New Roman" w:eastAsia="Calibri" w:hAnsi="Times New Roman"/>
          <w:color w:val="000000"/>
          <w:szCs w:val="24"/>
          <w:lang w:eastAsia="en-US"/>
        </w:rPr>
        <w:t xml:space="preserve">surgem diferentes formas de mensuração, reconhecimento e divulgação </w:t>
      </w:r>
      <w:r w:rsidR="00613220" w:rsidRPr="000E5487">
        <w:rPr>
          <w:rFonts w:ascii="Times New Roman" w:eastAsia="Calibri" w:hAnsi="Times New Roman"/>
          <w:color w:val="000000"/>
          <w:szCs w:val="24"/>
          <w:lang w:eastAsia="en-US"/>
        </w:rPr>
        <w:t>contábil</w:t>
      </w:r>
      <w:r w:rsidR="0018230C" w:rsidRPr="000E5487">
        <w:rPr>
          <w:rFonts w:ascii="Times New Roman" w:eastAsia="Calibri" w:hAnsi="Times New Roman"/>
          <w:color w:val="000000"/>
          <w:szCs w:val="24"/>
          <w:lang w:eastAsia="en-US"/>
        </w:rPr>
        <w:t xml:space="preserve"> </w:t>
      </w:r>
      <w:r w:rsidR="0018230C" w:rsidRPr="000E5487">
        <w:rPr>
          <w:rFonts w:ascii="Times New Roman" w:eastAsia="Calibri" w:hAnsi="Times New Roman"/>
          <w:color w:val="000000"/>
          <w:szCs w:val="24"/>
          <w:lang w:eastAsia="en-US"/>
        </w:rPr>
        <w:fldChar w:fldCharType="begin" w:fldLock="1"/>
      </w:r>
      <w:r w:rsidR="00DE4E1B">
        <w:rPr>
          <w:rFonts w:ascii="Times New Roman" w:eastAsia="Calibri" w:hAnsi="Times New Roman"/>
          <w:color w:val="000000"/>
          <w:szCs w:val="24"/>
          <w:lang w:eastAsia="en-US"/>
        </w:rPr>
        <w:instrText>ADDIN CSL_CITATION {"citationItems":[{"id":"ITEM-1","itemData":{"DOI":"10.1108/13217341211242169","ISBN":"13217348","ISSN":"1321-7348","PMID":"1022714815","abstract":"Influence of a mandatory IFRS adoption on accounting practice: Evidence from Australia, Hong Kong and the United Kingdom","author":[{"dropping-particle":"","family":"Bayerlein","given":"Leopold","non-dropping-particle":"","parse-names":false,"suffix":""},{"dropping-particle":"","family":"Farooque","given":"Omar","non-dropping-particle":"Al","parse-names":false,"suffix":""}],"container-title":"Asian Review of Accounting","id":"ITEM-1","issue":"2","issued":{"date-parts":[["2012"]]},"page":"93-118","title":"Influence of a mandatory IFRS adoption on accounting practice","type":"article-journal","volume":"20"},"uris":["http://www.mendeley.com/documents/?uuid=25a5dbc4-9e11-4ccf-9282-02ed72059dd8"]}],"mendeley":{"formattedCitation":"(BAYERLEIN; AL FAROOQUE, 2012)","plainTextFormattedCitation":"(BAYERLEIN; AL FAROOQUE, 2012)","previouslyFormattedCitation":"(BAYERLEIN; AL FAROOQUE, 2012)"},"properties":{"noteIndex":0},"schema":"https://github.com/citation-style-language/schema/raw/master/csl-citation.json"}</w:instrText>
      </w:r>
      <w:r w:rsidR="0018230C" w:rsidRPr="000E5487">
        <w:rPr>
          <w:rFonts w:ascii="Times New Roman" w:eastAsia="Calibri" w:hAnsi="Times New Roman"/>
          <w:color w:val="000000"/>
          <w:szCs w:val="24"/>
          <w:lang w:eastAsia="en-US"/>
        </w:rPr>
        <w:fldChar w:fldCharType="separate"/>
      </w:r>
      <w:r w:rsidR="00DE4E1B" w:rsidRPr="00DE4E1B">
        <w:rPr>
          <w:rFonts w:ascii="Times New Roman" w:eastAsia="Calibri" w:hAnsi="Times New Roman"/>
          <w:noProof/>
          <w:color w:val="000000"/>
          <w:szCs w:val="24"/>
          <w:lang w:eastAsia="en-US"/>
        </w:rPr>
        <w:t>(BAYERLEIN; AL FAROOQUE, 2012)</w:t>
      </w:r>
      <w:r w:rsidR="0018230C" w:rsidRPr="000E5487">
        <w:rPr>
          <w:rFonts w:ascii="Times New Roman" w:eastAsia="Calibri" w:hAnsi="Times New Roman"/>
          <w:color w:val="000000"/>
          <w:szCs w:val="24"/>
          <w:lang w:eastAsia="en-US"/>
        </w:rPr>
        <w:fldChar w:fldCharType="end"/>
      </w:r>
      <w:r w:rsidR="0018230C" w:rsidRPr="000E5487">
        <w:rPr>
          <w:rFonts w:ascii="Times New Roman" w:eastAsia="Calibri" w:hAnsi="Times New Roman"/>
          <w:color w:val="000000"/>
          <w:szCs w:val="24"/>
          <w:lang w:eastAsia="en-US"/>
        </w:rPr>
        <w:t>.</w:t>
      </w:r>
      <w:r w:rsidR="00A124F1" w:rsidRPr="000E5487">
        <w:rPr>
          <w:rFonts w:ascii="Times New Roman" w:eastAsia="Calibri" w:hAnsi="Times New Roman"/>
          <w:color w:val="000000"/>
          <w:szCs w:val="24"/>
          <w:lang w:eastAsia="en-US"/>
        </w:rPr>
        <w:t xml:space="preserve"> Cabe ressaltar que as escolhas contábeis são amplas e envolvem diversos tomadores de decisão, tais como gestores, auditores, acionistas e órgãos reguladores </w:t>
      </w:r>
      <w:r w:rsidR="001154CF">
        <w:rPr>
          <w:rFonts w:ascii="Times New Roman" w:eastAsia="Calibri" w:hAnsi="Times New Roman"/>
          <w:color w:val="000000"/>
          <w:szCs w:val="24"/>
          <w:lang w:eastAsia="en-US"/>
        </w:rPr>
        <w:fldChar w:fldCharType="begin" w:fldLock="1"/>
      </w:r>
      <w:r w:rsidR="001154CF">
        <w:rPr>
          <w:rFonts w:ascii="Times New Roman" w:eastAsia="Calibri" w:hAnsi="Times New Roman"/>
          <w:color w:val="000000"/>
          <w:szCs w:val="24"/>
          <w:lang w:eastAsia="en-US"/>
        </w:rPr>
        <w:instrText>ADDIN CSL_CITATION {"citationItems":[{"id":"ITEM-1","itemData":{"DOI":"10.1016/S0165-4101(01)00017-9","ISBN":"0165-4101","ISSN":"01654101","PMID":"122","abstract":"This discussion considers four aspects of the survey paper on empirical accounting choice research by Fields, Lys and Vincent: implications of the authors' selection of an expansive definition of accounting choice and their decision to classify this research by managerial motives; implications of the authors' decision to include implementation decisions in their definition of accounting choice; implications of the authors' call for research on the consequences of accounting choice, including the costs of defective accounting choices and the benefits of superior choices; implications of the authors' call for a reconsideration of research designs that explicitly consider groups of accounting choices. ?? 2001 Elsevier Science B.V. All rights reserved.","author":[{"dropping-particle":"","family":"Francis","given":"Jennifer","non-dropping-particle":"","parse-names":false,"suffix":""}],"container-title":"Journal of Accounting and Economics","id":"ITEM-1","issue":"1-3","issued":{"date-parts":[["2001"]]},"page":"309-319","title":"Discussion of empirical research on accounting choice","type":"article-journal","volume":"31"},"uris":["http://www.mendeley.com/documents/?uuid=1ea7e8a3-24c2-448d-8556-fe2f49058d69"]}],"mendeley":{"formattedCitation":"(FRANCIS, 2001)","plainTextFormattedCitation":"(FRANCIS, 2001)","previouslyFormattedCitation":"(FRANCIS, 2001)"},"properties":{"noteIndex":0},"schema":"https://github.com/citation-style-language/schema/raw/master/csl-citation.json"}</w:instrText>
      </w:r>
      <w:r w:rsidR="001154CF">
        <w:rPr>
          <w:rFonts w:ascii="Times New Roman" w:eastAsia="Calibri" w:hAnsi="Times New Roman"/>
          <w:color w:val="000000"/>
          <w:szCs w:val="24"/>
          <w:lang w:eastAsia="en-US"/>
        </w:rPr>
        <w:fldChar w:fldCharType="separate"/>
      </w:r>
      <w:r w:rsidR="001154CF" w:rsidRPr="001154CF">
        <w:rPr>
          <w:rFonts w:ascii="Times New Roman" w:eastAsia="Calibri" w:hAnsi="Times New Roman"/>
          <w:noProof/>
          <w:color w:val="000000"/>
          <w:szCs w:val="24"/>
          <w:lang w:eastAsia="en-US"/>
        </w:rPr>
        <w:t>(FRANCIS, 2001)</w:t>
      </w:r>
      <w:r w:rsidR="001154CF">
        <w:rPr>
          <w:rFonts w:ascii="Times New Roman" w:eastAsia="Calibri" w:hAnsi="Times New Roman"/>
          <w:color w:val="000000"/>
          <w:szCs w:val="24"/>
          <w:lang w:eastAsia="en-US"/>
        </w:rPr>
        <w:fldChar w:fldCharType="end"/>
      </w:r>
      <w:r w:rsidR="00A124F1" w:rsidRPr="000E5487">
        <w:rPr>
          <w:rFonts w:ascii="Times New Roman" w:eastAsia="Calibri" w:hAnsi="Times New Roman"/>
          <w:color w:val="000000"/>
          <w:szCs w:val="24"/>
          <w:lang w:eastAsia="en-US"/>
        </w:rPr>
        <w:t xml:space="preserve"> e representam qualquer decisão que tenha por objetivo influenciar o resultado da contabilidade </w:t>
      </w:r>
      <w:r w:rsidR="001154CF">
        <w:rPr>
          <w:rFonts w:ascii="Times New Roman" w:eastAsia="Calibri" w:hAnsi="Times New Roman"/>
          <w:color w:val="000000"/>
          <w:szCs w:val="24"/>
          <w:lang w:eastAsia="en-US"/>
        </w:rPr>
        <w:fldChar w:fldCharType="begin" w:fldLock="1"/>
      </w:r>
      <w:r w:rsidR="001154CF">
        <w:rPr>
          <w:rFonts w:ascii="Times New Roman" w:eastAsia="Calibri" w:hAnsi="Times New Roman"/>
          <w:color w:val="000000"/>
          <w:szCs w:val="24"/>
          <w:lang w:eastAsia="en-US"/>
        </w:rPr>
        <w:instrText>ADDIN CSL_CITATION {"citationItems":[{"id":"ITEM-1","itemData":{"DOI":"10.1016/S0165-4101(01)00028-3","ISBN":"0165-4101","ISSN":"01654101","abstract":"We review research from the 1990s that examines the determinants and consequences of accounting choice, structuring our analysis around the three types of market imperfections that influence managers' choices: agency costs, information asymmetries, and externalities affecting non-contracting parties. We conclude that research in the 1990s made limited progress in expanding our understanding of accounting choice because of limitations in research design and a focus on replication rather than extension of current knowledge. We discuss opportunities for future research, recommending the exploration of the economic implications of accounting choice by addressing the three different reasons why accounting matters. © 2001 Published by Elsevier Science B.V.","author":[{"dropping-particle":"","family":"Fields","given":"Thomas D.","non-dropping-particle":"","parse-names":false,"suffix":""},{"dropping-particle":"","family":"Lys","given":"Thomas Z.","non-dropping-particle":"","parse-names":false,"suffix":""},{"dropping-particle":"","family":"Vincent","given":"Linda","non-dropping-particle":"","parse-names":false,"suffix":""}],"container-title":"Journal of Accounting and Economics","id":"ITEM-1","issue":"1-3","issued":{"date-parts":[["2001"]]},"page":"255-307","title":"Empirical research on accounting choice","type":"article-journal","volume":"31"},"uris":["http://www.mendeley.com/documents/?uuid=eb8fd4fd-35a5-40b1-ab49-69ffb99fe353"]}],"mendeley":{"formattedCitation":"(FIELDS; LYS; VINCENT, 2001)","plainTextFormattedCitation":"(FIELDS; LYS; VINCENT, 2001)","previouslyFormattedCitation":"(FIELDS; LYS; VINCENT, 2001)"},"properties":{"noteIndex":0},"schema":"https://github.com/citation-style-language/schema/raw/master/csl-citation.json"}</w:instrText>
      </w:r>
      <w:r w:rsidR="001154CF">
        <w:rPr>
          <w:rFonts w:ascii="Times New Roman" w:eastAsia="Calibri" w:hAnsi="Times New Roman"/>
          <w:color w:val="000000"/>
          <w:szCs w:val="24"/>
          <w:lang w:eastAsia="en-US"/>
        </w:rPr>
        <w:fldChar w:fldCharType="separate"/>
      </w:r>
      <w:r w:rsidR="001154CF" w:rsidRPr="001154CF">
        <w:rPr>
          <w:rFonts w:ascii="Times New Roman" w:eastAsia="Calibri" w:hAnsi="Times New Roman"/>
          <w:noProof/>
          <w:color w:val="000000"/>
          <w:szCs w:val="24"/>
          <w:lang w:eastAsia="en-US"/>
        </w:rPr>
        <w:t>(FIELDS; LYS; VINCENT, 2001)</w:t>
      </w:r>
      <w:r w:rsidR="001154CF">
        <w:rPr>
          <w:rFonts w:ascii="Times New Roman" w:eastAsia="Calibri" w:hAnsi="Times New Roman"/>
          <w:color w:val="000000"/>
          <w:szCs w:val="24"/>
          <w:lang w:eastAsia="en-US"/>
        </w:rPr>
        <w:fldChar w:fldCharType="end"/>
      </w:r>
      <w:r w:rsidR="00A124F1" w:rsidRPr="000E5487">
        <w:rPr>
          <w:rFonts w:ascii="Times New Roman" w:eastAsia="Calibri" w:hAnsi="Times New Roman"/>
          <w:color w:val="000000"/>
          <w:szCs w:val="24"/>
          <w:lang w:eastAsia="en-US"/>
        </w:rPr>
        <w:t>.</w:t>
      </w:r>
    </w:p>
    <w:p w:rsidR="00A124F1" w:rsidRPr="000E5487" w:rsidRDefault="00A124F1"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Diante disso, nota-se que pouca importância tem sido dada aos profissionais que aplicam as normas contábeis na prática empresarial. Os estudos geralmente são relacionados ao </w:t>
      </w:r>
      <w:r w:rsidR="00C25D57">
        <w:rPr>
          <w:rFonts w:ascii="Times New Roman" w:eastAsia="Calibri" w:hAnsi="Times New Roman"/>
          <w:color w:val="000000"/>
          <w:szCs w:val="24"/>
          <w:lang w:eastAsia="en-US"/>
        </w:rPr>
        <w:t xml:space="preserve">comportamento oportunista, gerenciamento de resultados e </w:t>
      </w:r>
      <w:r w:rsidRPr="000E5487">
        <w:rPr>
          <w:rFonts w:ascii="Times New Roman" w:eastAsia="Calibri" w:hAnsi="Times New Roman"/>
          <w:color w:val="000000"/>
          <w:szCs w:val="24"/>
          <w:lang w:eastAsia="en-US"/>
        </w:rPr>
        <w:t>conservadorismo, sendo escassos estudos que abordem a influência do perfil desses profissionais nas escolhas contábeis. Essa lacuna é intensificada quando levados em consideração os estudos sobre contabilidade rural e a adoção da IAS 41.</w:t>
      </w:r>
    </w:p>
    <w:p w:rsidR="00A124F1" w:rsidRPr="000E5487" w:rsidRDefault="00A124F1"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Nesse sentido, visando contribuir para o preenchimento dessa lacuna na literatura, esse estudo tem por objetivo identificar as escolhas contábeis no contexto da mensuração de ativos biológicos e verificar se tais escolhas estão associadas ao perfil dos profissionais que os mensuram. Para tanto, foi realizado um levantamento das escolhas contábeis no setor sucroenergético e testada à existência de associação dessas escolhas com as variáveis que caracterizam o perfil destes profissionais, sendo esse um diferencial do presente estudo.</w:t>
      </w:r>
    </w:p>
    <w:p w:rsidR="00A124F1" w:rsidRPr="000E5487" w:rsidRDefault="00C25D57"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Esse estudo justifica-se pela</w:t>
      </w:r>
      <w:r w:rsidR="00A124F1" w:rsidRPr="000E5487">
        <w:rPr>
          <w:rFonts w:ascii="Times New Roman" w:eastAsia="Calibri" w:hAnsi="Times New Roman"/>
          <w:color w:val="000000"/>
          <w:szCs w:val="24"/>
          <w:lang w:eastAsia="en-US"/>
        </w:rPr>
        <w:t xml:space="preserve"> representatividade econômica, ambiental e social do s</w:t>
      </w:r>
      <w:r>
        <w:rPr>
          <w:rFonts w:ascii="Times New Roman" w:eastAsia="Calibri" w:hAnsi="Times New Roman"/>
          <w:color w:val="000000"/>
          <w:szCs w:val="24"/>
          <w:lang w:eastAsia="en-US"/>
        </w:rPr>
        <w:t xml:space="preserve">etor sucroenergético brasileiro </w:t>
      </w:r>
      <w:r w:rsidR="00A124F1" w:rsidRPr="000E5487">
        <w:rPr>
          <w:rFonts w:ascii="Times New Roman" w:eastAsia="Calibri" w:hAnsi="Times New Roman"/>
          <w:color w:val="000000"/>
          <w:szCs w:val="24"/>
          <w:lang w:eastAsia="en-US"/>
        </w:rPr>
        <w:t xml:space="preserve">e pelas implicações da IAS 41 nesse setor. </w:t>
      </w:r>
      <w:r>
        <w:rPr>
          <w:rFonts w:ascii="Times New Roman" w:eastAsia="Calibri" w:hAnsi="Times New Roman"/>
          <w:color w:val="000000"/>
          <w:szCs w:val="24"/>
          <w:lang w:eastAsia="en-US"/>
        </w:rPr>
        <w:t>Dada a</w:t>
      </w:r>
      <w:r w:rsidRPr="00C25D57">
        <w:rPr>
          <w:rFonts w:ascii="Times New Roman" w:eastAsia="Calibri" w:hAnsi="Times New Roman"/>
          <w:color w:val="000000"/>
          <w:szCs w:val="24"/>
          <w:lang w:eastAsia="en-US"/>
        </w:rPr>
        <w:t xml:space="preserve"> escassez de trabalhos dessa natureza, principalmente no campo das escolhas contábeis no Brasil</w:t>
      </w:r>
      <w:r>
        <w:rPr>
          <w:rFonts w:ascii="Times New Roman" w:eastAsia="Calibri" w:hAnsi="Times New Roman"/>
          <w:color w:val="000000"/>
          <w:szCs w:val="24"/>
          <w:lang w:eastAsia="en-US"/>
        </w:rPr>
        <w:t xml:space="preserve">, esse estudo </w:t>
      </w:r>
      <w:r w:rsidR="00A124F1" w:rsidRPr="000E5487">
        <w:rPr>
          <w:rFonts w:ascii="Times New Roman" w:eastAsia="Calibri" w:hAnsi="Times New Roman"/>
          <w:color w:val="000000"/>
          <w:szCs w:val="24"/>
          <w:lang w:eastAsia="en-US"/>
        </w:rPr>
        <w:t>contribui</w:t>
      </w:r>
      <w:r>
        <w:rPr>
          <w:rFonts w:ascii="Times New Roman" w:eastAsia="Calibri" w:hAnsi="Times New Roman"/>
          <w:color w:val="000000"/>
          <w:szCs w:val="24"/>
          <w:lang w:eastAsia="en-US"/>
        </w:rPr>
        <w:t xml:space="preserve"> para a academia ao identificar a associação entre </w:t>
      </w:r>
      <w:r w:rsidR="00A124F1" w:rsidRPr="000E5487">
        <w:rPr>
          <w:rFonts w:ascii="Times New Roman" w:eastAsia="Calibri" w:hAnsi="Times New Roman"/>
          <w:color w:val="000000"/>
          <w:szCs w:val="24"/>
          <w:lang w:eastAsia="en-US"/>
        </w:rPr>
        <w:t xml:space="preserve">as escolhas </w:t>
      </w:r>
      <w:r w:rsidR="006E3F7D" w:rsidRPr="000E5487">
        <w:rPr>
          <w:rFonts w:ascii="Times New Roman" w:eastAsia="Calibri" w:hAnsi="Times New Roman"/>
          <w:color w:val="000000"/>
          <w:szCs w:val="24"/>
          <w:lang w:eastAsia="en-US"/>
        </w:rPr>
        <w:t xml:space="preserve">contábeis </w:t>
      </w:r>
      <w:r w:rsidR="00A124F1" w:rsidRPr="000E5487">
        <w:rPr>
          <w:rFonts w:ascii="Times New Roman" w:eastAsia="Calibri" w:hAnsi="Times New Roman"/>
          <w:color w:val="000000"/>
          <w:szCs w:val="24"/>
          <w:lang w:eastAsia="en-US"/>
        </w:rPr>
        <w:t>no que se refere a mensuração dos ativos biológicos</w:t>
      </w:r>
      <w:r>
        <w:rPr>
          <w:rFonts w:ascii="Times New Roman" w:eastAsia="Calibri" w:hAnsi="Times New Roman"/>
          <w:color w:val="000000"/>
          <w:szCs w:val="24"/>
          <w:lang w:eastAsia="en-US"/>
        </w:rPr>
        <w:t xml:space="preserve"> e o </w:t>
      </w:r>
      <w:r w:rsidRPr="00C25D57">
        <w:rPr>
          <w:rFonts w:ascii="Times New Roman" w:eastAsia="Calibri" w:hAnsi="Times New Roman"/>
          <w:color w:val="000000"/>
          <w:szCs w:val="24"/>
          <w:lang w:eastAsia="en-US"/>
        </w:rPr>
        <w:t xml:space="preserve">o perfil </w:t>
      </w:r>
      <w:r>
        <w:rPr>
          <w:rFonts w:ascii="Times New Roman" w:eastAsia="Calibri" w:hAnsi="Times New Roman"/>
          <w:color w:val="000000"/>
          <w:szCs w:val="24"/>
          <w:lang w:eastAsia="en-US"/>
        </w:rPr>
        <w:t xml:space="preserve">do </w:t>
      </w:r>
      <w:r w:rsidRPr="00C25D57">
        <w:rPr>
          <w:rFonts w:ascii="Times New Roman" w:eastAsia="Calibri" w:hAnsi="Times New Roman"/>
          <w:color w:val="000000"/>
          <w:szCs w:val="24"/>
          <w:lang w:eastAsia="en-US"/>
        </w:rPr>
        <w:t xml:space="preserve">profissional </w:t>
      </w:r>
      <w:r>
        <w:rPr>
          <w:rFonts w:ascii="Times New Roman" w:eastAsia="Calibri" w:hAnsi="Times New Roman"/>
          <w:color w:val="000000"/>
          <w:szCs w:val="24"/>
          <w:lang w:eastAsia="en-US"/>
        </w:rPr>
        <w:t>reponsável pela avaliação do ativo</w:t>
      </w:r>
      <w:r w:rsidR="00A124F1" w:rsidRPr="000E5487">
        <w:rPr>
          <w:rFonts w:ascii="Times New Roman" w:eastAsia="Calibri" w:hAnsi="Times New Roman"/>
          <w:color w:val="000000"/>
          <w:szCs w:val="24"/>
          <w:lang w:eastAsia="en-US"/>
        </w:rPr>
        <w:t>.</w:t>
      </w:r>
    </w:p>
    <w:p w:rsidR="00816F11" w:rsidRDefault="00816F11" w:rsidP="00B747D7">
      <w:pPr>
        <w:spacing w:after="0" w:line="240" w:lineRule="auto"/>
        <w:ind w:firstLine="709"/>
        <w:jc w:val="both"/>
        <w:rPr>
          <w:rFonts w:ascii="Times New Roman" w:eastAsia="Calibri" w:hAnsi="Times New Roman"/>
          <w:b/>
          <w:color w:val="000000"/>
          <w:szCs w:val="24"/>
          <w:lang w:eastAsia="en-US"/>
        </w:rPr>
      </w:pPr>
    </w:p>
    <w:p w:rsidR="001D52C3" w:rsidRPr="000E5487" w:rsidRDefault="00465431" w:rsidP="00816F11">
      <w:pPr>
        <w:spacing w:after="120" w:line="240" w:lineRule="auto"/>
        <w:jc w:val="both"/>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 xml:space="preserve">2 </w:t>
      </w:r>
      <w:r w:rsidR="00816F11">
        <w:rPr>
          <w:rFonts w:ascii="Times New Roman" w:eastAsia="Calibri" w:hAnsi="Times New Roman"/>
          <w:b/>
          <w:color w:val="000000"/>
          <w:szCs w:val="24"/>
          <w:lang w:eastAsia="en-US"/>
        </w:rPr>
        <w:t>Fundamentação</w:t>
      </w:r>
      <w:r w:rsidR="00816F11" w:rsidRPr="000E5487">
        <w:rPr>
          <w:rFonts w:ascii="Times New Roman" w:eastAsia="Calibri" w:hAnsi="Times New Roman"/>
          <w:b/>
          <w:color w:val="000000"/>
          <w:szCs w:val="24"/>
          <w:lang w:eastAsia="en-US"/>
        </w:rPr>
        <w:t xml:space="preserve"> Teóric</w:t>
      </w:r>
      <w:r w:rsidR="00C25D57">
        <w:rPr>
          <w:rFonts w:ascii="Times New Roman" w:eastAsia="Calibri" w:hAnsi="Times New Roman"/>
          <w:b/>
          <w:color w:val="000000"/>
          <w:szCs w:val="24"/>
          <w:lang w:eastAsia="en-US"/>
        </w:rPr>
        <w:t>a</w:t>
      </w:r>
    </w:p>
    <w:p w:rsidR="001D52C3" w:rsidRPr="000E5487" w:rsidRDefault="001D52C3" w:rsidP="00816F11">
      <w:pPr>
        <w:spacing w:after="120" w:line="240" w:lineRule="auto"/>
        <w:jc w:val="both"/>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 xml:space="preserve">2.1 </w:t>
      </w:r>
      <w:r w:rsidR="00816F11" w:rsidRPr="000E5487">
        <w:rPr>
          <w:rFonts w:ascii="Times New Roman" w:eastAsia="Calibri" w:hAnsi="Times New Roman"/>
          <w:b/>
          <w:color w:val="000000"/>
          <w:szCs w:val="24"/>
          <w:lang w:eastAsia="en-US"/>
        </w:rPr>
        <w:t>Escolhas Contábeis</w:t>
      </w:r>
    </w:p>
    <w:p w:rsidR="0056595C" w:rsidRPr="000E5487" w:rsidRDefault="00453B62"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A</w:t>
      </w:r>
      <w:r w:rsidR="006E18E1" w:rsidRPr="000E5487">
        <w:rPr>
          <w:rFonts w:ascii="Times New Roman" w:eastAsia="Calibri" w:hAnsi="Times New Roman"/>
          <w:color w:val="000000"/>
          <w:szCs w:val="24"/>
          <w:lang w:eastAsia="en-US"/>
        </w:rPr>
        <w:t>s escolhas contábeis</w:t>
      </w:r>
      <w:r w:rsidR="003317B4" w:rsidRPr="000E5487">
        <w:rPr>
          <w:rFonts w:ascii="Times New Roman" w:eastAsia="Calibri" w:hAnsi="Times New Roman"/>
          <w:color w:val="000000"/>
          <w:szCs w:val="24"/>
          <w:lang w:eastAsia="en-US"/>
        </w:rPr>
        <w:t xml:space="preserve"> geralmente</w:t>
      </w:r>
      <w:r w:rsidR="006E18E1" w:rsidRPr="000E5487">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são estudadas sobre o prisma da Teoria Positiva da Contabilidade, defendida por</w:t>
      </w:r>
      <w:r w:rsidR="00BB4E2C">
        <w:rPr>
          <w:rFonts w:ascii="Times New Roman" w:eastAsia="Calibri" w:hAnsi="Times New Roman"/>
          <w:color w:val="000000"/>
          <w:szCs w:val="24"/>
          <w:lang w:eastAsia="en-US"/>
        </w:rPr>
        <w:t xml:space="preserve"> </w:t>
      </w:r>
      <w:r w:rsidR="00BB4E2C">
        <w:rPr>
          <w:rFonts w:ascii="Times New Roman" w:eastAsia="Calibri" w:hAnsi="Times New Roman"/>
          <w:color w:val="000000"/>
          <w:szCs w:val="24"/>
          <w:lang w:eastAsia="en-US"/>
        </w:rPr>
        <w:fldChar w:fldCharType="begin" w:fldLock="1"/>
      </w:r>
      <w:r w:rsidR="00BB4E2C">
        <w:rPr>
          <w:rFonts w:ascii="Times New Roman" w:eastAsia="Calibri" w:hAnsi="Times New Roman"/>
          <w:color w:val="000000"/>
          <w:szCs w:val="24"/>
          <w:lang w:eastAsia="en-US"/>
        </w:rPr>
        <w:instrText>ADDIN CSL_CITATION {"citationItems":[{"id":"ITEM-1","itemData":{"ISBN":"00014826","ISSN":"0001-4826","PMID":"4500569","abstract":"JSTOR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This article provides the beginnings of a positive theory of accounting by exploring those factors influencing management's attitudes on accounting standards which are likely to affect corporate lobbying on accounting standards. Certain factors are expected to affect a firm's cashflows and in turn are affected by accounting standards. These factors are taxes, regulation, management compensation plans, bookkeeping costs, and political costs, and they are combined into a model which predicts that large firms which experience reduced earnings due to changed accounting standards favor the change. All other firms oppose the change if the additional bookkeeping costs justify the cost of lobbying. This prediction was tested using the corporate submissions to the FASB's Discussion Memorandum on General Price Level Adjustments. The empirical","author":[{"dropping-particle":"","family":"Watts","given":"Ross L","non-dropping-particle":"","parse-names":false,"suffix":""},{"dropping-particle":"","family":"Zimmerman","given":"Jerold L","non-dropping-particle":"","parse-names":false,"suffix":""}],"container-title":"The Accounting Review","id":"ITEM-1","issue":"1","issued":{"date-parts":[["1978"]]},"page":"112-134","title":"Towards a Positive Theory of the Determination of Accounting Standards","type":"article-journal","volume":"53"},"uris":["http://www.mendeley.com/documents/?uuid=ed41c78c-da6d-47d6-9ff6-c76bace4b3e4"]}],"mendeley":{"formattedCitation":"(WATTS; ZIMMERMAN, 1978)","manualFormatting":"Watts e Zimmerman (1978)","plainTextFormattedCitation":"(WATTS; ZIMMERMAN, 1978)","previouslyFormattedCitation":"(WATTS; ZIMMERMAN, 1978)"},"properties":{"noteIndex":0},"schema":"https://github.com/citation-style-language/schema/raw/master/csl-citation.json"}</w:instrText>
      </w:r>
      <w:r w:rsidR="00BB4E2C">
        <w:rPr>
          <w:rFonts w:ascii="Times New Roman" w:eastAsia="Calibri" w:hAnsi="Times New Roman"/>
          <w:color w:val="000000"/>
          <w:szCs w:val="24"/>
          <w:lang w:eastAsia="en-US"/>
        </w:rPr>
        <w:fldChar w:fldCharType="separate"/>
      </w:r>
      <w:r w:rsidR="00BB4E2C" w:rsidRPr="00BB4E2C">
        <w:rPr>
          <w:rFonts w:ascii="Times New Roman" w:eastAsia="Calibri" w:hAnsi="Times New Roman"/>
          <w:noProof/>
          <w:color w:val="000000"/>
          <w:szCs w:val="24"/>
          <w:lang w:eastAsia="en-US"/>
        </w:rPr>
        <w:t>W</w:t>
      </w:r>
      <w:r w:rsidR="00BB4E2C">
        <w:rPr>
          <w:rFonts w:ascii="Times New Roman" w:eastAsia="Calibri" w:hAnsi="Times New Roman"/>
          <w:noProof/>
          <w:color w:val="000000"/>
          <w:szCs w:val="24"/>
          <w:lang w:eastAsia="en-US"/>
        </w:rPr>
        <w:t>atts</w:t>
      </w:r>
      <w:r w:rsidR="00BB4E2C" w:rsidRPr="00BB4E2C">
        <w:rPr>
          <w:rFonts w:ascii="Times New Roman" w:eastAsia="Calibri" w:hAnsi="Times New Roman"/>
          <w:noProof/>
          <w:color w:val="000000"/>
          <w:szCs w:val="24"/>
          <w:lang w:eastAsia="en-US"/>
        </w:rPr>
        <w:t xml:space="preserve"> </w:t>
      </w:r>
      <w:r w:rsidR="00BB4E2C">
        <w:rPr>
          <w:rFonts w:ascii="Times New Roman" w:eastAsia="Calibri" w:hAnsi="Times New Roman"/>
          <w:noProof/>
          <w:color w:val="000000"/>
          <w:szCs w:val="24"/>
          <w:lang w:eastAsia="en-US"/>
        </w:rPr>
        <w:t xml:space="preserve">e </w:t>
      </w:r>
      <w:r w:rsidR="00BB4E2C" w:rsidRPr="00BB4E2C">
        <w:rPr>
          <w:rFonts w:ascii="Times New Roman" w:eastAsia="Calibri" w:hAnsi="Times New Roman"/>
          <w:noProof/>
          <w:color w:val="000000"/>
          <w:szCs w:val="24"/>
          <w:lang w:eastAsia="en-US"/>
        </w:rPr>
        <w:t xml:space="preserve">Zimmerman </w:t>
      </w:r>
      <w:r w:rsidR="00BB4E2C">
        <w:rPr>
          <w:rFonts w:ascii="Times New Roman" w:eastAsia="Calibri" w:hAnsi="Times New Roman"/>
          <w:noProof/>
          <w:color w:val="000000"/>
          <w:szCs w:val="24"/>
          <w:lang w:eastAsia="en-US"/>
        </w:rPr>
        <w:t>(</w:t>
      </w:r>
      <w:r w:rsidR="00BB4E2C" w:rsidRPr="00BB4E2C">
        <w:rPr>
          <w:rFonts w:ascii="Times New Roman" w:eastAsia="Calibri" w:hAnsi="Times New Roman"/>
          <w:noProof/>
          <w:color w:val="000000"/>
          <w:szCs w:val="24"/>
          <w:lang w:eastAsia="en-US"/>
        </w:rPr>
        <w:t>1978)</w:t>
      </w:r>
      <w:r w:rsidR="00BB4E2C">
        <w:rPr>
          <w:rFonts w:ascii="Times New Roman" w:eastAsia="Calibri" w:hAnsi="Times New Roman"/>
          <w:color w:val="000000"/>
          <w:szCs w:val="24"/>
          <w:lang w:eastAsia="en-US"/>
        </w:rPr>
        <w:fldChar w:fldCharType="end"/>
      </w:r>
      <w:r w:rsidRPr="000E5487">
        <w:rPr>
          <w:rFonts w:ascii="Times New Roman" w:eastAsia="Calibri" w:hAnsi="Times New Roman"/>
          <w:color w:val="000000"/>
          <w:szCs w:val="24"/>
          <w:lang w:eastAsia="en-US"/>
        </w:rPr>
        <w:t xml:space="preserve">, </w:t>
      </w:r>
      <w:r w:rsidR="006E18E1" w:rsidRPr="000E5487">
        <w:rPr>
          <w:rFonts w:ascii="Times New Roman" w:eastAsia="Calibri" w:hAnsi="Times New Roman"/>
          <w:color w:val="000000"/>
          <w:szCs w:val="24"/>
          <w:lang w:eastAsia="en-US"/>
        </w:rPr>
        <w:t>envolve</w:t>
      </w:r>
      <w:r w:rsidRPr="000E5487">
        <w:rPr>
          <w:rFonts w:ascii="Times New Roman" w:eastAsia="Calibri" w:hAnsi="Times New Roman"/>
          <w:color w:val="000000"/>
          <w:szCs w:val="24"/>
          <w:lang w:eastAsia="en-US"/>
        </w:rPr>
        <w:t>ndo</w:t>
      </w:r>
      <w:r w:rsidR="006E18E1" w:rsidRPr="000E5487">
        <w:rPr>
          <w:rFonts w:ascii="Times New Roman" w:eastAsia="Calibri" w:hAnsi="Times New Roman"/>
          <w:color w:val="000000"/>
          <w:szCs w:val="24"/>
          <w:lang w:eastAsia="en-US"/>
        </w:rPr>
        <w:t xml:space="preserve"> </w:t>
      </w:r>
      <w:r w:rsidR="007E359B" w:rsidRPr="000E5487">
        <w:rPr>
          <w:rFonts w:ascii="Times New Roman" w:eastAsia="Calibri" w:hAnsi="Times New Roman"/>
          <w:color w:val="000000"/>
          <w:szCs w:val="24"/>
          <w:lang w:eastAsia="en-US"/>
        </w:rPr>
        <w:t>o comportamento oportunista dos gestores, o gerenciamento de resultados e a assimetria informacional</w:t>
      </w:r>
      <w:r w:rsidR="006E18E1" w:rsidRPr="000E5487">
        <w:rPr>
          <w:rFonts w:ascii="Times New Roman" w:eastAsia="Calibri" w:hAnsi="Times New Roman"/>
          <w:color w:val="000000"/>
          <w:szCs w:val="24"/>
          <w:lang w:eastAsia="en-US"/>
        </w:rPr>
        <w:t>.</w:t>
      </w:r>
      <w:r w:rsidR="003317B4" w:rsidRPr="000E5487">
        <w:rPr>
          <w:rFonts w:ascii="Times New Roman" w:eastAsia="Calibri" w:hAnsi="Times New Roman"/>
          <w:color w:val="000000"/>
          <w:szCs w:val="24"/>
          <w:lang w:eastAsia="en-US"/>
        </w:rPr>
        <w:t xml:space="preserve"> </w:t>
      </w:r>
      <w:r w:rsidR="003669E3" w:rsidRPr="000E5487">
        <w:rPr>
          <w:rFonts w:ascii="Times New Roman" w:eastAsia="Calibri" w:hAnsi="Times New Roman"/>
          <w:color w:val="000000"/>
          <w:szCs w:val="24"/>
          <w:lang w:eastAsia="en-US"/>
        </w:rPr>
        <w:t>E</w:t>
      </w:r>
      <w:r w:rsidRPr="000E5487">
        <w:rPr>
          <w:rFonts w:ascii="Times New Roman" w:eastAsia="Calibri" w:hAnsi="Times New Roman"/>
          <w:color w:val="000000"/>
          <w:szCs w:val="24"/>
          <w:lang w:eastAsia="en-US"/>
        </w:rPr>
        <w:t>studos recentes indicam que</w:t>
      </w:r>
      <w:r w:rsidR="003669E3" w:rsidRPr="000E5487">
        <w:rPr>
          <w:rFonts w:ascii="Times New Roman" w:eastAsia="Calibri" w:hAnsi="Times New Roman"/>
          <w:color w:val="000000"/>
          <w:szCs w:val="24"/>
          <w:lang w:eastAsia="en-US"/>
        </w:rPr>
        <w:t xml:space="preserve"> </w:t>
      </w:r>
      <w:r w:rsidR="006274D5" w:rsidRPr="000E5487">
        <w:rPr>
          <w:rFonts w:ascii="Times New Roman" w:eastAsia="Calibri" w:hAnsi="Times New Roman"/>
          <w:color w:val="000000"/>
          <w:szCs w:val="24"/>
          <w:lang w:eastAsia="en-US"/>
        </w:rPr>
        <w:t xml:space="preserve">o país </w:t>
      </w:r>
      <w:r w:rsidR="006274D5" w:rsidRPr="000E5487">
        <w:rPr>
          <w:rFonts w:ascii="Times New Roman" w:eastAsia="Calibri" w:hAnsi="Times New Roman"/>
          <w:color w:val="000000"/>
          <w:szCs w:val="24"/>
          <w:lang w:eastAsia="en-US"/>
        </w:rPr>
        <w:fldChar w:fldCharType="begin" w:fldLock="1"/>
      </w:r>
      <w:r w:rsidR="00DE4E1B">
        <w:rPr>
          <w:rFonts w:ascii="Times New Roman" w:eastAsia="Calibri" w:hAnsi="Times New Roman"/>
          <w:color w:val="000000"/>
          <w:szCs w:val="24"/>
          <w:lang w:eastAsia="en-US"/>
        </w:rPr>
        <w:instrText>ADDIN CSL_CITATION {"citationItems":[{"id":"ITEM-1","itemData":{"DOI":"10.1111/j.1467-6281.2007.00224.x","ISBN":"0001-3072\\r1467-6281","ISSN":"00013072","abstract":"http://dx.doi.org/10.1111/j.1467-6281.2007.00224.x","author":[{"dropping-particle":"","family":"Jaafar","given":"Aziz","non-dropping-particle":"","parse-names":false,"suffix":""},{"dropping-particle":"","family":"McLeay","given":"Stuart","non-dropping-particle":"","parse-names":false,"suffix":""}],"container-title":"Abacus","id":"ITEM-1","issue":"2","issued":{"date-parts":[["2007"]]},"page":"156-189","title":"Country effects and sector effects on the harmonization of accounting policy choice","type":"article-journal","volume":"43"},"uris":["http://www.mendeley.com/documents/?uuid=45485e87-23bc-4924-8f7a-585691313480"]},{"id":"ITEM-2","itemData":{"DOI":"10.1111/abac.12035","ISSN":"14676281","abstract":"This paper proposes a framework for understanding management's decision-making on observable accounting policy choices. The framework is used to hypothesize how country, industry, and topic factors influence policy choice under International Financial Reporting Standards (IFRS). The hypotheses are tested on the choices made by the largest firms from 10 jurisdictions on a comprehensive set of IFRS policy topics, which are hand-collected from the financial statements. The results are consistent with the framework: country factors are particularly influential when the choice does not affect an important accounting number; and industry and topic factors influence the choice on some topics. Overall, we find that country factors have the greatest influence on IFRS policy choice.","author":[{"dropping-particle":"","family":"Stadler","given":"Christian","non-dropping-particle":"","parse-names":false,"suffix":""},{"dropping-particle":"","family":"Nobes","given":"Christopher W.","non-dropping-particle":"","parse-names":false,"suffix":""}],"container-title":"Abacus","id":"ITEM-2","issue":"4","issued":{"date-parts":[["2014"]]},"page":"386-421","title":"The Influence of Country, Industry, and Topic Factors on IFRS Policy Choice","type":"article-journal","volume":"50"},"uris":["http://www.mendeley.com/documents/?uuid=3b15da2b-e7d0-4280-bea4-c47befad1dc1"]}],"mendeley":{"formattedCitation":"(JAAFAR; MCLEAY, 2007; STADLER; NOBES, 2014)","plainTextFormattedCitation":"(JAAFAR; MCLEAY, 2007; STADLER; NOBES, 2014)","previouslyFormattedCitation":"(JAAFAR; MCLEAY, 2007; STADLER; NOBES, 2014)"},"properties":{"noteIndex":0},"schema":"https://github.com/citation-style-language/schema/raw/master/csl-citation.json"}</w:instrText>
      </w:r>
      <w:r w:rsidR="006274D5" w:rsidRPr="000E5487">
        <w:rPr>
          <w:rFonts w:ascii="Times New Roman" w:eastAsia="Calibri" w:hAnsi="Times New Roman"/>
          <w:color w:val="000000"/>
          <w:szCs w:val="24"/>
          <w:lang w:eastAsia="en-US"/>
        </w:rPr>
        <w:fldChar w:fldCharType="separate"/>
      </w:r>
      <w:r w:rsidR="00DE4E1B" w:rsidRPr="00DE4E1B">
        <w:rPr>
          <w:rFonts w:ascii="Times New Roman" w:eastAsia="Calibri" w:hAnsi="Times New Roman"/>
          <w:noProof/>
          <w:color w:val="000000"/>
          <w:szCs w:val="24"/>
          <w:lang w:eastAsia="en-US"/>
        </w:rPr>
        <w:t>(JAAFAR; MCLEAY, 2007; STADLER; NOBES, 2014)</w:t>
      </w:r>
      <w:r w:rsidR="006274D5" w:rsidRPr="000E5487">
        <w:rPr>
          <w:rFonts w:ascii="Times New Roman" w:eastAsia="Calibri" w:hAnsi="Times New Roman"/>
          <w:color w:val="000000"/>
          <w:szCs w:val="24"/>
          <w:lang w:eastAsia="en-US"/>
        </w:rPr>
        <w:fldChar w:fldCharType="end"/>
      </w:r>
      <w:r w:rsidR="006274D5" w:rsidRPr="000E5487">
        <w:rPr>
          <w:rFonts w:ascii="Times New Roman" w:eastAsia="Calibri" w:hAnsi="Times New Roman"/>
          <w:color w:val="000000"/>
          <w:szCs w:val="24"/>
          <w:lang w:eastAsia="en-US"/>
        </w:rPr>
        <w:t xml:space="preserve">, </w:t>
      </w:r>
      <w:r w:rsidR="00B71208" w:rsidRPr="000E5487">
        <w:rPr>
          <w:rFonts w:ascii="Times New Roman" w:eastAsia="Calibri" w:hAnsi="Times New Roman"/>
          <w:color w:val="000000"/>
          <w:szCs w:val="24"/>
          <w:lang w:eastAsia="en-US"/>
        </w:rPr>
        <w:t xml:space="preserve">a cultura econômica nacional mediada pelas instituições </w:t>
      </w:r>
      <w:r w:rsidR="00B71208" w:rsidRPr="000E5487">
        <w:rPr>
          <w:rFonts w:ascii="Times New Roman" w:eastAsia="Calibri" w:hAnsi="Times New Roman"/>
          <w:color w:val="000000"/>
          <w:szCs w:val="24"/>
          <w:lang w:eastAsia="en-US"/>
        </w:rPr>
        <w:fldChar w:fldCharType="begin" w:fldLock="1"/>
      </w:r>
      <w:r w:rsidR="00DE4E1B">
        <w:rPr>
          <w:rFonts w:ascii="Times New Roman" w:eastAsia="Calibri" w:hAnsi="Times New Roman"/>
          <w:color w:val="000000"/>
          <w:szCs w:val="24"/>
          <w:lang w:eastAsia="en-US"/>
        </w:rPr>
        <w:instrText>ADDIN CSL_CITATION {"citationItems":[{"id":"ITEM-1","itemData":{"DOI":"10.1016/j.cpa.2013.03.006","ISBN":"1045-2354","ISSN":"10959955","abstract":"National economic culture has an indirect influence on accounting at the national level through the mediating variable of institutions. The relationships are evaluated using measures of national economic culture from Culture, Leadership, and Organizations: The GLOBE Study of 62 Societies (. House et al., 2004); measures of institutions from the World Bank (. Kaufmann et al., 2007); and measures of national accounting from the Financial Standards Foundation (2008). At the national level, institutions are found to mediate the relationship between economic culture variables and accounting. The empirical findings indicate that accounting in a given nation is linked to the nation's supporting institutions, which institutions in turn are influenced by the national economic culture of those who maintain them. This suggests that altering aspects of accounting within a nation can be expected to entail much more than formal adoption of standards, principles, or innovations. Institutional adjustments must be made and the impact of national economic culture must be understood and appropriately addressed.","author":[{"dropping-particle":"","family":"Cieslewicz","given":"Joshua K.","non-dropping-particle":"","parse-names":false,"suffix":""}],"container-title":"Critical Perspectives on Accounting","id":"ITEM-1","issue":"6","issued":{"date-parts":[["2014"]]},"page":"511-528","publisher":"Elsevier Ltd","title":"Relationships between national economic culture, institutions, and accounting: Implications for IFRS","type":"article-journal","volume":"25"},"uris":["http://www.mendeley.com/documents/?uuid=bd8b2dda-b549-486f-871c-e264b81d97ee"]}],"mendeley":{"formattedCitation":"(CIESLEWICZ, 2014)","plainTextFormattedCitation":"(CIESLEWICZ, 2014)","previouslyFormattedCitation":"(CIESLEWICZ, 2014)"},"properties":{"noteIndex":0},"schema":"https://github.com/citation-style-language/schema/raw/master/csl-citation.json"}</w:instrText>
      </w:r>
      <w:r w:rsidR="00B71208" w:rsidRPr="000E5487">
        <w:rPr>
          <w:rFonts w:ascii="Times New Roman" w:eastAsia="Calibri" w:hAnsi="Times New Roman"/>
          <w:color w:val="000000"/>
          <w:szCs w:val="24"/>
          <w:lang w:eastAsia="en-US"/>
        </w:rPr>
        <w:fldChar w:fldCharType="separate"/>
      </w:r>
      <w:r w:rsidR="00DE4E1B" w:rsidRPr="00DE4E1B">
        <w:rPr>
          <w:rFonts w:ascii="Times New Roman" w:eastAsia="Calibri" w:hAnsi="Times New Roman"/>
          <w:noProof/>
          <w:color w:val="000000"/>
          <w:szCs w:val="24"/>
          <w:lang w:eastAsia="en-US"/>
        </w:rPr>
        <w:t>(CIESLEWICZ, 2014)</w:t>
      </w:r>
      <w:r w:rsidR="00B71208" w:rsidRPr="000E5487">
        <w:rPr>
          <w:rFonts w:ascii="Times New Roman" w:eastAsia="Calibri" w:hAnsi="Times New Roman"/>
          <w:color w:val="000000"/>
          <w:szCs w:val="24"/>
          <w:lang w:eastAsia="en-US"/>
        </w:rPr>
        <w:fldChar w:fldCharType="end"/>
      </w:r>
      <w:r w:rsidR="00B71208"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as forças de mercado </w:t>
      </w:r>
      <w:r w:rsidRPr="000E5487">
        <w:rPr>
          <w:rFonts w:ascii="Times New Roman" w:eastAsia="Calibri" w:hAnsi="Times New Roman"/>
          <w:color w:val="000000"/>
          <w:szCs w:val="24"/>
          <w:lang w:eastAsia="en-US"/>
        </w:rPr>
        <w:fldChar w:fldCharType="begin" w:fldLock="1"/>
      </w:r>
      <w:r w:rsidR="00DE4E1B">
        <w:rPr>
          <w:rFonts w:ascii="Times New Roman" w:eastAsia="Calibri" w:hAnsi="Times New Roman"/>
          <w:color w:val="000000"/>
          <w:szCs w:val="24"/>
          <w:lang w:eastAsia="en-US"/>
        </w:rPr>
        <w:instrText>ADDIN CSL_CITATION {"citationItems":[{"id":"ITEM-1","itemData":{"DOI":"10.1007/s11142-013-9232-0","ISBN":"1380-6653","ISSN":"13806653","abstract":"Abstract: We study managers’ revealed preferences for fair value or historical cost accounting for non-financial assets when market forces, rather than regulators, determine the choice. We document that almost all managers pre-commit to historical cost accounting for plant, equipment, and intangible assets, suggesting that fair value for illiquid non-financial assets is associated with net firm-specific costs. However, for the more liquid assets groups, property and investment property, the observed choices suggest that fair value is often associated with net benefits. Indeed, the majority of real estate companies choose fair value over historical cost for investment property. We also find that fair value use is positively associated with reliance on debt financing. However, unlike prior studies, we conclude that this result is likely attributable to lower incremental costs of fair value reporting rather than an attempt to avoid covenant violations. Our findings contribute to the policy debate over fair value accounting for non-financial assets by documenting that the firm-specific cost of establishing reliable fair value estimates represents a barrier for fair value to become the primary valuation method on a voluntary basis.","author":[{"dropping-particle":"","family":"Christensen","given":"Hans B.","non-dropping-particle":"","parse-names":false,"suffix":""},{"dropping-particle":"V.","family":"Nikolaev","given":"Valeri","non-dropping-particle":"","parse-names":false,"suffix":""}],"container-title":"Review of Accounting Studies","id":"ITEM-1","issue":"3","issued":{"date-parts":[["2013"]]},"page":"734-775","title":"Does fair value accounting for non-financial assets pass the market test?","type":"article-journal","volume":"18"},"uris":["http://www.mendeley.com/documents/?uuid=88e7891a-0093-4f54-8058-c938b3f07227"]}],"mendeley":{"formattedCitation":"(CHRISTENSEN; NIKOLAEV, 2013)","plainTextFormattedCitation":"(CHRISTENSEN; NIKOLAEV, 2013)","previouslyFormattedCitation":"(CHRISTENSEN; NIKOLAEV, 2013)"},"properties":{"noteIndex":0},"schema":"https://github.com/citation-style-language/schema/raw/master/csl-citation.json"}</w:instrText>
      </w:r>
      <w:r w:rsidRPr="000E5487">
        <w:rPr>
          <w:rFonts w:ascii="Times New Roman" w:eastAsia="Calibri" w:hAnsi="Times New Roman"/>
          <w:color w:val="000000"/>
          <w:szCs w:val="24"/>
          <w:lang w:eastAsia="en-US"/>
        </w:rPr>
        <w:fldChar w:fldCharType="separate"/>
      </w:r>
      <w:r w:rsidR="00DE4E1B" w:rsidRPr="00DE4E1B">
        <w:rPr>
          <w:rFonts w:ascii="Times New Roman" w:eastAsia="Calibri" w:hAnsi="Times New Roman"/>
          <w:noProof/>
          <w:color w:val="000000"/>
          <w:szCs w:val="24"/>
          <w:lang w:eastAsia="en-US"/>
        </w:rPr>
        <w:t>(CHRISTENSEN; NIKOLAEV, 2013)</w:t>
      </w:r>
      <w:r w:rsidRPr="000E5487">
        <w:rPr>
          <w:rFonts w:ascii="Times New Roman" w:eastAsia="Calibri" w:hAnsi="Times New Roman"/>
          <w:color w:val="000000"/>
          <w:szCs w:val="24"/>
          <w:lang w:eastAsia="en-US"/>
        </w:rPr>
        <w:fldChar w:fldCharType="end"/>
      </w:r>
      <w:r w:rsidR="004B22E1" w:rsidRPr="000E5487">
        <w:rPr>
          <w:rFonts w:ascii="Times New Roman" w:eastAsia="Calibri" w:hAnsi="Times New Roman"/>
          <w:color w:val="000000"/>
          <w:szCs w:val="24"/>
          <w:lang w:eastAsia="en-US"/>
        </w:rPr>
        <w:t xml:space="preserve">, </w:t>
      </w:r>
      <w:r w:rsidR="006E3F7D" w:rsidRPr="000E5487">
        <w:rPr>
          <w:rFonts w:ascii="Times New Roman" w:eastAsia="Calibri" w:hAnsi="Times New Roman"/>
          <w:color w:val="000000"/>
          <w:szCs w:val="24"/>
          <w:lang w:eastAsia="en-US"/>
        </w:rPr>
        <w:t xml:space="preserve">o tamanho da firma de auditoria </w:t>
      </w:r>
      <w:r w:rsidR="006E3F7D" w:rsidRPr="000E5487">
        <w:rPr>
          <w:rFonts w:ascii="Times New Roman" w:eastAsia="Calibri" w:hAnsi="Times New Roman"/>
          <w:color w:val="000000"/>
          <w:szCs w:val="24"/>
          <w:lang w:eastAsia="en-US"/>
        </w:rPr>
        <w:fldChar w:fldCharType="begin" w:fldLock="1"/>
      </w:r>
      <w:r w:rsidR="00DE4E1B">
        <w:rPr>
          <w:rFonts w:ascii="Times New Roman" w:eastAsia="Calibri" w:hAnsi="Times New Roman"/>
          <w:color w:val="000000"/>
          <w:szCs w:val="24"/>
          <w:lang w:eastAsia="en-US"/>
        </w:rPr>
        <w:instrText>ADDIN CSL_CITATION {"citationItems":[{"id":"ITEM-1","itemData":{"DOI":"10.1016/S1138-4891(11)70022-X","ISSN":"19884672","abstract":"The adoption of the IFRSs by EU member States in 2005 represents one of the most relevant events that have taken place to achieve the convergence of international accounting standards. In this article, we examine the annual reports of the groups listed on the Spanish Continuous Market that adopted IFRSs in 2005 in order to determine the optional accounting criteria they apply under IFRSs and, secondly, identify corporate characteristics affecting these choices. Because there are important differences across countries as a consequence of different institutional frameworks, the mandatory IFRSs adoption is an opportunity to analyze its economic effects. The main finding of this study is that Spanish groups apply the most conservative criteria to limit the number of changes they introduce related to the previous local GAAP, particularly in regards to presentation and measurement options. Additionally, we find that corporate characteristics such as industry, return on equity, size and type of audit firm (Big Four vs. non-Big Four) influence the choice of accounting methods used to prepare their financial statements. The analysis of these results provides a basis for discussion between responsible international standard setters (such as IASB and FASB) and regulators to work towards the convergence's goals.","author":[{"dropping-particle":"","family":"Martínez","given":"Juana Aledo","non-dropping-particle":"","parse-names":false,"suffix":""},{"dropping-particle":"","family":"Martínez","given":"Fernando García","non-dropping-particle":"","parse-names":false,"suffix":""},{"dropping-particle":"","family":"Diazaraque","given":"Juan Miguel Marín","non-dropping-particle":"","parse-names":false,"suffix":""}],"container-title":"Revista de Contabilidad-Spanish Accounting Review","id":"ITEM-1","issue":"1","issued":{"date-parts":[["2011"]]},"page":"59-85","publisher":"Elsevier","title":"Optional accounting criteria under IFRSs and corporate characteristics: Evidence from Spain","type":"article-journal","volume":"14"},"uris":["http://www.mendeley.com/documents/?uuid=96ec09fe-ce83-46fa-9d2e-79a47adfa30e"]}],"mendeley":{"formattedCitation":"(MARTÍNEZ; MARTÍNEZ; DIAZARAQUE, 2011)","plainTextFormattedCitation":"(MARTÍNEZ; MARTÍNEZ; DIAZARAQUE, 2011)","previouslyFormattedCitation":"(MARTÍNEZ; MARTÍNEZ; DIAZARAQUE, 2011)"},"properties":{"noteIndex":0},"schema":"https://github.com/citation-style-language/schema/raw/master/csl-citation.json"}</w:instrText>
      </w:r>
      <w:r w:rsidR="006E3F7D" w:rsidRPr="000E5487">
        <w:rPr>
          <w:rFonts w:ascii="Times New Roman" w:eastAsia="Calibri" w:hAnsi="Times New Roman"/>
          <w:color w:val="000000"/>
          <w:szCs w:val="24"/>
          <w:lang w:eastAsia="en-US"/>
        </w:rPr>
        <w:fldChar w:fldCharType="separate"/>
      </w:r>
      <w:r w:rsidR="00DE4E1B" w:rsidRPr="00DE4E1B">
        <w:rPr>
          <w:rFonts w:ascii="Times New Roman" w:eastAsia="Calibri" w:hAnsi="Times New Roman"/>
          <w:noProof/>
          <w:color w:val="000000"/>
          <w:szCs w:val="24"/>
          <w:lang w:eastAsia="en-US"/>
        </w:rPr>
        <w:t>(MARTÍNEZ; MARTÍNEZ; DIAZARAQUE, 2011)</w:t>
      </w:r>
      <w:r w:rsidR="006E3F7D" w:rsidRPr="000E5487">
        <w:rPr>
          <w:rFonts w:ascii="Times New Roman" w:eastAsia="Calibri" w:hAnsi="Times New Roman"/>
          <w:color w:val="000000"/>
          <w:szCs w:val="24"/>
          <w:lang w:eastAsia="en-US"/>
        </w:rPr>
        <w:fldChar w:fldCharType="end"/>
      </w:r>
      <w:r w:rsidR="006E3F7D" w:rsidRPr="000E5487">
        <w:rPr>
          <w:rFonts w:ascii="Times New Roman" w:eastAsia="Calibri" w:hAnsi="Times New Roman"/>
          <w:color w:val="000000"/>
          <w:szCs w:val="24"/>
          <w:lang w:eastAsia="en-US"/>
        </w:rPr>
        <w:t xml:space="preserve">, </w:t>
      </w:r>
      <w:r w:rsidR="004B22E1" w:rsidRPr="000E5487">
        <w:rPr>
          <w:rFonts w:ascii="Times New Roman" w:eastAsia="Calibri" w:hAnsi="Times New Roman"/>
          <w:color w:val="000000"/>
          <w:szCs w:val="24"/>
          <w:lang w:eastAsia="en-US"/>
        </w:rPr>
        <w:t xml:space="preserve">o modelo de negócio </w:t>
      </w:r>
      <w:r w:rsidR="00BB4E2C">
        <w:rPr>
          <w:rFonts w:ascii="Times New Roman" w:eastAsia="Calibri" w:hAnsi="Times New Roman"/>
          <w:color w:val="000000"/>
          <w:szCs w:val="24"/>
          <w:lang w:eastAsia="en-US"/>
        </w:rPr>
        <w:fldChar w:fldCharType="begin" w:fldLock="1"/>
      </w:r>
      <w:r w:rsidR="00BB4E2C">
        <w:rPr>
          <w:rFonts w:ascii="Times New Roman" w:eastAsia="Calibri" w:hAnsi="Times New Roman"/>
          <w:color w:val="000000"/>
          <w:szCs w:val="24"/>
          <w:lang w:eastAsia="en-US"/>
        </w:rPr>
        <w:instrText>ADDIN CSL_CITATION {"citationItems":[{"id":"ITEM-1","itemData":{"DOI":"10.1080/09638181003687844","ISSN":"09638180","abstract":"This paper examines whether the type of jointly controlled entity influences the management choice to report interests in this kind of joint venture using the equity method or proportionate consolidation. We address this gap in the accounting choice literature by exploiting the UK setting where, due to the transition to IFRS, firms had to change their reporting method for interests in jointly controlled entities from the gross equity method to a similar approach (equity method) or to proportionate consolidation. We support our analysis on the classification of jointly controlled entities proposed by Hennart (1988). We hypothesize that venturers are more likely to change their reporting method to proportionate consolidation when the majority of their jointly controlled entities are cases of Link instead of Scale cooperation. After controlling for several variables, our results are consistent with the predictions and thus suggest that the type of jointly controlled entity plays an important role in the management decision to report interests in jointly controlled entities using the equity method or proportionate consolidation. However, the results also provide empirical evidence supporting the importance of debt covenant costs and monitoring costs in the choice between alternative reporting methods.","author":[{"dropping-particle":"","family":"Lourenço","given":"Isabel Costa","non-dropping-particle":"","parse-names":false,"suffix":""},{"dropping-particle":"","family":"Curto","given":"José Dias","non-dropping-particle":"","parse-names":false,"suffix":""}],"container-title":"European Accounting Review","id":"ITEM-1","issue":"4","issued":{"date-parts":[["2010"]]},"page":"739-773","title":"Determinants of the accounting choice between alternative reporting methods for interests in jointly controlled entities","type":"article-journal","volume":"19"},"uris":["http://www.mendeley.com/documents/?uuid=ef03ba31-04dd-4073-a33d-0cdd5e62a227"]},{"id":"ITEM-2","itemData":{"DOI":"10.1590/1808-057x201512280","ISSN":"1519-7077","abstract":"&lt;p&gt;RESUMO O objetivo deste estudo é mostrar que o modelo de negócio das empresas de capital aberto do mercado brasileiro, que são gestoras de imóveis, explica suas escolhas contábeis de mensuração das propriedades para investimento. Para tal, foram estudadas as cinco principais empresas brasileiras gestoras de propriedades para investimento com base em metodologia que triangulou pesquisa documental, entrevistas semiestruturadas e análise de consistência. Os resultados da análise dos dados secundários da pesquisa documental das duas maiores empresas brasileiras do setor de exploração de imóveis (uma optante pelo valor justo e uma pelo custo), junto com os resultados das entrevistas com os principais agentes internos e externos das empresas, envolvidos direta ou indiretamente nas escolhas de mensuração de propriedades para investimento, indicaram que o modelo de negócio diferenciado das empresas explica suas distintas escolhas contábeis de mensuração das propriedades para investimento. Para dar consistência a esses achados, foram analisados posteriormente os modelos de negócios das três maiores empresas brasileiras gestoras de propriedades para investimento seguintes (duas optantes pelo valor justo e uma optante pelo custo), confrontando-os com suas escolhas contábeis. Observou-se que há consistência entre os modelos de negócios e as escolhas contábeis, corroborando os resultados anteriores. Embora a generalização dos resultados não seja possível em função da pequena quantidade de empresas estudadas e do setor específico, as evidências indicam que as escolhas contábeis podem ser explicadas por um conjunto integrado de fatores considerados isoladamente na literatura. A existência de vários fatores que interagem entre si e explicam as escolhas contábeis, em detrimento de fatores isolados, pode contribuir para a ampliação do conhecimento nessa temática.&lt;/p&gt;","author":[{"dropping-particle":"","family":"Pinto","given":"Murillo José Torello","non-dropping-particle":"","parse-names":false,"suffix":""},{"dropping-particle":"","family":"Martins","given":"Vinícius Aversari","non-dropping-particle":"","parse-names":false,"suffix":""},{"dropping-particle":"da","family":"Silva","given":"Denise Mendes","non-dropping-particle":"","parse-names":false,"suffix":""}],"container-title":"Revista Contabilidade &amp; Finanças","id":"ITEM-2","issue":"69","issued":{"date-parts":[["2015"]]},"page":"274-289","title":"Escolhas Contábeis: o Caso Brasileiro das Propriedades para Investimento","type":"article-journal","volume":"26"},"uris":["http://www.mendeley.com/documents/?uuid=58eeb6cc-f106-4c00-b28c-1d4a5c114e43"]}],"mendeley":{"formattedCitation":"(LOURENÇO; CURTO, 2010; PINTO; MARTINS; SILVA, 2015)","plainTextFormattedCitation":"(LOURENÇO; CURTO, 2010; PINTO; MARTINS; SILVA, 2015)","previouslyFormattedCitation":"(LOURENÇO; CURTO, 2010; PINTO; MARTINS; SILVA, 2015)"},"properties":{"noteIndex":0},"schema":"https://github.com/citation-style-language/schema/raw/master/csl-citation.json"}</w:instrText>
      </w:r>
      <w:r w:rsidR="00BB4E2C">
        <w:rPr>
          <w:rFonts w:ascii="Times New Roman" w:eastAsia="Calibri" w:hAnsi="Times New Roman"/>
          <w:color w:val="000000"/>
          <w:szCs w:val="24"/>
          <w:lang w:eastAsia="en-US"/>
        </w:rPr>
        <w:fldChar w:fldCharType="separate"/>
      </w:r>
      <w:r w:rsidR="00BB4E2C" w:rsidRPr="00BB4E2C">
        <w:rPr>
          <w:rFonts w:ascii="Times New Roman" w:eastAsia="Calibri" w:hAnsi="Times New Roman"/>
          <w:noProof/>
          <w:color w:val="000000"/>
          <w:szCs w:val="24"/>
          <w:lang w:eastAsia="en-US"/>
        </w:rPr>
        <w:t>(LOURENÇO; CURTO, 2010; PINTO; MARTINS; SILVA, 2015)</w:t>
      </w:r>
      <w:r w:rsidR="00BB4E2C">
        <w:rPr>
          <w:rFonts w:ascii="Times New Roman" w:eastAsia="Calibri" w:hAnsi="Times New Roman"/>
          <w:color w:val="000000"/>
          <w:szCs w:val="24"/>
          <w:lang w:eastAsia="en-US"/>
        </w:rPr>
        <w:fldChar w:fldCharType="end"/>
      </w:r>
      <w:r w:rsidR="006E3F7D" w:rsidRPr="000E5487">
        <w:rPr>
          <w:rFonts w:ascii="Times New Roman" w:eastAsia="Calibri" w:hAnsi="Times New Roman"/>
          <w:color w:val="000000"/>
          <w:szCs w:val="24"/>
          <w:lang w:eastAsia="en-US"/>
        </w:rPr>
        <w:t xml:space="preserve">, o status </w:t>
      </w:r>
      <w:r w:rsidR="006E3F7D" w:rsidRPr="000E5487">
        <w:rPr>
          <w:rFonts w:ascii="Times New Roman" w:eastAsia="Calibri" w:hAnsi="Times New Roman"/>
          <w:i/>
          <w:color w:val="000000"/>
          <w:szCs w:val="24"/>
          <w:lang w:eastAsia="en-US"/>
        </w:rPr>
        <w:t>quo</w:t>
      </w:r>
      <w:r w:rsidR="006E3F7D" w:rsidRPr="000E5487">
        <w:rPr>
          <w:rFonts w:ascii="Times New Roman" w:eastAsia="Calibri" w:hAnsi="Times New Roman"/>
          <w:color w:val="000000"/>
          <w:szCs w:val="24"/>
          <w:lang w:eastAsia="en-US"/>
        </w:rPr>
        <w:t xml:space="preserve"> e o conservadorismo </w:t>
      </w:r>
      <w:r w:rsidR="00BB4E2C">
        <w:rPr>
          <w:rFonts w:ascii="Times New Roman" w:eastAsia="Calibri" w:hAnsi="Times New Roman"/>
          <w:color w:val="000000"/>
          <w:szCs w:val="24"/>
          <w:lang w:eastAsia="en-US"/>
        </w:rPr>
        <w:fldChar w:fldCharType="begin" w:fldLock="1"/>
      </w:r>
      <w:r w:rsidR="00BB4E2C">
        <w:rPr>
          <w:rFonts w:ascii="Times New Roman" w:eastAsia="Calibri" w:hAnsi="Times New Roman"/>
          <w:color w:val="000000"/>
          <w:szCs w:val="24"/>
          <w:lang w:eastAsia="en-US"/>
        </w:rPr>
        <w:instrText>ADDIN CSL_CITATION {"citationItems":[{"id":"ITEM-1","itemData":{"DOI":"10.1016/S1138-4891(11)70022-X","ISSN":"19884672","abstract":"The adoption of the IFRSs by EU member States in 2005 represents one of the most relevant events that have taken place to achieve the convergence of international accounting standards. In this article, we examine the annual reports of the groups listed on the Spanish Continuous Market that adopted IFRSs in 2005 in order to determine the optional accounting criteria they apply under IFRSs and, secondly, identify corporate characteristics affecting these choices. Because there are important differences across countries as a consequence of different institutional frameworks, the mandatory IFRSs adoption is an opportunity to analyze its economic effects. The main finding of this study is that Spanish groups apply the most conservative criteria to limit the number of changes they introduce related to the previous local GAAP, particularly in regards to presentation and measurement options. Additionally, we find that corporate characteristics such as industry, return on equity, size and type of audit firm (Big Four vs. non-Big Four) influence the choice of accounting methods used to prepare their financial statements. The analysis of these results provides a basis for discussion between responsible international standard setters (such as IASB and FASB) and regulators to work towards the convergence's goals.","author":[{"dropping-particle":"","family":"Martínez","given":"Juana Aledo","non-dropping-particle":"","parse-names":false,"suffix":""},{"dropping-particle":"","family":"Martínez","given":"Fernando García","non-dropping-particle":"","parse-names":false,"suffix":""},{"dropping-particle":"","family":"Diazaraque","given":"Juan Miguel Marín","non-dropping-particle":"","parse-names":false,"suffix":""}],"container-title":"Revista de Contabilidad-Spanish Accounting Review","id":"ITEM-1","issue":"1","issued":{"date-parts":[["2011"]]},"page":"59-85","publisher":"Elsevier","title":"Optional accounting criteria under IFRSs and corporate characteristics: Evidence from Spain","type":"article-journal","volume":"14"},"uris":["http://www.mendeley.com/documents/?uuid=96ec09fe-ce83-46fa-9d2e-79a47adfa30e"]}],"mendeley":{"formattedCitation":"(MARTÍNEZ; MARTÍNEZ; DIAZARAQUE, 2011)","plainTextFormattedCitation":"(MARTÍNEZ; MARTÍNEZ; DIAZARAQUE, 2011)","previouslyFormattedCitation":"(MARTÍNEZ; MARTÍNEZ; DIAZARAQUE, 2011)"},"properties":{"noteIndex":0},"schema":"https://github.com/citation-style-language/schema/raw/master/csl-citation.json"}</w:instrText>
      </w:r>
      <w:r w:rsidR="00BB4E2C">
        <w:rPr>
          <w:rFonts w:ascii="Times New Roman" w:eastAsia="Calibri" w:hAnsi="Times New Roman"/>
          <w:color w:val="000000"/>
          <w:szCs w:val="24"/>
          <w:lang w:eastAsia="en-US"/>
        </w:rPr>
        <w:fldChar w:fldCharType="separate"/>
      </w:r>
      <w:r w:rsidR="00BB4E2C" w:rsidRPr="00BB4E2C">
        <w:rPr>
          <w:rFonts w:ascii="Times New Roman" w:eastAsia="Calibri" w:hAnsi="Times New Roman"/>
          <w:noProof/>
          <w:color w:val="000000"/>
          <w:szCs w:val="24"/>
          <w:lang w:eastAsia="en-US"/>
        </w:rPr>
        <w:t>(MARTÍNEZ; MARTÍNEZ; DIAZARAQUE, 2011)</w:t>
      </w:r>
      <w:r w:rsidR="00BB4E2C">
        <w:rPr>
          <w:rFonts w:ascii="Times New Roman" w:eastAsia="Calibri" w:hAnsi="Times New Roman"/>
          <w:color w:val="000000"/>
          <w:szCs w:val="24"/>
          <w:lang w:eastAsia="en-US"/>
        </w:rPr>
        <w:fldChar w:fldCharType="end"/>
      </w:r>
      <w:r w:rsidR="006E3F7D" w:rsidRPr="000E5487">
        <w:rPr>
          <w:rFonts w:ascii="Times New Roman" w:eastAsia="Calibri" w:hAnsi="Times New Roman"/>
          <w:color w:val="000000"/>
          <w:szCs w:val="24"/>
          <w:lang w:eastAsia="en-US"/>
        </w:rPr>
        <w:t xml:space="preserve">, </w:t>
      </w:r>
      <w:r w:rsidR="0056595C" w:rsidRPr="000E5487">
        <w:rPr>
          <w:rFonts w:ascii="Times New Roman" w:eastAsia="Calibri" w:hAnsi="Times New Roman"/>
          <w:color w:val="000000"/>
          <w:szCs w:val="24"/>
          <w:lang w:eastAsia="en-US"/>
        </w:rPr>
        <w:t xml:space="preserve"> podem explicar as escolhas contábeis.</w:t>
      </w:r>
    </w:p>
    <w:p w:rsidR="0056595C" w:rsidRPr="000E5487" w:rsidRDefault="00D313C0"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Seguindo a estrutura teórica derivada da Teoria da Escolha Contábil</w:t>
      </w:r>
      <w:r w:rsidR="00363D13"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onde a assimetria de informação, a eficiência contratual (custos de agência) e </w:t>
      </w:r>
      <w:r w:rsidR="00363D13" w:rsidRPr="000E5487">
        <w:rPr>
          <w:rFonts w:ascii="Times New Roman" w:eastAsia="Calibri" w:hAnsi="Times New Roman"/>
          <w:color w:val="000000"/>
          <w:szCs w:val="24"/>
          <w:lang w:eastAsia="en-US"/>
        </w:rPr>
        <w:t>o</w:t>
      </w:r>
      <w:r w:rsidRPr="000E5487">
        <w:rPr>
          <w:rFonts w:ascii="Times New Roman" w:eastAsia="Calibri" w:hAnsi="Times New Roman"/>
          <w:color w:val="000000"/>
          <w:szCs w:val="24"/>
          <w:lang w:eastAsia="en-US"/>
        </w:rPr>
        <w:t xml:space="preserve"> oportunismo gerencial poderiam conduzir a escolha contábil, </w:t>
      </w:r>
      <w:r w:rsidR="00BB4E2C">
        <w:rPr>
          <w:rFonts w:ascii="Times New Roman" w:eastAsia="Calibri" w:hAnsi="Times New Roman"/>
          <w:color w:val="000000"/>
          <w:szCs w:val="24"/>
          <w:lang w:eastAsia="en-US"/>
        </w:rPr>
        <w:fldChar w:fldCharType="begin" w:fldLock="1"/>
      </w:r>
      <w:r w:rsidR="00BB4E2C">
        <w:rPr>
          <w:rFonts w:ascii="Times New Roman" w:eastAsia="Calibri" w:hAnsi="Times New Roman"/>
          <w:color w:val="000000"/>
          <w:szCs w:val="24"/>
          <w:lang w:eastAsia="en-US"/>
        </w:rPr>
        <w:instrText>ADDIN CSL_CITATION {"citationItems":[{"id":"ITEM-1","itemData":{"DOI":"10.1080/09638180.2010.496547","ISBN":"0963-8180","ISSN":"09638180","abstract":"The IFRS mandatory adoption in European countries is an excellent\\ncontext from which to assess the validity of accounting choice theory,\\nwhich postulates that information asymmetry, contractual efficiency\\n(agency costs) and managerial opportunism reasons could drive the\\nchoice. With this aim, we test the impact of these factors to explain\\nthe adoption of fair value for investment properties (IAS 40) in the\\nreal estate industry, taking into account the `revaluation' option\\noffered by IFRS1 and using historical cost without revaluations as a\\nbaseline category for comparison purposes. We select a sample of\\nEuropean real estate companies from Finland, France, Germany, Greece,\\nItaly, Spain and Sweden, all first-time adopters of the IFRS. Using a\\nmultinomial logistic model, we show that information asymmetry,\\ncontractual efficiency and managerial opportunism could account for the\\nfair value choice. Particularly, the most significant findings are that\\nsize as a proxy of political costs reduces the likelihood of using fair\\nvalue while market-to-book ratio is negatively associated with the fair\\nvalue choice. On the other hand, leverage, another typical proxy of\\ncontracting costs, seems not to influence the choice. This evidence\\nconfirms the current validity of traditional accounting choice theory\\neven if it reveals, in such a context, the irrelevance of the usual\\nrelations between accounting choice and leverage.","author":[{"dropping-particle":"","family":"Quagli","given":"A.","non-dropping-particle":"","parse-names":false,"suffix":""},{"dropping-particle":"","family":"Avallone","given":"F.","non-dropping-particle":"","parse-names":false,"suffix":""}],"container-title":"European Accounting Review","id":"ITEM-1","issue":"3","issued":{"date-parts":[["2010"]]},"page":"461-493","title":"Fair value or cost model? Drivers of choice for IAS 40 in the real estate industry","type":"article-journal","volume":"19"},"uris":["http://www.mendeley.com/documents/?uuid=7c29e25a-5a43-45b6-91c2-d5a79b044963"]}],"mendeley":{"formattedCitation":"(QUAGLI; AVALLONE, 2010)","manualFormatting":"Quagli e Avallone (2010)","plainTextFormattedCitation":"(QUAGLI; AVALLONE, 2010)","previouslyFormattedCitation":"(QUAGLI; AVALLONE, 2010)"},"properties":{"noteIndex":0},"schema":"https://github.com/citation-style-language/schema/raw/master/csl-citation.json"}</w:instrText>
      </w:r>
      <w:r w:rsidR="00BB4E2C">
        <w:rPr>
          <w:rFonts w:ascii="Times New Roman" w:eastAsia="Calibri" w:hAnsi="Times New Roman"/>
          <w:color w:val="000000"/>
          <w:szCs w:val="24"/>
          <w:lang w:eastAsia="en-US"/>
        </w:rPr>
        <w:fldChar w:fldCharType="separate"/>
      </w:r>
      <w:r w:rsidR="00BB4E2C" w:rsidRPr="00BB4E2C">
        <w:rPr>
          <w:rFonts w:ascii="Times New Roman" w:eastAsia="Calibri" w:hAnsi="Times New Roman"/>
          <w:noProof/>
          <w:color w:val="000000"/>
          <w:szCs w:val="24"/>
          <w:lang w:eastAsia="en-US"/>
        </w:rPr>
        <w:t>Q</w:t>
      </w:r>
      <w:r w:rsidR="00BB4E2C">
        <w:rPr>
          <w:rFonts w:ascii="Times New Roman" w:eastAsia="Calibri" w:hAnsi="Times New Roman"/>
          <w:noProof/>
          <w:color w:val="000000"/>
          <w:szCs w:val="24"/>
          <w:lang w:eastAsia="en-US"/>
        </w:rPr>
        <w:t>uagli e</w:t>
      </w:r>
      <w:r w:rsidR="00BB4E2C" w:rsidRPr="00BB4E2C">
        <w:rPr>
          <w:rFonts w:ascii="Times New Roman" w:eastAsia="Calibri" w:hAnsi="Times New Roman"/>
          <w:noProof/>
          <w:color w:val="000000"/>
          <w:szCs w:val="24"/>
          <w:lang w:eastAsia="en-US"/>
        </w:rPr>
        <w:t xml:space="preserve"> Avallone </w:t>
      </w:r>
      <w:r w:rsidR="00BB4E2C">
        <w:rPr>
          <w:rFonts w:ascii="Times New Roman" w:eastAsia="Calibri" w:hAnsi="Times New Roman"/>
          <w:noProof/>
          <w:color w:val="000000"/>
          <w:szCs w:val="24"/>
          <w:lang w:eastAsia="en-US"/>
        </w:rPr>
        <w:t>(</w:t>
      </w:r>
      <w:r w:rsidR="00BB4E2C" w:rsidRPr="00BB4E2C">
        <w:rPr>
          <w:rFonts w:ascii="Times New Roman" w:eastAsia="Calibri" w:hAnsi="Times New Roman"/>
          <w:noProof/>
          <w:color w:val="000000"/>
          <w:szCs w:val="24"/>
          <w:lang w:eastAsia="en-US"/>
        </w:rPr>
        <w:t>2010)</w:t>
      </w:r>
      <w:r w:rsidR="00BB4E2C">
        <w:rPr>
          <w:rFonts w:ascii="Times New Roman" w:eastAsia="Calibri" w:hAnsi="Times New Roman"/>
          <w:color w:val="000000"/>
          <w:szCs w:val="24"/>
          <w:lang w:eastAsia="en-US"/>
        </w:rPr>
        <w:fldChar w:fldCharType="end"/>
      </w:r>
      <w:r w:rsidR="00BB4E2C">
        <w:rPr>
          <w:rFonts w:ascii="Times New Roman" w:eastAsia="Calibri" w:hAnsi="Times New Roman"/>
          <w:color w:val="000000"/>
          <w:szCs w:val="24"/>
          <w:lang w:eastAsia="en-US"/>
        </w:rPr>
        <w:t xml:space="preserve"> </w:t>
      </w:r>
      <w:r w:rsidR="00363D13" w:rsidRPr="000E5487">
        <w:rPr>
          <w:rFonts w:ascii="Times New Roman" w:eastAsia="Calibri" w:hAnsi="Times New Roman"/>
          <w:color w:val="000000"/>
          <w:szCs w:val="24"/>
          <w:lang w:eastAsia="en-US"/>
        </w:rPr>
        <w:t>analisaram</w:t>
      </w:r>
      <w:r w:rsidRPr="000E5487">
        <w:rPr>
          <w:rFonts w:ascii="Times New Roman" w:eastAsia="Calibri" w:hAnsi="Times New Roman"/>
          <w:color w:val="000000"/>
          <w:szCs w:val="24"/>
          <w:lang w:eastAsia="en-US"/>
        </w:rPr>
        <w:t xml:space="preserve"> a escolha pelo </w:t>
      </w:r>
      <w:r w:rsidRPr="000E5487">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xml:space="preserve"> ao custo histórico na avaliação das propriedades de investimento (IAS 40) no setor imobiliário europeu. Os resultados mostram que a assimetria de informação, a eficiência contratual e o oportunismo gerencial explicam a escolha pelo </w:t>
      </w:r>
      <w:r w:rsidRPr="000E5487">
        <w:rPr>
          <w:rFonts w:ascii="Times New Roman" w:eastAsia="Calibri" w:hAnsi="Times New Roman"/>
          <w:i/>
          <w:color w:val="000000"/>
          <w:szCs w:val="24"/>
          <w:lang w:eastAsia="en-US"/>
        </w:rPr>
        <w:t>fair value</w:t>
      </w:r>
      <w:r w:rsidRPr="000E5487">
        <w:rPr>
          <w:rFonts w:ascii="Times New Roman" w:hAnsi="Times New Roman"/>
        </w:rPr>
        <w:t xml:space="preserve"> </w:t>
      </w:r>
      <w:r w:rsidR="00BB4E2C">
        <w:rPr>
          <w:rFonts w:ascii="Times New Roman" w:hAnsi="Times New Roman"/>
        </w:rPr>
        <w:fldChar w:fldCharType="begin" w:fldLock="1"/>
      </w:r>
      <w:r w:rsidR="00BB4E2C">
        <w:rPr>
          <w:rFonts w:ascii="Times New Roman" w:hAnsi="Times New Roman"/>
        </w:rPr>
        <w:instrText>ADDIN CSL_CITATION {"citationItems":[{"id":"ITEM-1","itemData":{"DOI":"10.1080/09638180.2010.496547","ISBN":"0963-8180","ISSN":"09638180","abstract":"The IFRS mandatory adoption in European countries is an excellent\\ncontext from which to assess the validity of accounting choice theory,\\nwhich postulates that information asymmetry, contractual efficiency\\n(agency costs) and managerial opportunism reasons could drive the\\nchoice. With this aim, we test the impact of these factors to explain\\nthe adoption of fair value for investment properties (IAS 40) in the\\nreal estate industry, taking into account the `revaluation' option\\noffered by IFRS1 and using historical cost without revaluations as a\\nbaseline category for comparison purposes. We select a sample of\\nEuropean real estate companies from Finland, France, Germany, Greece,\\nItaly, Spain and Sweden, all first-time adopters of the IFRS. Using a\\nmultinomial logistic model, we show that information asymmetry,\\ncontractual efficiency and managerial opportunism could account for the\\nfair value choice. Particularly, the most significant findings are that\\nsize as a proxy of political costs reduces the likelihood of using fair\\nvalue while market-to-book ratio is negatively associated with the fair\\nvalue choice. On the other hand, leverage, another typical proxy of\\ncontracting costs, seems not to influence the choice. This evidence\\nconfirms the current validity of traditional accounting choice theory\\neven if it reveals, in such a context, the irrelevance of the usual\\nrelations between accounting choice and leverage.","author":[{"dropping-particle":"","family":"Quagli","given":"A.","non-dropping-particle":"","parse-names":false,"suffix":""},{"dropping-particle":"","family":"Avallone","given":"F.","non-dropping-particle":"","parse-names":false,"suffix":""}],"container-title":"European Accounting Review","id":"ITEM-1","issue":"3","issued":{"date-parts":[["2010"]]},"page":"461-493","title":"Fair value or cost model? Drivers of choice for IAS 40 in the real estate industry","type":"article-journal","volume":"19"},"uris":["http://www.mendeley.com/documents/?uuid=7c29e25a-5a43-45b6-91c2-d5a79b044963"]}],"mendeley":{"formattedCitation":"(QUAGLI; AVALLONE, 2010)","plainTextFormattedCitation":"(QUAGLI; AVALLONE, 2010)","previouslyFormattedCitation":"(QUAGLI; AVALLONE, 2010)"},"properties":{"noteIndex":0},"schema":"https://github.com/citation-style-language/schema/raw/master/csl-citation.json"}</w:instrText>
      </w:r>
      <w:r w:rsidR="00BB4E2C">
        <w:rPr>
          <w:rFonts w:ascii="Times New Roman" w:hAnsi="Times New Roman"/>
        </w:rPr>
        <w:fldChar w:fldCharType="separate"/>
      </w:r>
      <w:r w:rsidR="00BB4E2C" w:rsidRPr="00BB4E2C">
        <w:rPr>
          <w:rFonts w:ascii="Times New Roman" w:hAnsi="Times New Roman"/>
          <w:noProof/>
        </w:rPr>
        <w:t>(QUAGLI; AVALLONE, 2010)</w:t>
      </w:r>
      <w:r w:rsidR="00BB4E2C">
        <w:rPr>
          <w:rFonts w:ascii="Times New Roman" w:hAnsi="Times New Roman"/>
        </w:rPr>
        <w:fldChar w:fldCharType="end"/>
      </w:r>
      <w:r w:rsidR="00995018" w:rsidRPr="000E5487">
        <w:rPr>
          <w:rFonts w:ascii="Times New Roman" w:eastAsia="Calibri" w:hAnsi="Times New Roman"/>
          <w:color w:val="000000"/>
          <w:szCs w:val="24"/>
          <w:lang w:eastAsia="en-US"/>
        </w:rPr>
        <w:t>, corroborando com os pressupostos tradicionais da teoria</w:t>
      </w:r>
      <w:r w:rsidRPr="000E5487">
        <w:rPr>
          <w:rFonts w:ascii="Times New Roman" w:eastAsia="Calibri" w:hAnsi="Times New Roman"/>
          <w:color w:val="000000"/>
          <w:szCs w:val="24"/>
          <w:lang w:eastAsia="en-US"/>
        </w:rPr>
        <w:t>.</w:t>
      </w:r>
      <w:r w:rsidR="00A8238A" w:rsidRPr="000E5487">
        <w:rPr>
          <w:rFonts w:ascii="Times New Roman" w:eastAsia="Calibri" w:hAnsi="Times New Roman"/>
          <w:color w:val="000000"/>
          <w:szCs w:val="24"/>
          <w:lang w:eastAsia="en-US"/>
        </w:rPr>
        <w:t xml:space="preserve"> Os autores sugerem </w:t>
      </w:r>
      <w:r w:rsidR="00976144" w:rsidRPr="000E5487">
        <w:rPr>
          <w:rFonts w:ascii="Times New Roman" w:eastAsia="Calibri" w:hAnsi="Times New Roman"/>
          <w:color w:val="000000"/>
          <w:szCs w:val="24"/>
          <w:lang w:eastAsia="en-US"/>
        </w:rPr>
        <w:t xml:space="preserve">ainda, </w:t>
      </w:r>
      <w:r w:rsidR="00A8238A" w:rsidRPr="000E5487">
        <w:rPr>
          <w:rFonts w:ascii="Times New Roman" w:eastAsia="Calibri" w:hAnsi="Times New Roman"/>
          <w:color w:val="000000"/>
          <w:szCs w:val="24"/>
          <w:lang w:eastAsia="en-US"/>
        </w:rPr>
        <w:t xml:space="preserve">que o </w:t>
      </w:r>
      <w:r w:rsidR="00A8238A" w:rsidRPr="000E5487">
        <w:rPr>
          <w:rFonts w:ascii="Times New Roman" w:eastAsia="Calibri" w:hAnsi="Times New Roman"/>
          <w:i/>
          <w:color w:val="000000"/>
          <w:szCs w:val="24"/>
          <w:lang w:eastAsia="en-US"/>
        </w:rPr>
        <w:t>background</w:t>
      </w:r>
      <w:r w:rsidR="00A8238A" w:rsidRPr="000E5487">
        <w:rPr>
          <w:rFonts w:ascii="Times New Roman" w:eastAsia="Calibri" w:hAnsi="Times New Roman"/>
          <w:color w:val="000000"/>
          <w:szCs w:val="24"/>
          <w:lang w:eastAsia="en-US"/>
        </w:rPr>
        <w:t xml:space="preserve"> cultural individual dos gestores, o custo da informação e a governança cor</w:t>
      </w:r>
      <w:r w:rsidR="00CB1F8E">
        <w:rPr>
          <w:rFonts w:ascii="Times New Roman" w:eastAsia="Calibri" w:hAnsi="Times New Roman"/>
          <w:color w:val="000000"/>
          <w:szCs w:val="24"/>
          <w:lang w:eastAsia="en-US"/>
        </w:rPr>
        <w:t>p</w:t>
      </w:r>
      <w:r w:rsidR="00A8238A" w:rsidRPr="000E5487">
        <w:rPr>
          <w:rFonts w:ascii="Times New Roman" w:eastAsia="Calibri" w:hAnsi="Times New Roman"/>
          <w:color w:val="000000"/>
          <w:szCs w:val="24"/>
          <w:lang w:eastAsia="en-US"/>
        </w:rPr>
        <w:t>orativa</w:t>
      </w:r>
      <w:r w:rsidR="00EA5320" w:rsidRPr="000E5487">
        <w:rPr>
          <w:rFonts w:ascii="Times New Roman" w:eastAsia="Calibri" w:hAnsi="Times New Roman"/>
          <w:color w:val="000000"/>
          <w:szCs w:val="24"/>
          <w:lang w:eastAsia="en-US"/>
        </w:rPr>
        <w:t xml:space="preserve"> também</w:t>
      </w:r>
      <w:r w:rsidR="00A8238A" w:rsidRPr="000E5487">
        <w:rPr>
          <w:rFonts w:ascii="Times New Roman" w:eastAsia="Calibri" w:hAnsi="Times New Roman"/>
          <w:color w:val="000000"/>
          <w:szCs w:val="24"/>
          <w:lang w:eastAsia="en-US"/>
        </w:rPr>
        <w:t xml:space="preserve"> podem </w:t>
      </w:r>
      <w:r w:rsidR="00EA5320" w:rsidRPr="000E5487">
        <w:rPr>
          <w:rFonts w:ascii="Times New Roman" w:eastAsia="Calibri" w:hAnsi="Times New Roman"/>
          <w:color w:val="000000"/>
          <w:szCs w:val="24"/>
          <w:lang w:eastAsia="en-US"/>
        </w:rPr>
        <w:t>explicar</w:t>
      </w:r>
      <w:r w:rsidR="00A8238A" w:rsidRPr="000E5487">
        <w:rPr>
          <w:rFonts w:ascii="Times New Roman" w:eastAsia="Calibri" w:hAnsi="Times New Roman"/>
          <w:color w:val="000000"/>
          <w:szCs w:val="24"/>
          <w:lang w:eastAsia="en-US"/>
        </w:rPr>
        <w:t xml:space="preserve"> as escolhas contábeis.</w:t>
      </w:r>
    </w:p>
    <w:p w:rsidR="000D0D25" w:rsidRPr="000E5487" w:rsidRDefault="00BB4E2C"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fldChar w:fldCharType="begin" w:fldLock="1"/>
      </w:r>
      <w:r w:rsidR="00ED5C86">
        <w:rPr>
          <w:rFonts w:ascii="Times New Roman" w:eastAsia="Calibri" w:hAnsi="Times New Roman"/>
          <w:color w:val="000000"/>
          <w:szCs w:val="24"/>
          <w:lang w:eastAsia="en-US"/>
        </w:rPr>
        <w:instrText>ADDIN CSL_CITATION {"citationItems":[{"id":"ITEM-1","itemData":{"DOI":"10.1111/j.1835-2561.2012.00203.x","ISSN":"10356908","abstract":"Previous research on the International Financial Reporting Standards\\n(IFRS) policy choices of large listed companies found a very strong\\nassociation between policy choice and country. Nationally based pre-IFRS\\npractices largely explain IFRS policy choices. Nevertheless, some of the\\npolicy choices appear to be influenced from abroad, perhaps chosen in\\norder to increase comparability. It has been suggested that smaller\\ncompanies might be less influenced from abroad, and therefore might\\ndisplay even clearer national profiles of IFRS practice. This paper\\nexamines the accounting policy choices made within IFRS financial\\nstatements by small listed companies in five major countries. We find\\nhighly significant differences between the policies of small and large\\ncompanies. We also find that small companies make more homogeneous\\nchoices, within a country, than large companies do. As a result, the\\npreviously published national profiles of the IFRS practices of large\\ncompanies are misleading in the context of smaller ones.","author":[{"dropping-particle":"","family":"Nobes","given":"Christopher","non-dropping-particle":"","parse-names":false,"suffix":""},{"dropping-particle":"","family":"Perramon","given":"Jordi","non-dropping-particle":"","parse-names":false,"suffix":""}],"container-title":"Australian Accounting Review","id":"ITEM-1","issue":"3","issued":{"date-parts":[["2013"]]},"page":"208-215","title":"Firm size and national profiles of ifrs policy choice","type":"article-journal","volume":"23"},"uris":["http://www.mendeley.com/documents/?uuid=7d9190c0-5370-47d3-aba4-df69c40997f6"]}],"mendeley":{"formattedCitation":"(NOBES; PERRAMON, 2013)","manualFormatting":"Nobes e Perramon (2013)","plainTextFormattedCitation":"(NOBES; PERRAMON, 2013)","previouslyFormattedCitation":"(NOBES; PERRAMON, 2013)"},"properties":{"noteIndex":0},"schema":"https://github.com/citation-style-language/schema/raw/master/csl-citation.json"}</w:instrText>
      </w:r>
      <w:r>
        <w:rPr>
          <w:rFonts w:ascii="Times New Roman" w:eastAsia="Calibri" w:hAnsi="Times New Roman"/>
          <w:color w:val="000000"/>
          <w:szCs w:val="24"/>
          <w:lang w:eastAsia="en-US"/>
        </w:rPr>
        <w:fldChar w:fldCharType="separate"/>
      </w:r>
      <w:r w:rsidRPr="00BB4E2C">
        <w:rPr>
          <w:rFonts w:ascii="Times New Roman" w:eastAsia="Calibri" w:hAnsi="Times New Roman"/>
          <w:noProof/>
          <w:color w:val="000000"/>
          <w:szCs w:val="24"/>
          <w:lang w:eastAsia="en-US"/>
        </w:rPr>
        <w:t>Nobes</w:t>
      </w:r>
      <w:r>
        <w:rPr>
          <w:rFonts w:ascii="Times New Roman" w:eastAsia="Calibri" w:hAnsi="Times New Roman"/>
          <w:noProof/>
          <w:color w:val="000000"/>
          <w:szCs w:val="24"/>
          <w:lang w:eastAsia="en-US"/>
        </w:rPr>
        <w:t xml:space="preserve"> e</w:t>
      </w:r>
      <w:r w:rsidRPr="00BB4E2C">
        <w:rPr>
          <w:rFonts w:ascii="Times New Roman" w:eastAsia="Calibri" w:hAnsi="Times New Roman"/>
          <w:noProof/>
          <w:color w:val="000000"/>
          <w:szCs w:val="24"/>
          <w:lang w:eastAsia="en-US"/>
        </w:rPr>
        <w:t xml:space="preserve"> Perramon </w:t>
      </w:r>
      <w:r>
        <w:rPr>
          <w:rFonts w:ascii="Times New Roman" w:eastAsia="Calibri" w:hAnsi="Times New Roman"/>
          <w:noProof/>
          <w:color w:val="000000"/>
          <w:szCs w:val="24"/>
          <w:lang w:eastAsia="en-US"/>
        </w:rPr>
        <w:t>(</w:t>
      </w:r>
      <w:r w:rsidRPr="00BB4E2C">
        <w:rPr>
          <w:rFonts w:ascii="Times New Roman" w:eastAsia="Calibri" w:hAnsi="Times New Roman"/>
          <w:noProof/>
          <w:color w:val="000000"/>
          <w:szCs w:val="24"/>
          <w:lang w:eastAsia="en-US"/>
        </w:rPr>
        <w:t>2013)</w:t>
      </w:r>
      <w:r>
        <w:rPr>
          <w:rFonts w:ascii="Times New Roman" w:eastAsia="Calibri" w:hAnsi="Times New Roman"/>
          <w:color w:val="000000"/>
          <w:szCs w:val="24"/>
          <w:lang w:eastAsia="en-US"/>
        </w:rPr>
        <w:fldChar w:fldCharType="end"/>
      </w:r>
      <w:r w:rsidR="000D0D25" w:rsidRPr="000E5487">
        <w:rPr>
          <w:rFonts w:ascii="Times New Roman" w:eastAsia="Calibri" w:hAnsi="Times New Roman"/>
          <w:color w:val="000000"/>
          <w:szCs w:val="24"/>
          <w:lang w:eastAsia="en-US"/>
        </w:rPr>
        <w:t xml:space="preserve"> analisaram as escolhas contábeis feitas no contexto das IFRS por empresas da Alemanha, Austrália, Espanha, França e Reino Unido. Os  autores encontraram diferenças altamente significativas entre as políticas e práticas contábeis de pequenas e grandes empresas. As pequenas empresas fazem escolhas mais homogêneas do que as grande</w:t>
      </w:r>
      <w:r w:rsidR="00C25D57">
        <w:rPr>
          <w:rFonts w:ascii="Times New Roman" w:eastAsia="Calibri" w:hAnsi="Times New Roman"/>
          <w:color w:val="000000"/>
          <w:szCs w:val="24"/>
          <w:lang w:eastAsia="en-US"/>
        </w:rPr>
        <w:t>s</w:t>
      </w:r>
      <w:r w:rsidR="000D0D25" w:rsidRPr="000E5487">
        <w:rPr>
          <w:rFonts w:ascii="Times New Roman" w:eastAsia="Calibri" w:hAnsi="Times New Roman"/>
          <w:color w:val="000000"/>
          <w:szCs w:val="24"/>
          <w:lang w:eastAsia="en-US"/>
        </w:rPr>
        <w:t xml:space="preserve">, demonstrando que o tamanho da empresa influencia as escolhas contábeis </w:t>
      </w:r>
      <w:r w:rsidR="00ED5C86">
        <w:rPr>
          <w:rFonts w:ascii="Times New Roman" w:eastAsia="Calibri" w:hAnsi="Times New Roman"/>
          <w:color w:val="000000"/>
          <w:szCs w:val="24"/>
          <w:lang w:eastAsia="en-US"/>
        </w:rPr>
        <w:fldChar w:fldCharType="begin" w:fldLock="1"/>
      </w:r>
      <w:r w:rsidR="00220D37">
        <w:rPr>
          <w:rFonts w:ascii="Times New Roman" w:eastAsia="Calibri" w:hAnsi="Times New Roman"/>
          <w:color w:val="000000"/>
          <w:szCs w:val="24"/>
          <w:lang w:eastAsia="en-US"/>
        </w:rPr>
        <w:instrText>ADDIN CSL_CITATION {"citationItems":[{"id":"ITEM-1","itemData":{"DOI":"10.1111/j.1835-2561.2012.00203.x","ISSN":"10356908","abstract":"Previous research on the International Financial Reporting Standards\\n(IFRS) policy choices of large listed companies found a very strong\\nassociation between policy choice and country. Nationally based pre-IFRS\\npractices largely explain IFRS policy choices. Nevertheless, some of the\\npolicy choices appear to be influenced from abroad, perhaps chosen in\\norder to increase comparability. It has been suggested that smaller\\ncompanies might be less influenced from abroad, and therefore might\\ndisplay even clearer national profiles of IFRS practice. This paper\\nexamines the accounting policy choices made within IFRS financial\\nstatements by small listed companies in five major countries. We find\\nhighly significant differences between the policies of small and large\\ncompanies. We also find that small companies make more homogeneous\\nchoices, within a country, than large companies do. As a result, the\\npreviously published national profiles of the IFRS practices of large\\ncompanies are misleading in the context of smaller ones.","author":[{"dropping-particle":"","family":"Nobes","given":"Christopher","non-dropping-particle":"","parse-names":false,"suffix":""},{"dropping-particle":"","family":"Perramon","given":"Jordi","non-dropping-particle":"","parse-names":false,"suffix":""}],"container-title":"Australian Accounting Review","id":"ITEM-1","issue":"3","issued":{"date-parts":[["2013"]]},"page":"208-215","title":"Firm size and national profiles of ifrs policy choice","type":"article-journal","volume":"23"},"uris":["http://www.mendeley.com/documents/?uuid=7d9190c0-5370-47d3-aba4-df69c40997f6"]}],"mendeley":{"formattedCitation":"(NOBES; PERRAMON, 2013)","plainTextFormattedCitation":"(NOBES; PERRAMON, 2013)","previouslyFormattedCitation":"(NOBES; PERRAMON, 2013)"},"properties":{"noteIndex":0},"schema":"https://github.com/citation-style-language/schema/raw/master/csl-citation.json"}</w:instrText>
      </w:r>
      <w:r w:rsidR="00ED5C86">
        <w:rPr>
          <w:rFonts w:ascii="Times New Roman" w:eastAsia="Calibri" w:hAnsi="Times New Roman"/>
          <w:color w:val="000000"/>
          <w:szCs w:val="24"/>
          <w:lang w:eastAsia="en-US"/>
        </w:rPr>
        <w:fldChar w:fldCharType="separate"/>
      </w:r>
      <w:r w:rsidR="00ED5C86" w:rsidRPr="00ED5C86">
        <w:rPr>
          <w:rFonts w:ascii="Times New Roman" w:eastAsia="Calibri" w:hAnsi="Times New Roman"/>
          <w:noProof/>
          <w:color w:val="000000"/>
          <w:szCs w:val="24"/>
          <w:lang w:eastAsia="en-US"/>
        </w:rPr>
        <w:t>(NOBES; PERRAMON, 2013)</w:t>
      </w:r>
      <w:r w:rsidR="00ED5C86">
        <w:rPr>
          <w:rFonts w:ascii="Times New Roman" w:eastAsia="Calibri" w:hAnsi="Times New Roman"/>
          <w:color w:val="000000"/>
          <w:szCs w:val="24"/>
          <w:lang w:eastAsia="en-US"/>
        </w:rPr>
        <w:fldChar w:fldCharType="end"/>
      </w:r>
      <w:r w:rsidR="000D0D25" w:rsidRPr="000E5487">
        <w:rPr>
          <w:rFonts w:ascii="Times New Roman" w:eastAsia="Calibri" w:hAnsi="Times New Roman"/>
          <w:color w:val="000000"/>
          <w:szCs w:val="24"/>
          <w:lang w:eastAsia="en-US"/>
        </w:rPr>
        <w:t>.</w:t>
      </w:r>
    </w:p>
    <w:p w:rsidR="004A6C75" w:rsidRPr="000E5487" w:rsidRDefault="00220D37"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fldChar w:fldCharType="begin" w:fldLock="1"/>
      </w:r>
      <w:r w:rsidR="005B61AC">
        <w:rPr>
          <w:rFonts w:ascii="Times New Roman" w:eastAsia="Calibri" w:hAnsi="Times New Roman"/>
          <w:color w:val="000000"/>
          <w:szCs w:val="24"/>
          <w:lang w:eastAsia="en-US"/>
        </w:rPr>
        <w:instrText>ADDIN CSL_CITATION {"citationItems":[{"id":"ITEM-1","itemData":{"DOI":"10.1016/j.cpa.2013.03.005","ISBN":"1045-2354","ISSN":"10959955","abstract":"We investigate the translation and application of global accounting standards in a local context, with Romania as our country case study. Our theoretical framework is derived from institutional theory. We develop this by complementing isomorphism (. DiMaggio and Powell, 1983) with an emphasis on the behavior of actors and with the different strategic responses that organizations enact as a result of the institutional pressures toward conformity, following Oliver (1991). We contend that local actors play a more important role in triggering organizational responses than is implied by Oliver's (1991) framework in the application of International Financial Reporting Standards (IFRS). This is because organizational responses to these global standards are conditioned by the interplay between actors, who are searching for legitimacy and the attainment of their own (mutually conflicting) interests.Contrary to earlier institutional propositions, we find that acquiescence strategies may occur even when there is a great degree of constituent multiplicity, and that avoidance may occur in entities with a smaller degree of multiplicity. We thus argue that countries are not homogeneous in terms of accounting practices. Finally we suggest that intra-organizational interests and actions are important for IFRS implementation, and future research should investigate this in depth.","author":[{"dropping-particle":"","family":"Albu","given":"Cătălin Nicolae","non-dropping-particle":"","parse-names":false,"suffix":""},{"dropping-particle":"","family":"Albu","given":"Nadia","non-dropping-particle":"","parse-names":false,"suffix":""},{"dropping-particle":"","family":"Alexander","given":"David","non-dropping-particle":"","parse-names":false,"suffix":""}],"container-title":"Critical Perspectives on Accounting","id":"ITEM-1","issue":"6","issued":{"date-parts":[["2014"]]},"page":"489-510","title":"When global accounting standards meet the local context-Insights from an emerging economy","type":"article-journal","volume":"25"},"uris":["http://www.mendeley.com/documents/?uuid=18f3c0cf-2c31-4694-bd9e-280d5b75d5a0"]}],"mendeley":{"formattedCitation":"(ALBU; ALBU; ALEXANDER, 2014)","manualFormatting":"Albu, Albu e Alexander (2014)","plainTextFormattedCitation":"(ALBU; ALBU; ALEXANDER, 2014)","previouslyFormattedCitation":"(ALBU; ALBU; ALEXANDER, 2014)"},"properties":{"noteIndex":0},"schema":"https://github.com/citation-style-language/schema/raw/master/csl-citation.json"}</w:instrText>
      </w:r>
      <w:r>
        <w:rPr>
          <w:rFonts w:ascii="Times New Roman" w:eastAsia="Calibri" w:hAnsi="Times New Roman"/>
          <w:color w:val="000000"/>
          <w:szCs w:val="24"/>
          <w:lang w:eastAsia="en-US"/>
        </w:rPr>
        <w:fldChar w:fldCharType="separate"/>
      </w:r>
      <w:r w:rsidRPr="00220D37">
        <w:rPr>
          <w:rFonts w:ascii="Times New Roman" w:eastAsia="Calibri" w:hAnsi="Times New Roman"/>
          <w:noProof/>
          <w:color w:val="000000"/>
          <w:szCs w:val="24"/>
          <w:lang w:eastAsia="en-US"/>
        </w:rPr>
        <w:t>Albu</w:t>
      </w:r>
      <w:r>
        <w:rPr>
          <w:rFonts w:ascii="Times New Roman" w:eastAsia="Calibri" w:hAnsi="Times New Roman"/>
          <w:noProof/>
          <w:color w:val="000000"/>
          <w:szCs w:val="24"/>
          <w:lang w:eastAsia="en-US"/>
        </w:rPr>
        <w:t>,</w:t>
      </w:r>
      <w:r w:rsidRPr="00220D37">
        <w:rPr>
          <w:rFonts w:ascii="Times New Roman" w:eastAsia="Calibri" w:hAnsi="Times New Roman"/>
          <w:noProof/>
          <w:color w:val="000000"/>
          <w:szCs w:val="24"/>
          <w:lang w:eastAsia="en-US"/>
        </w:rPr>
        <w:t xml:space="preserve"> Albu</w:t>
      </w:r>
      <w:r>
        <w:rPr>
          <w:rFonts w:ascii="Times New Roman" w:eastAsia="Calibri" w:hAnsi="Times New Roman"/>
          <w:noProof/>
          <w:color w:val="000000"/>
          <w:szCs w:val="24"/>
          <w:lang w:eastAsia="en-US"/>
        </w:rPr>
        <w:t xml:space="preserve"> e</w:t>
      </w:r>
      <w:r w:rsidRPr="00220D37">
        <w:rPr>
          <w:rFonts w:ascii="Times New Roman" w:eastAsia="Calibri" w:hAnsi="Times New Roman"/>
          <w:noProof/>
          <w:color w:val="000000"/>
          <w:szCs w:val="24"/>
          <w:lang w:eastAsia="en-US"/>
        </w:rPr>
        <w:t xml:space="preserve"> Alexander </w:t>
      </w:r>
      <w:r>
        <w:rPr>
          <w:rFonts w:ascii="Times New Roman" w:eastAsia="Calibri" w:hAnsi="Times New Roman"/>
          <w:noProof/>
          <w:color w:val="000000"/>
          <w:szCs w:val="24"/>
          <w:lang w:eastAsia="en-US"/>
        </w:rPr>
        <w:t>(</w:t>
      </w:r>
      <w:r w:rsidRPr="00220D37">
        <w:rPr>
          <w:rFonts w:ascii="Times New Roman" w:eastAsia="Calibri" w:hAnsi="Times New Roman"/>
          <w:noProof/>
          <w:color w:val="000000"/>
          <w:szCs w:val="24"/>
          <w:lang w:eastAsia="en-US"/>
        </w:rPr>
        <w:t>2014)</w:t>
      </w:r>
      <w:r>
        <w:rPr>
          <w:rFonts w:ascii="Times New Roman" w:eastAsia="Calibri" w:hAnsi="Times New Roman"/>
          <w:color w:val="000000"/>
          <w:szCs w:val="24"/>
          <w:lang w:eastAsia="en-US"/>
        </w:rPr>
        <w:fldChar w:fldCharType="end"/>
      </w:r>
      <w:r w:rsidR="00DC10C8" w:rsidRPr="000E5487">
        <w:rPr>
          <w:rFonts w:ascii="Times New Roman" w:eastAsia="Calibri" w:hAnsi="Times New Roman"/>
          <w:color w:val="000000"/>
          <w:szCs w:val="24"/>
          <w:lang w:eastAsia="en-US"/>
        </w:rPr>
        <w:t xml:space="preserve"> realizaram u</w:t>
      </w:r>
      <w:r w:rsidR="005A79A2" w:rsidRPr="000E5487">
        <w:rPr>
          <w:rFonts w:ascii="Times New Roman" w:eastAsia="Calibri" w:hAnsi="Times New Roman"/>
          <w:color w:val="000000"/>
          <w:szCs w:val="24"/>
          <w:lang w:eastAsia="en-US"/>
        </w:rPr>
        <w:t>ma análise multifacetada da implementação e aplicação das IFRS</w:t>
      </w:r>
      <w:r w:rsidR="00DC10C8" w:rsidRPr="000E5487">
        <w:rPr>
          <w:rFonts w:ascii="Times New Roman" w:eastAsia="Calibri" w:hAnsi="Times New Roman"/>
          <w:color w:val="000000"/>
          <w:szCs w:val="24"/>
          <w:lang w:eastAsia="en-US"/>
        </w:rPr>
        <w:t xml:space="preserve">, considerando que as questões envolvidas </w:t>
      </w:r>
      <w:r w:rsidR="005A79A2" w:rsidRPr="000E5487">
        <w:rPr>
          <w:rFonts w:ascii="Times New Roman" w:eastAsia="Calibri" w:hAnsi="Times New Roman"/>
          <w:color w:val="000000"/>
          <w:szCs w:val="24"/>
          <w:lang w:eastAsia="en-US"/>
        </w:rPr>
        <w:t>são sociais, subjetivas e sobre pessoas</w:t>
      </w:r>
      <w:r w:rsidR="00DC10C8" w:rsidRPr="000E5487">
        <w:rPr>
          <w:rFonts w:ascii="Times New Roman" w:eastAsia="Calibri" w:hAnsi="Times New Roman"/>
          <w:color w:val="000000"/>
          <w:szCs w:val="24"/>
          <w:lang w:eastAsia="en-US"/>
        </w:rPr>
        <w:t>. As respostas estratégicas dos profissionais contábeis às pressões para implementação da IFRS</w:t>
      </w:r>
      <w:r w:rsidR="00C61858" w:rsidRPr="000E5487">
        <w:rPr>
          <w:rFonts w:ascii="Times New Roman" w:eastAsia="Calibri" w:hAnsi="Times New Roman"/>
          <w:color w:val="000000"/>
          <w:szCs w:val="24"/>
          <w:lang w:eastAsia="en-US"/>
        </w:rPr>
        <w:t>,</w:t>
      </w:r>
      <w:r w:rsidR="00DC10C8" w:rsidRPr="000E5487">
        <w:rPr>
          <w:rFonts w:ascii="Times New Roman" w:eastAsia="Calibri" w:hAnsi="Times New Roman"/>
          <w:color w:val="000000"/>
          <w:szCs w:val="24"/>
          <w:lang w:eastAsia="en-US"/>
        </w:rPr>
        <w:t xml:space="preserve"> envolvem casos de aquiescência (resultante da obediência consciente e total apoio ao processo), comprometimento (resultante do equilíbrio e barganha de interesses conflitantes), esquiva (na forma de conformidade aparente, isto é, evitando a exigência regulatória de aplicar as IFRS), e manipulação de resultados e escolhas contábeis</w:t>
      </w:r>
      <w:r w:rsidR="00C61858" w:rsidRPr="000E5487">
        <w:rPr>
          <w:rFonts w:ascii="Times New Roman" w:eastAsia="Calibri" w:hAnsi="Times New Roman"/>
          <w:color w:val="000000"/>
          <w:szCs w:val="24"/>
          <w:lang w:eastAsia="en-US"/>
        </w:rPr>
        <w:t xml:space="preserve"> </w:t>
      </w:r>
      <w:r w:rsidR="00C61858" w:rsidRPr="000E5487">
        <w:rPr>
          <w:rFonts w:ascii="Times New Roman" w:eastAsia="Calibri" w:hAnsi="Times New Roman"/>
          <w:color w:val="000000"/>
          <w:szCs w:val="24"/>
          <w:lang w:eastAsia="en-US"/>
        </w:rPr>
        <w:fldChar w:fldCharType="begin" w:fldLock="1"/>
      </w:r>
      <w:r w:rsidR="005B61AC">
        <w:rPr>
          <w:rFonts w:ascii="Times New Roman" w:eastAsia="Calibri" w:hAnsi="Times New Roman"/>
          <w:color w:val="000000"/>
          <w:szCs w:val="24"/>
          <w:lang w:eastAsia="en-US"/>
        </w:rPr>
        <w:instrText>ADDIN CSL_CITATION {"citationItems":[{"id":"ITEM-1","itemData":{"DOI":"10.1016/j.cpa.2013.03.005","ISBN":"1045-2354","ISSN":"10959955","abstract":"We investigate the translation and application of global accounting standards in a local context, with Romania as our country case study. Our theoretical framework is derived from institutional theory. We develop this by complementing isomorphism (. DiMaggio and Powell, 1983) with an emphasis on the behavior of actors and with the different strategic responses that organizations enact as a result of the institutional pressures toward conformity, following Oliver (1991). We contend that local actors play a more important role in triggering organizational responses than is implied by Oliver's (1991) framework in the application of International Financial Reporting Standards (IFRS). This is because organizational responses to these global standards are conditioned by the interplay between actors, who are searching for legitimacy and the attainment of their own (mutually conflicting) interests.Contrary to earlier institutional propositions, we find that acquiescence strategies may occur even when there is a great degree of constituent multiplicity, and that avoidance may occur in entities with a smaller degree of multiplicity. We thus argue that countries are not homogeneous in terms of accounting practices. Finally we suggest that intra-organizational interests and actions are important for IFRS implementation, and future research should investigate this in depth.","author":[{"dropping-particle":"","family":"Albu","given":"Cătălin Nicolae","non-dropping-particle":"","parse-names":false,"suffix":""},{"dropping-particle":"","family":"Albu","given":"Nadia","non-dropping-particle":"","parse-names":false,"suffix":""},{"dropping-particle":"","family":"Alexander","given":"David","non-dropping-particle":"","parse-names":false,"suffix":""}],"container-title":"Critical Perspectives on Accounting","id":"ITEM-1","issue":"6","issued":{"date-parts":[["2014"]]},"page":"489-510","title":"When global accounting standards meet the local context-Insights from an emerging economy","type":"article-journal","volume":"25"},"uris":["http://www.mendeley.com/documents/?uuid=18f3c0cf-2c31-4694-bd9e-280d5b75d5a0"]}],"mendeley":{"formattedCitation":"(ALBU; ALBU; ALEXANDER, 2014)","plainTextFormattedCitation":"(ALBU; ALBU; ALEXANDER, 2014)","previouslyFormattedCitation":"(ALBU; ALBU; ALEXANDER, 2014)"},"properties":{"noteIndex":0},"schema":"https://github.com/citation-style-language/schema/raw/master/csl-citation.json"}</w:instrText>
      </w:r>
      <w:r w:rsidR="00C61858" w:rsidRPr="000E5487">
        <w:rPr>
          <w:rFonts w:ascii="Times New Roman" w:eastAsia="Calibri" w:hAnsi="Times New Roman"/>
          <w:color w:val="000000"/>
          <w:szCs w:val="24"/>
          <w:lang w:eastAsia="en-US"/>
        </w:rPr>
        <w:fldChar w:fldCharType="separate"/>
      </w:r>
      <w:r w:rsidR="005B61AC" w:rsidRPr="005B61AC">
        <w:rPr>
          <w:rFonts w:ascii="Times New Roman" w:eastAsia="Calibri" w:hAnsi="Times New Roman"/>
          <w:noProof/>
          <w:color w:val="000000"/>
          <w:szCs w:val="24"/>
          <w:lang w:eastAsia="en-US"/>
        </w:rPr>
        <w:t>(ALBU; ALBU; ALEXANDER, 2014)</w:t>
      </w:r>
      <w:r w:rsidR="00C61858" w:rsidRPr="000E5487">
        <w:rPr>
          <w:rFonts w:ascii="Times New Roman" w:eastAsia="Calibri" w:hAnsi="Times New Roman"/>
          <w:color w:val="000000"/>
          <w:szCs w:val="24"/>
          <w:lang w:eastAsia="en-US"/>
        </w:rPr>
        <w:fldChar w:fldCharType="end"/>
      </w:r>
      <w:r w:rsidR="00DC10C8" w:rsidRPr="000E5487">
        <w:rPr>
          <w:rFonts w:ascii="Times New Roman" w:eastAsia="Calibri" w:hAnsi="Times New Roman"/>
          <w:color w:val="000000"/>
          <w:szCs w:val="24"/>
          <w:lang w:eastAsia="en-US"/>
        </w:rPr>
        <w:t xml:space="preserve">. Esse cenário demonstra a importância e o impacto dos atores sociais na implementação de normas e políticas contábeis, </w:t>
      </w:r>
      <w:r w:rsidR="00A2593E" w:rsidRPr="000E5487">
        <w:rPr>
          <w:rFonts w:ascii="Times New Roman" w:eastAsia="Calibri" w:hAnsi="Times New Roman"/>
          <w:color w:val="000000"/>
          <w:szCs w:val="24"/>
          <w:lang w:eastAsia="en-US"/>
        </w:rPr>
        <w:t>sendo a experiência limitada com certos tipos de transações</w:t>
      </w:r>
      <w:r w:rsidR="002445A2" w:rsidRPr="000E5487">
        <w:rPr>
          <w:rFonts w:ascii="Times New Roman" w:eastAsia="Calibri" w:hAnsi="Times New Roman"/>
          <w:color w:val="000000"/>
          <w:szCs w:val="24"/>
          <w:lang w:eastAsia="en-US"/>
        </w:rPr>
        <w:t>,</w:t>
      </w:r>
      <w:r w:rsidR="00A2593E" w:rsidRPr="000E5487">
        <w:rPr>
          <w:rFonts w:ascii="Times New Roman" w:eastAsia="Calibri" w:hAnsi="Times New Roman"/>
          <w:color w:val="000000"/>
          <w:szCs w:val="24"/>
          <w:lang w:eastAsia="en-US"/>
        </w:rPr>
        <w:t xml:space="preserve"> uma barreira para adoção das IFRS</w:t>
      </w:r>
      <w:r w:rsidR="00D16BE4" w:rsidRPr="000E5487">
        <w:rPr>
          <w:rFonts w:ascii="Times New Roman" w:eastAsia="Calibri" w:hAnsi="Times New Roman"/>
          <w:color w:val="000000"/>
          <w:szCs w:val="24"/>
          <w:lang w:eastAsia="en-US"/>
        </w:rPr>
        <w:t>,</w:t>
      </w:r>
      <w:r w:rsidR="00A2593E" w:rsidRPr="000E5487">
        <w:rPr>
          <w:rFonts w:ascii="Times New Roman" w:eastAsia="Calibri" w:hAnsi="Times New Roman"/>
          <w:color w:val="000000"/>
          <w:szCs w:val="24"/>
          <w:lang w:eastAsia="en-US"/>
        </w:rPr>
        <w:t xml:space="preserve"> refletindo nas escolhas contábeis </w:t>
      </w:r>
      <w:r w:rsidR="00A2593E" w:rsidRPr="000E5487">
        <w:rPr>
          <w:rFonts w:ascii="Times New Roman" w:eastAsia="Calibri" w:hAnsi="Times New Roman"/>
          <w:color w:val="000000"/>
          <w:szCs w:val="24"/>
          <w:lang w:eastAsia="en-US"/>
        </w:rPr>
        <w:fldChar w:fldCharType="begin" w:fldLock="1"/>
      </w:r>
      <w:r w:rsidR="00220C3E">
        <w:rPr>
          <w:rFonts w:ascii="Times New Roman" w:eastAsia="Calibri" w:hAnsi="Times New Roman"/>
          <w:color w:val="000000"/>
          <w:szCs w:val="24"/>
          <w:lang w:eastAsia="en-US"/>
        </w:rPr>
        <w:instrText>ADDIN CSL_CITATION {"citationItems":[{"id":"ITEM-1","itemData":{"DOI":"10.1016/j.intaccaudtax.2004.09.002","ISBN":"10619518","ISSN":"10619518","abstract":"The International Accounting Standards Board (IASB) acquired greater legitimacy and stature when the European Union (EU) decided to require all listed companies to prepare consolidated accounts based on International Financial Reporting Standards (IFRS) beginning in 2005. This study examines the progress and perceived impediments to convergence in 17 European countries directly affected by the EU's decision. These include: (1) the 10 new EU member countries, (2) EU candidate countries, (3) European Economic Area (EEA) countries, and (4) Switzerland. We utilize data collected by the six largest international accounting firms during their 2002 convergence survey. Additionally, we analyze subsequent events and studies. While all surveyed countries will either require or effectively allow listed companies to prepare consolidated financial statements in accordance with IFRS by 2005, few are expected to require IFRS for non-listed companies. This suggests the development of a \"two-standard\" system. The two most significant impediments to convergence identified by the survey appear to be the complicated nature of particular IFRS (including financial instruments) and the tax-orientation of many national accounting systems. Other barriers to convergence include underdeveloped national capital markets, insufficient guidance on first-time application of IFRS, and limited experience with certain types of transactions (e.g. pensions). © 2004 Elsevier Inc. All rights reserved.","author":[{"dropping-particle":"","family":"Larson","given":"Robert K.","non-dropping-particle":"","parse-names":false,"suffix":""},{"dropping-particle":"","family":"Street","given":"Donna L.","non-dropping-particle":"","parse-names":false,"suffix":""}],"container-title":"Journal of International Accounting, Auditing and Taxation","id":"ITEM-1","issue":"2","issued":{"date-parts":[["2004"]]},"page":"89-119","title":"Convergence with IFRS in an expanding Europe: Progress and obstacles identified by large accounting firms' survey","type":"article-journal","volume":"13"},"uris":["http://www.mendeley.com/documents/?uuid=dff3d5a5-4723-4db0-ac3a-188a7d63882a"]}],"mendeley":{"formattedCitation":"(LARSON; STREET, 2004)","plainTextFormattedCitation":"(LARSON; STREET, 2004)","previouslyFormattedCitation":"(LARSON; STREET, 2004)"},"properties":{"noteIndex":0},"schema":"https://github.com/citation-style-language/schema/raw/master/csl-citation.json"}</w:instrText>
      </w:r>
      <w:r w:rsidR="00A2593E" w:rsidRPr="000E5487">
        <w:rPr>
          <w:rFonts w:ascii="Times New Roman" w:eastAsia="Calibri" w:hAnsi="Times New Roman"/>
          <w:color w:val="000000"/>
          <w:szCs w:val="24"/>
          <w:lang w:eastAsia="en-US"/>
        </w:rPr>
        <w:fldChar w:fldCharType="separate"/>
      </w:r>
      <w:r w:rsidR="00220C3E" w:rsidRPr="00220C3E">
        <w:rPr>
          <w:rFonts w:ascii="Times New Roman" w:eastAsia="Calibri" w:hAnsi="Times New Roman"/>
          <w:noProof/>
          <w:color w:val="000000"/>
          <w:szCs w:val="24"/>
          <w:lang w:eastAsia="en-US"/>
        </w:rPr>
        <w:t>(LARSON; STREET, 2004)</w:t>
      </w:r>
      <w:r w:rsidR="00A2593E" w:rsidRPr="000E5487">
        <w:rPr>
          <w:rFonts w:ascii="Times New Roman" w:eastAsia="Calibri" w:hAnsi="Times New Roman"/>
          <w:color w:val="000000"/>
          <w:szCs w:val="24"/>
          <w:lang w:eastAsia="en-US"/>
        </w:rPr>
        <w:fldChar w:fldCharType="end"/>
      </w:r>
      <w:r w:rsidR="005A3956" w:rsidRPr="000E5487">
        <w:rPr>
          <w:rFonts w:ascii="Times New Roman" w:eastAsia="Calibri" w:hAnsi="Times New Roman"/>
          <w:color w:val="000000"/>
          <w:szCs w:val="24"/>
          <w:lang w:eastAsia="en-US"/>
        </w:rPr>
        <w:t>.</w:t>
      </w:r>
    </w:p>
    <w:p w:rsidR="00DE4E1B" w:rsidRPr="000E5487" w:rsidRDefault="003C49A8"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A discricionariedade das escolhas contábeis é necessária, pois, numa perspectiva global, o ambiente empresarial possui diferentes características (sociais, econômicas, éticas, morais, entre outras) e diferentes estágios de desenvolvimento de seus sistemas legais, tributários, regulatórios e institucionais </w:t>
      </w:r>
      <w:r w:rsidR="00220C3E">
        <w:rPr>
          <w:rFonts w:ascii="Times New Roman" w:eastAsia="Calibri" w:hAnsi="Times New Roman"/>
          <w:color w:val="000000"/>
          <w:szCs w:val="24"/>
          <w:lang w:eastAsia="en-US"/>
        </w:rPr>
        <w:fldChar w:fldCharType="begin" w:fldLock="1"/>
      </w:r>
      <w:r w:rsidR="00220C3E">
        <w:rPr>
          <w:rFonts w:ascii="Times New Roman" w:eastAsia="Calibri" w:hAnsi="Times New Roman"/>
          <w:color w:val="000000"/>
          <w:szCs w:val="24"/>
          <w:lang w:eastAsia="en-US"/>
        </w:rPr>
        <w:instrText>ADDIN CSL_CITATION {"citationItems":[{"id":"ITEM-1","itemData":{"DOI":"10.1080/00014788.2013.770644","ISBN":"0001-4788\\r2159-4260","ISSN":"00014788","abstract":"The claimed starting point for much recent literature is that International Financial Reporting Standards (IFRS) have been very widely adopted. That is somewhere between an error and a misleading simplification. This paper begins by providing an antidote by analysing the degree to which IFRS have not been adopted in the jurisdictions containing the world's largest 16 stock markets. This might help researchers with their institutional settings. The paper then examines several issues which can lead to international differences in IFRS practice, starting with language and enforcement, but focusing mainly on policy options. Previously published lists of these are up-dated, the extensive recent literature on IFRS policy choice and policy change is synthesised, and new data are provided. Finally, researchers are offered some lessons from the past and some directions for the future.","author":[{"dropping-particle":"","family":"Nobes","given":"Christopher","non-dropping-particle":"","parse-names":false,"suffix":""}],"container-title":"Accounting and Business Research","id":"ITEM-1","issue":"2","issued":{"date-parts":[["2013"]]},"page":"83-111","title":"The continued survival of international differences under IFRS","type":"article-journal","volume":"43"},"uris":["http://www.mendeley.com/documents/?uuid=35764312-ea13-42f4-8dd4-06a96fba6562"]}],"mendeley":{"formattedCitation":"(NOBES, 2013)","plainTextFormattedCitation":"(NOBES, 2013)","previouslyFormattedCitation":"(NOBES, 2013)"},"properties":{"noteIndex":0},"schema":"https://github.com/citation-style-language/schema/raw/master/csl-citation.json"}</w:instrText>
      </w:r>
      <w:r w:rsidR="00220C3E">
        <w:rPr>
          <w:rFonts w:ascii="Times New Roman" w:eastAsia="Calibri" w:hAnsi="Times New Roman"/>
          <w:color w:val="000000"/>
          <w:szCs w:val="24"/>
          <w:lang w:eastAsia="en-US"/>
        </w:rPr>
        <w:fldChar w:fldCharType="separate"/>
      </w:r>
      <w:r w:rsidR="00220C3E" w:rsidRPr="00220C3E">
        <w:rPr>
          <w:rFonts w:ascii="Times New Roman" w:eastAsia="Calibri" w:hAnsi="Times New Roman"/>
          <w:noProof/>
          <w:color w:val="000000"/>
          <w:szCs w:val="24"/>
          <w:lang w:eastAsia="en-US"/>
        </w:rPr>
        <w:t>(NOBES, 2013)</w:t>
      </w:r>
      <w:r w:rsidR="00220C3E">
        <w:rPr>
          <w:rFonts w:ascii="Times New Roman" w:eastAsia="Calibri" w:hAnsi="Times New Roman"/>
          <w:color w:val="000000"/>
          <w:szCs w:val="24"/>
          <w:lang w:eastAsia="en-US"/>
        </w:rPr>
        <w:fldChar w:fldCharType="end"/>
      </w:r>
      <w:r w:rsidRPr="000E5487">
        <w:rPr>
          <w:rFonts w:ascii="Times New Roman" w:eastAsia="Calibri" w:hAnsi="Times New Roman"/>
          <w:color w:val="000000"/>
          <w:szCs w:val="24"/>
          <w:lang w:eastAsia="en-US"/>
        </w:rPr>
        <w:t xml:space="preserve">, além das circunstâncias de negócio que podem demandar múltiplos tratamentos contábeis </w:t>
      </w:r>
      <w:r w:rsidR="00220C3E">
        <w:rPr>
          <w:rFonts w:ascii="Times New Roman" w:eastAsia="Calibri" w:hAnsi="Times New Roman"/>
          <w:color w:val="000000"/>
          <w:szCs w:val="24"/>
          <w:lang w:eastAsia="en-US"/>
        </w:rPr>
        <w:fldChar w:fldCharType="begin" w:fldLock="1"/>
      </w:r>
      <w:r w:rsidR="00403D15">
        <w:rPr>
          <w:rFonts w:ascii="Times New Roman" w:eastAsia="Calibri" w:hAnsi="Times New Roman"/>
          <w:color w:val="000000"/>
          <w:szCs w:val="24"/>
          <w:lang w:eastAsia="en-US"/>
        </w:rPr>
        <w:instrText>ADDIN CSL_CITATION {"citationItems":[{"id":"ITEM-1","itemData":{"DOI":"10.1111/j.1467-6281.2007.00224.x","ISBN":"0001-3072\\r1467-6281","ISSN":"00013072","abstract":"http://dx.doi.org/10.1111/j.1467-6281.2007.00224.x","author":[{"dropping-particle":"","family":"Jaafar","given":"Aziz","non-dropping-particle":"","parse-names":false,"suffix":""},{"dropping-particle":"","family":"McLeay","given":"Stuart","non-dropping-particle":"","parse-names":false,"suffix":""}],"container-title":"Abacus","id":"ITEM-1","issue":"2","issued":{"date-parts":[["2007"]]},"page":"156-189","title":"Country effects and sector effects on the harmonization of accounting policy choice","type":"article-journal","volume":"43"},"uris":["http://www.mendeley.com/documents/?uuid=45485e87-23bc-4924-8f7a-585691313480"]}],"mendeley":{"formattedCitation":"(JAAFAR; MCLEAY, 2007)","plainTextFormattedCitation":"(JAAFAR; MCLEAY, 2007)","previouslyFormattedCitation":"(JAAFAR; MCLEAY, 2007)"},"properties":{"noteIndex":0},"schema":"https://github.com/citation-style-language/schema/raw/master/csl-citation.json"}</w:instrText>
      </w:r>
      <w:r w:rsidR="00220C3E">
        <w:rPr>
          <w:rFonts w:ascii="Times New Roman" w:eastAsia="Calibri" w:hAnsi="Times New Roman"/>
          <w:color w:val="000000"/>
          <w:szCs w:val="24"/>
          <w:lang w:eastAsia="en-US"/>
        </w:rPr>
        <w:fldChar w:fldCharType="separate"/>
      </w:r>
      <w:r w:rsidR="00220C3E" w:rsidRPr="00220C3E">
        <w:rPr>
          <w:rFonts w:ascii="Times New Roman" w:eastAsia="Calibri" w:hAnsi="Times New Roman"/>
          <w:noProof/>
          <w:color w:val="000000"/>
          <w:szCs w:val="24"/>
          <w:lang w:eastAsia="en-US"/>
        </w:rPr>
        <w:t>(JAAFAR; MCLEAY, 2007)</w:t>
      </w:r>
      <w:r w:rsidR="00220C3E">
        <w:rPr>
          <w:rFonts w:ascii="Times New Roman" w:eastAsia="Calibri" w:hAnsi="Times New Roman"/>
          <w:color w:val="000000"/>
          <w:szCs w:val="24"/>
          <w:lang w:eastAsia="en-US"/>
        </w:rPr>
        <w:fldChar w:fldCharType="end"/>
      </w:r>
      <w:r w:rsidRPr="000E5487">
        <w:rPr>
          <w:rFonts w:ascii="Times New Roman" w:eastAsia="Calibri" w:hAnsi="Times New Roman"/>
          <w:color w:val="000000"/>
          <w:szCs w:val="24"/>
          <w:lang w:eastAsia="en-US"/>
        </w:rPr>
        <w:t>. Entretanto, as diferentes escolhas oriundas da discricionariedade podem impactar na comparabilidade das demonstrações contábeis</w:t>
      </w:r>
      <w:r w:rsidR="00CB1F8E">
        <w:rPr>
          <w:rFonts w:ascii="Times New Roman" w:eastAsia="Calibri" w:hAnsi="Times New Roman"/>
          <w:color w:val="000000"/>
          <w:szCs w:val="24"/>
          <w:lang w:eastAsia="en-US"/>
        </w:rPr>
        <w:t xml:space="preserve"> </w:t>
      </w:r>
      <w:r w:rsidR="00CB1F8E">
        <w:rPr>
          <w:rFonts w:ascii="Times New Roman" w:eastAsia="Calibri" w:hAnsi="Times New Roman"/>
          <w:color w:val="000000"/>
          <w:szCs w:val="24"/>
          <w:lang w:eastAsia="en-US"/>
        </w:rPr>
        <w:fldChar w:fldCharType="begin" w:fldLock="1"/>
      </w:r>
      <w:r w:rsidR="00CB1F8E">
        <w:rPr>
          <w:rFonts w:ascii="Times New Roman" w:eastAsia="Calibri" w:hAnsi="Times New Roman"/>
          <w:color w:val="000000"/>
          <w:szCs w:val="24"/>
          <w:lang w:eastAsia="en-US"/>
        </w:rPr>
        <w:instrText>ADDIN CSL_CITATION {"citationItems":[{"id":"ITEM-1","itemData":{"DOI":"10.1016/j.bar.2010.10.003","ISBN":"08908389","ISSN":"08908389","PMID":"857499650","abstract":"This study investigates the use of fair value measurement by 228 listed companies in the UK and Australia around the time of adoption of IFRS from 1 January 2005. We test whether within and between country comparability in policy choices (as measured by T indices) has changed in relation to (a) mandatory and (b) optional use of fair value measurement. Mandatory requirements related to financial instruments (IAS 39) and share-based payments (IFRS 2) have increased comparability, with a weaker effect for biological assets (IAS 41). In relation to the optional use of fair value, comparability increased in relation to property (IAS 16) because some companies discontinued fair value measurement. Under IAS 39, the fair value option for other financial assets and other financial liabilities decreased comparability. Options to use fair value in other areas (intangible assets, plant and equipment and investment properties) are not generally taken up, either for on-going measurement or on IFRS adoption (under the 'deemed cost' option). The results suggest a conservative approach and/or lack of incentives to use fair value measurement for most companies. Exceptions include some banks and insurance companies (for other financial assets and liabilities) and companies holding investment properties. © 2010 Elsevier Ltd.","author":[{"dropping-particle":"","family":"Cairns","given":"David","non-dropping-particle":"","parse-names":false,"suffix":""},{"dropping-particle":"","family":"Massoudi","given":"Dianne","non-dropping-particle":"","parse-names":false,"suffix":""},{"dropping-particle":"","family":"Taplin","given":"Ross","non-dropping-particle":"","parse-names":false,"suffix":""},{"dropping-particle":"","family":"Tarca","given":"Ann","non-dropping-particle":"","parse-names":false,"suffix":""}],"container-title":"British Accounting Review","id":"ITEM-1","issue":"1","issued":{"date-parts":[["2011"]]},"page":"1-21","publisher":"Elsevier Ltd","title":"IFRS fair value measurement and accounting policy choice in the United Kingdom and Australia","type":"article-journal","volume":"43"},"uris":["http://www.mendeley.com/documents/?uuid=cfc06069-32a6-42d7-b827-7a1e610a8719"]},{"id":"ITEM-2","itemData":{"DOI":"10.21714/1984-3925_2017v20n1a7","ISSN":"19843925","author":[{"dropping-particle":"","family":"Botinha","given":"Reiner Alves","non-dropping-particle":"","parse-names":false,"suffix":""},{"dropping-particle":"","family":"Lemes","given":"Sirlei","non-dropping-particle":"","parse-names":false,"suffix":""}],"container-title":"Contabilidade, Gestão e Governança","id":"ITEM-2","issue":"1","issued":{"date-parts":[["2017","4","20"]]},"page":"113-132","title":"Comparabilidade das Escolhas Contábeis em Propriedades para Investimentos de Empresas Listadas na BM&amp;FBOVESPA e NYSE","type":"article-journal","volume":"20"},"uris":["http://www.mendeley.com/documents/?uuid=41e61983-5c3f-4dac-9bf8-a1713fa62057"]}],"mendeley":{"formattedCitation":"(BOTINHA; LEMES, 2017; CAIRNS et al., 2011)","plainTextFormattedCitation":"(BOTINHA; LEMES, 2017; CAIRNS et al., 2011)","previouslyFormattedCitation":"(BOTINHA; LEMES, 2017; CAIRNS et al., 2011)"},"properties":{"noteIndex":0},"schema":"https://github.com/citation-style-language/schema/raw/master/csl-citation.json"}</w:instrText>
      </w:r>
      <w:r w:rsidR="00CB1F8E">
        <w:rPr>
          <w:rFonts w:ascii="Times New Roman" w:eastAsia="Calibri" w:hAnsi="Times New Roman"/>
          <w:color w:val="000000"/>
          <w:szCs w:val="24"/>
          <w:lang w:eastAsia="en-US"/>
        </w:rPr>
        <w:fldChar w:fldCharType="separate"/>
      </w:r>
      <w:r w:rsidR="00CB1F8E" w:rsidRPr="00CB1F8E">
        <w:rPr>
          <w:rFonts w:ascii="Times New Roman" w:eastAsia="Calibri" w:hAnsi="Times New Roman"/>
          <w:noProof/>
          <w:color w:val="000000"/>
          <w:szCs w:val="24"/>
          <w:lang w:eastAsia="en-US"/>
        </w:rPr>
        <w:t>(BOTINHA; LEMES, 2017; CAIRNS et al., 2011)</w:t>
      </w:r>
      <w:r w:rsidR="00CB1F8E">
        <w:rPr>
          <w:rFonts w:ascii="Times New Roman" w:eastAsia="Calibri" w:hAnsi="Times New Roman"/>
          <w:color w:val="000000"/>
          <w:szCs w:val="24"/>
          <w:lang w:eastAsia="en-US"/>
        </w:rPr>
        <w:fldChar w:fldCharType="end"/>
      </w:r>
      <w:r w:rsidRPr="000E5487">
        <w:rPr>
          <w:rFonts w:ascii="Times New Roman" w:eastAsia="Calibri" w:hAnsi="Times New Roman"/>
          <w:color w:val="000000"/>
          <w:szCs w:val="24"/>
          <w:lang w:eastAsia="en-US"/>
        </w:rPr>
        <w:t xml:space="preserve">, haja vista que diferenças significativas permanecem, mesmo após a adoção das IFRS </w:t>
      </w:r>
      <w:r w:rsidR="00CB1F8E">
        <w:rPr>
          <w:rFonts w:ascii="Times New Roman" w:eastAsia="Calibri" w:hAnsi="Times New Roman"/>
          <w:color w:val="000000"/>
          <w:szCs w:val="24"/>
          <w:lang w:eastAsia="en-US"/>
        </w:rPr>
        <w:fldChar w:fldCharType="begin" w:fldLock="1"/>
      </w:r>
      <w:r w:rsidR="00980BD6">
        <w:rPr>
          <w:rFonts w:ascii="Times New Roman" w:eastAsia="Calibri" w:hAnsi="Times New Roman"/>
          <w:color w:val="000000"/>
          <w:szCs w:val="24"/>
          <w:lang w:eastAsia="en-US"/>
        </w:rPr>
        <w:instrText>ADDIN CSL_CITATION {"citationItems":[{"id":"ITEM-1","itemData":{"DOI":"10.1016/j.jacceco.2012.03.001","ISBN":"0165-4101","ISSN":"01654101","PMID":"1021725752","abstract":"This study examines whether application of IFRS by non-US firms results in accounting amounts comparable to those resulting from application of US GAAP by US firms. IFRS firms have greater accounting system and value relevance comparability with US firms when IFRS firms apply IFRS than when they applied domestic standards. Comparability is greater for firms that adopt IFRS mandatorily, firms in common law and high enforcement countries, and in more recent years. Earnings smoothing, accrual quality, and timeliness are potential sources of the greater comparability. Although application of IFRS has enhanced financial reporting comparability with US firms, significant differences remain.","author":[{"dropping-particle":"","family":"Barth","given":"Mary E.","non-dropping-particle":"","parse-names":false,"suffix":""},{"dropping-particle":"","family":"Landsman","given":"Wayne R.","non-dropping-particle":"","parse-names":false,"suffix":""},{"dropping-particle":"","family":"Lang","given":"Mark","non-dropping-particle":"","parse-names":false,"suffix":""},{"dropping-particle":"","family":"Williams","given":"Christopher","non-dropping-particle":"","parse-names":false,"suffix":""}],"container-title":"Journal of Accounting and Economics","id":"ITEM-1","issue":"1","issued":{"date-parts":[["2012"]]},"page":"68-93","publisher":"Elsevier","title":"Are IFRS-based and US GAAP-based accounting amounts comparable?","type":"article-journal","volume":"54"},"uris":["http://www.mendeley.com/documents/?uuid=249eb6c4-8276-4c5b-a657-0d4b3f2bb0b0"]}],"mendeley":{"formattedCitation":"(BARTH et al., 2012)","plainTextFormattedCitation":"(BARTH et al., 2012)","previouslyFormattedCitation":"(BARTH et al., 2012)"},"properties":{"noteIndex":0},"schema":"https://github.com/citation-style-language/schema/raw/master/csl-citation.json"}</w:instrText>
      </w:r>
      <w:r w:rsidR="00CB1F8E">
        <w:rPr>
          <w:rFonts w:ascii="Times New Roman" w:eastAsia="Calibri" w:hAnsi="Times New Roman"/>
          <w:color w:val="000000"/>
          <w:szCs w:val="24"/>
          <w:lang w:eastAsia="en-US"/>
        </w:rPr>
        <w:fldChar w:fldCharType="separate"/>
      </w:r>
      <w:r w:rsidR="00CB1F8E" w:rsidRPr="00CB1F8E">
        <w:rPr>
          <w:rFonts w:ascii="Times New Roman" w:eastAsia="Calibri" w:hAnsi="Times New Roman"/>
          <w:noProof/>
          <w:color w:val="000000"/>
          <w:szCs w:val="24"/>
          <w:lang w:eastAsia="en-US"/>
        </w:rPr>
        <w:t>(BARTH et al., 2012)</w:t>
      </w:r>
      <w:r w:rsidR="00CB1F8E">
        <w:rPr>
          <w:rFonts w:ascii="Times New Roman" w:eastAsia="Calibri" w:hAnsi="Times New Roman"/>
          <w:color w:val="000000"/>
          <w:szCs w:val="24"/>
          <w:lang w:eastAsia="en-US"/>
        </w:rPr>
        <w:fldChar w:fldCharType="end"/>
      </w:r>
      <w:r w:rsidRPr="000E5487">
        <w:rPr>
          <w:rFonts w:ascii="Times New Roman" w:eastAsia="Calibri" w:hAnsi="Times New Roman"/>
          <w:color w:val="000000"/>
          <w:szCs w:val="24"/>
          <w:lang w:eastAsia="en-US"/>
        </w:rPr>
        <w:t>.</w:t>
      </w:r>
    </w:p>
    <w:p w:rsidR="00220C3E" w:rsidRDefault="00220C3E" w:rsidP="00B747D7">
      <w:pPr>
        <w:spacing w:after="0" w:line="240" w:lineRule="auto"/>
        <w:ind w:firstLine="709"/>
        <w:jc w:val="both"/>
        <w:rPr>
          <w:rFonts w:ascii="Times New Roman" w:eastAsia="Calibri" w:hAnsi="Times New Roman"/>
          <w:b/>
          <w:color w:val="000000"/>
          <w:szCs w:val="24"/>
          <w:lang w:eastAsia="en-US"/>
        </w:rPr>
      </w:pPr>
    </w:p>
    <w:p w:rsidR="001D52C3" w:rsidRPr="000E5487" w:rsidRDefault="001D52C3" w:rsidP="00220C3E">
      <w:pPr>
        <w:spacing w:after="120" w:line="240" w:lineRule="auto"/>
        <w:jc w:val="both"/>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 xml:space="preserve">2.2 </w:t>
      </w:r>
      <w:r w:rsidR="00220C3E">
        <w:rPr>
          <w:rFonts w:ascii="Times New Roman" w:eastAsia="Calibri" w:hAnsi="Times New Roman"/>
          <w:b/>
          <w:color w:val="000000"/>
          <w:szCs w:val="24"/>
          <w:lang w:eastAsia="en-US"/>
        </w:rPr>
        <w:t>Mensuração</w:t>
      </w:r>
      <w:r w:rsidR="00220C3E" w:rsidRPr="00FD5D4B">
        <w:rPr>
          <w:rFonts w:ascii="Times New Roman" w:eastAsia="Calibri" w:hAnsi="Times New Roman"/>
          <w:b/>
          <w:i/>
          <w:color w:val="000000"/>
          <w:szCs w:val="24"/>
          <w:lang w:eastAsia="en-US"/>
        </w:rPr>
        <w:t xml:space="preserve"> </w:t>
      </w:r>
      <w:r w:rsidR="00220C3E">
        <w:rPr>
          <w:rFonts w:ascii="Times New Roman" w:eastAsia="Calibri" w:hAnsi="Times New Roman"/>
          <w:b/>
          <w:color w:val="000000"/>
          <w:szCs w:val="24"/>
          <w:lang w:eastAsia="en-US"/>
        </w:rPr>
        <w:t>de Ativos Biológicos</w:t>
      </w:r>
    </w:p>
    <w:p w:rsidR="009A6691" w:rsidRPr="000E5487" w:rsidRDefault="00A00C16" w:rsidP="00B747D7">
      <w:pPr>
        <w:spacing w:after="0" w:line="240" w:lineRule="auto"/>
        <w:ind w:firstLine="709"/>
        <w:jc w:val="both"/>
        <w:rPr>
          <w:rFonts w:ascii="Times New Roman" w:eastAsia="SimSun" w:hAnsi="Times New Roman"/>
        </w:rPr>
      </w:pPr>
      <w:r w:rsidRPr="000E5487">
        <w:rPr>
          <w:rFonts w:ascii="Times New Roman" w:eastAsia="Calibri" w:hAnsi="Times New Roman"/>
          <w:color w:val="000000"/>
          <w:szCs w:val="24"/>
          <w:lang w:eastAsia="en-US"/>
        </w:rPr>
        <w:t>São considerados ativos biológicos</w:t>
      </w:r>
      <w:r w:rsidR="00FD5D4B">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os animais e plantas </w:t>
      </w:r>
      <w:r w:rsidR="005446D3" w:rsidRPr="000E5487">
        <w:rPr>
          <w:rFonts w:ascii="Times New Roman" w:eastAsia="Calibri" w:hAnsi="Times New Roman"/>
          <w:color w:val="000000"/>
          <w:szCs w:val="24"/>
          <w:lang w:eastAsia="en-US"/>
        </w:rPr>
        <w:t>vivos</w:t>
      </w:r>
      <w:r w:rsidRPr="000E5487">
        <w:rPr>
          <w:rFonts w:ascii="Times New Roman" w:eastAsia="Calibri" w:hAnsi="Times New Roman"/>
          <w:color w:val="000000"/>
          <w:szCs w:val="24"/>
          <w:lang w:eastAsia="en-US"/>
        </w:rPr>
        <w:t xml:space="preserve"> sujeitos ao processo de transformação biológica, devendo estes,</w:t>
      </w:r>
      <w:r w:rsidR="009A6691" w:rsidRPr="000E5487">
        <w:rPr>
          <w:rFonts w:ascii="Times New Roman" w:eastAsia="Calibri" w:hAnsi="Times New Roman"/>
          <w:color w:val="000000"/>
          <w:szCs w:val="24"/>
          <w:lang w:eastAsia="en-US"/>
        </w:rPr>
        <w:t xml:space="preserve"> </w:t>
      </w:r>
      <w:r w:rsidR="005446D3" w:rsidRPr="000E5487">
        <w:rPr>
          <w:rFonts w:ascii="Times New Roman" w:eastAsia="Calibri" w:hAnsi="Times New Roman"/>
          <w:color w:val="000000"/>
          <w:szCs w:val="24"/>
          <w:lang w:eastAsia="en-US"/>
        </w:rPr>
        <w:t>conforme estabelecido pela IAS 41,</w:t>
      </w:r>
      <w:r w:rsidRPr="000E5487">
        <w:rPr>
          <w:rFonts w:ascii="Times New Roman" w:eastAsia="Calibri" w:hAnsi="Times New Roman"/>
          <w:color w:val="000000"/>
          <w:szCs w:val="24"/>
          <w:lang w:eastAsia="en-US"/>
        </w:rPr>
        <w:t xml:space="preserve"> serem</w:t>
      </w:r>
      <w:r w:rsidRPr="000E5487">
        <w:rPr>
          <w:rFonts w:ascii="Times New Roman" w:eastAsia="SimSun" w:hAnsi="Times New Roman"/>
        </w:rPr>
        <w:t xml:space="preserve"> mensurados a </w:t>
      </w:r>
      <w:r w:rsidRPr="000E5487">
        <w:rPr>
          <w:rFonts w:ascii="Times New Roman" w:eastAsia="SimSun" w:hAnsi="Times New Roman"/>
          <w:i/>
        </w:rPr>
        <w:t>fair value</w:t>
      </w:r>
      <w:r w:rsidRPr="000E5487">
        <w:rPr>
          <w:rFonts w:ascii="Times New Roman" w:eastAsia="SimSun" w:hAnsi="Times New Roman"/>
        </w:rPr>
        <w:t>, na maioria dos casos</w:t>
      </w:r>
      <w:r w:rsidR="00980BD6">
        <w:rPr>
          <w:rFonts w:ascii="Times New Roman" w:eastAsia="SimSun" w:hAnsi="Times New Roman"/>
        </w:rPr>
        <w:t xml:space="preserve"> </w:t>
      </w:r>
      <w:r w:rsidR="00980BD6">
        <w:rPr>
          <w:rFonts w:ascii="Times New Roman" w:eastAsia="SimSun" w:hAnsi="Times New Roman"/>
        </w:rPr>
        <w:fldChar w:fldCharType="begin" w:fldLock="1"/>
      </w:r>
      <w:r w:rsidR="00980BD6">
        <w:rPr>
          <w:rFonts w:ascii="Times New Roman" w:eastAsia="SimSun" w:hAnsi="Times New Roman"/>
        </w:rPr>
        <w:instrText>ADDIN CSL_CITATION {"citationItems":[{"id":"ITEM-1","itemData":{"author":[{"dropping-particle":"","family":"Marion","given":"José Carlos","non-dropping-particle":"","parse-names":false,"suffix":""}],"edition":"12","id":"ITEM-1","issued":{"date-parts":[["2010"]]},"number-of-pages":"280","publisher":"Atlas","publisher-place":"São Paulo","title":"Contabilidade rural, contabilidade agrícola, contabilidade pecuária, imposto de renda pessoa jurídica","type":"book"},"uris":["http://www.mendeley.com/documents/?uuid=82b6ee4f-5b80-4d5d-b47a-8f76628b07d7"]}],"mendeley":{"formattedCitation":"(MARION, 2010)","plainTextFormattedCitation":"(MARION, 2010)","previouslyFormattedCitation":"(MARION, 2010)"},"properties":{"noteIndex":0},"schema":"https://github.com/citation-style-language/schema/raw/master/csl-citation.json"}</w:instrText>
      </w:r>
      <w:r w:rsidR="00980BD6">
        <w:rPr>
          <w:rFonts w:ascii="Times New Roman" w:eastAsia="SimSun" w:hAnsi="Times New Roman"/>
        </w:rPr>
        <w:fldChar w:fldCharType="separate"/>
      </w:r>
      <w:r w:rsidR="00980BD6" w:rsidRPr="00980BD6">
        <w:rPr>
          <w:rFonts w:ascii="Times New Roman" w:eastAsia="SimSun" w:hAnsi="Times New Roman"/>
          <w:noProof/>
        </w:rPr>
        <w:t>(MARION, 2010)</w:t>
      </w:r>
      <w:r w:rsidR="00980BD6">
        <w:rPr>
          <w:rFonts w:ascii="Times New Roman" w:eastAsia="SimSun" w:hAnsi="Times New Roman"/>
        </w:rPr>
        <w:fldChar w:fldCharType="end"/>
      </w:r>
      <w:r w:rsidRPr="000E5487">
        <w:rPr>
          <w:rFonts w:ascii="Times New Roman" w:eastAsia="SimSun" w:hAnsi="Times New Roman"/>
          <w:i/>
        </w:rPr>
        <w:t xml:space="preserve">. </w:t>
      </w:r>
      <w:r w:rsidRPr="000E5487">
        <w:rPr>
          <w:rFonts w:ascii="Times New Roman" w:eastAsia="SimSun" w:hAnsi="Times New Roman"/>
        </w:rPr>
        <w:t xml:space="preserve">A IFRS nº 13 </w:t>
      </w:r>
      <w:r w:rsidR="009A6691" w:rsidRPr="000E5487">
        <w:rPr>
          <w:rFonts w:ascii="Times New Roman" w:eastAsia="SimSun" w:hAnsi="Times New Roman"/>
        </w:rPr>
        <w:t>conceitua</w:t>
      </w:r>
      <w:r w:rsidRPr="000E5487">
        <w:rPr>
          <w:rFonts w:ascii="Times New Roman" w:eastAsia="SimSun" w:hAnsi="Times New Roman"/>
        </w:rPr>
        <w:t xml:space="preserve"> o </w:t>
      </w:r>
      <w:r w:rsidRPr="000E5487">
        <w:rPr>
          <w:rFonts w:ascii="Times New Roman" w:eastAsia="SimSun" w:hAnsi="Times New Roman"/>
          <w:i/>
        </w:rPr>
        <w:t>fair value</w:t>
      </w:r>
      <w:r w:rsidRPr="000E5487">
        <w:rPr>
          <w:rFonts w:ascii="Times New Roman" w:eastAsia="SimSun" w:hAnsi="Times New Roman"/>
        </w:rPr>
        <w:t xml:space="preserve"> como o preço que seria recebido pela venda de um ativo ou pago pela transferência de um passivo em uma transação não forçada entre participantes do mercado na data da avaliação. </w:t>
      </w:r>
    </w:p>
    <w:p w:rsidR="009A6691" w:rsidRDefault="00A00C16"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SimSun" w:hAnsi="Times New Roman"/>
        </w:rPr>
        <w:t xml:space="preserve">Em sua última alteração, a IAS nº 41 determinou que, a partir do exercício de 2016, as </w:t>
      </w:r>
      <w:r w:rsidRPr="000E5487">
        <w:rPr>
          <w:rFonts w:ascii="Times New Roman" w:eastAsia="SimSun" w:hAnsi="Times New Roman"/>
          <w:i/>
        </w:rPr>
        <w:t xml:space="preserve">bearer plants </w:t>
      </w:r>
      <w:r w:rsidRPr="000E5487">
        <w:rPr>
          <w:rFonts w:ascii="Times New Roman" w:eastAsia="SimSun" w:hAnsi="Times New Roman"/>
        </w:rPr>
        <w:t xml:space="preserve">devem ser mensuradas a custo histórico ao invés do </w:t>
      </w:r>
      <w:r w:rsidRPr="000E5487">
        <w:rPr>
          <w:rFonts w:ascii="Times New Roman" w:eastAsia="SimSun" w:hAnsi="Times New Roman"/>
          <w:i/>
        </w:rPr>
        <w:t>fair value</w:t>
      </w:r>
      <w:r w:rsidRPr="000E5487">
        <w:rPr>
          <w:rFonts w:ascii="Times New Roman" w:eastAsia="SimSun" w:hAnsi="Times New Roman"/>
        </w:rPr>
        <w:t>, equiparando o tratamento contábil desses ativos aos ativos imobilizados.</w:t>
      </w:r>
      <w:r w:rsidRPr="00A00C16">
        <w:rPr>
          <w:rFonts w:ascii="Times New Roman" w:eastAsia="Calibri" w:hAnsi="Times New Roman"/>
          <w:color w:val="000000"/>
          <w:szCs w:val="24"/>
          <w:lang w:eastAsia="en-US"/>
        </w:rPr>
        <w:tab/>
        <w:t>Diante das novas exigências trazidas pelas IFRS para as entidades agrícolas, é necessário avaliar os efeitos da IAS nº 41 para a realidade d</w:t>
      </w:r>
      <w:r w:rsidR="000E5487">
        <w:rPr>
          <w:rFonts w:ascii="Times New Roman" w:eastAsia="Calibri" w:hAnsi="Times New Roman"/>
          <w:color w:val="000000"/>
          <w:szCs w:val="24"/>
          <w:lang w:eastAsia="en-US"/>
        </w:rPr>
        <w:t>a contabilidade do agronegócio.</w:t>
      </w:r>
    </w:p>
    <w:p w:rsidR="000E5487" w:rsidRDefault="000E5487"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A</w:t>
      </w:r>
      <w:r w:rsidRPr="000E5487">
        <w:rPr>
          <w:rFonts w:ascii="Times New Roman" w:eastAsia="Calibri" w:hAnsi="Times New Roman"/>
          <w:color w:val="000000"/>
          <w:szCs w:val="24"/>
          <w:lang w:eastAsia="en-US"/>
        </w:rPr>
        <w:t xml:space="preserve"> contabilidade a </w:t>
      </w:r>
      <w:r w:rsidRPr="000E5487">
        <w:rPr>
          <w:rFonts w:ascii="Times New Roman" w:eastAsia="Calibri" w:hAnsi="Times New Roman"/>
          <w:i/>
          <w:color w:val="000000"/>
          <w:szCs w:val="24"/>
          <w:lang w:eastAsia="en-US"/>
        </w:rPr>
        <w:t xml:space="preserve">fair value </w:t>
      </w:r>
      <w:r w:rsidRPr="00A60AED">
        <w:rPr>
          <w:rFonts w:ascii="Times New Roman" w:eastAsia="Calibri" w:hAnsi="Times New Roman"/>
          <w:color w:val="000000"/>
          <w:szCs w:val="24"/>
          <w:lang w:eastAsia="en-US"/>
        </w:rPr>
        <w:t>“</w:t>
      </w:r>
      <w:r w:rsidR="00A60AED" w:rsidRPr="00A60AED">
        <w:rPr>
          <w:rFonts w:ascii="Times New Roman" w:eastAsia="Calibri" w:hAnsi="Times New Roman"/>
          <w:color w:val="000000"/>
          <w:szCs w:val="24"/>
          <w:lang w:eastAsia="en-US"/>
        </w:rPr>
        <w:t>j</w:t>
      </w:r>
      <w:r w:rsidR="00A60AED">
        <w:rPr>
          <w:rFonts w:ascii="Times New Roman" w:eastAsia="Calibri" w:hAnsi="Times New Roman"/>
          <w:color w:val="000000"/>
          <w:szCs w:val="24"/>
          <w:lang w:eastAsia="en-US"/>
        </w:rPr>
        <w:t>á</w:t>
      </w:r>
      <w:r w:rsidR="00A60AED" w:rsidRPr="00A60AED">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 xml:space="preserve">é </w:t>
      </w:r>
      <w:r>
        <w:rPr>
          <w:rFonts w:ascii="Times New Roman" w:eastAsia="Calibri" w:hAnsi="Times New Roman"/>
          <w:color w:val="000000"/>
          <w:szCs w:val="24"/>
          <w:lang w:eastAsia="en-US"/>
        </w:rPr>
        <w:t>uma prática aceita mundialmente</w:t>
      </w:r>
      <w:r w:rsidRPr="000E5487">
        <w:rPr>
          <w:rFonts w:ascii="Times New Roman" w:eastAsia="Calibri" w:hAnsi="Times New Roman"/>
          <w:color w:val="000000"/>
          <w:szCs w:val="24"/>
          <w:lang w:eastAsia="en-US"/>
        </w:rPr>
        <w:t>, dependendo apenas do consenso dos métodos, em quais elementos, e, em que momento deve ser aplicado</w:t>
      </w:r>
      <w:r w:rsidR="00A60AED" w:rsidRPr="00403D15">
        <w:rPr>
          <w:rFonts w:ascii="Times New Roman" w:eastAsia="Calibri" w:hAnsi="Times New Roman"/>
          <w:color w:val="000000"/>
          <w:szCs w:val="24"/>
          <w:lang w:eastAsia="en-US"/>
        </w:rPr>
        <w:t>”</w:t>
      </w:r>
      <w:r w:rsidR="00A60AED" w:rsidRPr="00403D15">
        <w:rPr>
          <w:rFonts w:ascii="Times New Roman" w:hAnsi="Times New Roman"/>
        </w:rPr>
        <w:t xml:space="preserve"> </w:t>
      </w:r>
      <w:r w:rsidR="00403D15" w:rsidRPr="00403D15">
        <w:rPr>
          <w:rFonts w:ascii="Times New Roman" w:hAnsi="Times New Roman"/>
        </w:rPr>
        <w:fldChar w:fldCharType="begin" w:fldLock="1"/>
      </w:r>
      <w:r w:rsidR="00573AA2">
        <w:rPr>
          <w:rFonts w:ascii="Times New Roman" w:hAnsi="Times New Roman"/>
        </w:rPr>
        <w:instrText>ADDIN CSL_CITATION {"citationItems":[{"id":"ITEM-1","itemData":{"ISSN":"1808-2882","abstract":"Resumo A IAS 41 inseriu no cenário internacional da contabilidade as condições mínimas para contabilização e apresentação dos ativos biológicos nas demonstrações financeiras. O mesmo aconteceu no Brasil com a CPC 29 que estabelece que os ativos biológicos devem ser mensurados a valor justo sempre que esse possa ser mensurado confiavelmente. Desta forma, este artigo tem como objetivo analisar os métodos de mensuração dos ativos biológicos de natureza fixa. A pesquisa é de natureza exploratória, à partir da aplicação de dados hipotéticos à um pomar de laranjas, que apresenta as características gerais da maioria das árvores frutíferas, servindo de referência para os demais ativos biológicos de mesma natureza. O artigo faz uma análise da aplicação das técnicas de mensuração a valor justo determinadas pela IAS 41 e pela IFRS 13, com a apresentação de três métodos para mensurar os ativos biológicos de natureza fixa. Como resultado da pesquisa, destaca-se que o critério de mensuração a valor justo é aplicável ao setor do ponto de vista teórico. Porém, para a mensuração destes ativos depende-se de estimativas de preços e de produção, que em muitos casos envolve previsões com estatísticas e dados subjetivos, o que justifica a dificuldade encontrada no setor para a mensuração dos ativos biológicos. Palavras-chave: Valor justo. Ativos biológicos. Métodos de mensuração.","author":[{"dropping-particle":"","family":"Rech","given":"Ilirio Jose","non-dropping-particle":"","parse-names":false,"suffix":""},{"dropping-particle":"","family":"Pereira","given":"Ivone Vieira","non-dropping-particle":"","parse-names":false,"suffix":""}],"container-title":"Custos e @gronegócio on line","id":"ITEM-1","issue":"2","issued":{"date-parts":[["2012"]]},"page":"131-157","title":"Valor justo : análise dos métodos de mensuração aplicáveis aos ativos biológicos de natureza fixa","type":"article-journal","volume":"8"},"uris":["http://www.mendeley.com/documents/?uuid=71117ee0-a9fb-3d3b-829d-dc0f8e8cbf74"]}],"mendeley":{"formattedCitation":"(RECH; PEREIRA, 2012)","manualFormatting":"(RECH; PEREIRA, 2012, p. 137)","plainTextFormattedCitation":"(RECH; PEREIRA, 2012)","previouslyFormattedCitation":"(RECH; PEREIRA, 2012)"},"properties":{"noteIndex":0},"schema":"https://github.com/citation-style-language/schema/raw/master/csl-citation.json"}</w:instrText>
      </w:r>
      <w:r w:rsidR="00403D15" w:rsidRPr="00403D15">
        <w:rPr>
          <w:rFonts w:ascii="Times New Roman" w:hAnsi="Times New Roman"/>
        </w:rPr>
        <w:fldChar w:fldCharType="separate"/>
      </w:r>
      <w:r w:rsidR="00403D15" w:rsidRPr="00403D15">
        <w:rPr>
          <w:rFonts w:ascii="Times New Roman" w:hAnsi="Times New Roman"/>
          <w:noProof/>
        </w:rPr>
        <w:t>(RECH; PEREIRA, 2012</w:t>
      </w:r>
      <w:r w:rsidR="00403D15">
        <w:rPr>
          <w:rFonts w:ascii="Times New Roman" w:hAnsi="Times New Roman"/>
          <w:noProof/>
        </w:rPr>
        <w:t>, p. 137</w:t>
      </w:r>
      <w:r w:rsidR="00403D15" w:rsidRPr="00403D15">
        <w:rPr>
          <w:rFonts w:ascii="Times New Roman" w:hAnsi="Times New Roman"/>
          <w:noProof/>
        </w:rPr>
        <w:t>)</w:t>
      </w:r>
      <w:r w:rsidR="00403D15" w:rsidRPr="00403D15">
        <w:rPr>
          <w:rFonts w:ascii="Times New Roman" w:hAnsi="Times New Roman"/>
        </w:rPr>
        <w:fldChar w:fldCharType="end"/>
      </w:r>
      <w:r w:rsidR="00A60AED" w:rsidRPr="00403D15">
        <w:rPr>
          <w:rFonts w:ascii="Times New Roman" w:eastAsia="Calibri" w:hAnsi="Times New Roman"/>
          <w:color w:val="000000"/>
          <w:szCs w:val="24"/>
          <w:lang w:eastAsia="en-US"/>
        </w:rPr>
        <w:t>. Para ativos que não possuem mercad</w:t>
      </w:r>
      <w:r w:rsidR="00A60AED">
        <w:rPr>
          <w:rFonts w:ascii="Times New Roman" w:eastAsia="Calibri" w:hAnsi="Times New Roman"/>
          <w:color w:val="000000"/>
          <w:szCs w:val="24"/>
          <w:lang w:eastAsia="en-US"/>
        </w:rPr>
        <w:t>o</w:t>
      </w:r>
      <w:r w:rsidR="00A60AED" w:rsidRPr="00A60AED">
        <w:rPr>
          <w:rFonts w:ascii="Times New Roman" w:eastAsia="Calibri" w:hAnsi="Times New Roman"/>
          <w:color w:val="000000"/>
          <w:szCs w:val="24"/>
          <w:lang w:eastAsia="en-US"/>
        </w:rPr>
        <w:t xml:space="preserve"> </w:t>
      </w:r>
      <w:r w:rsidR="00A60AED">
        <w:rPr>
          <w:rFonts w:ascii="Times New Roman" w:eastAsia="Calibri" w:hAnsi="Times New Roman"/>
          <w:color w:val="000000"/>
          <w:szCs w:val="24"/>
          <w:lang w:eastAsia="en-US"/>
        </w:rPr>
        <w:t>ativo,</w:t>
      </w:r>
      <w:r w:rsidR="00A60AED" w:rsidRPr="00A60AED">
        <w:rPr>
          <w:rFonts w:ascii="Times New Roman" w:eastAsia="Calibri" w:hAnsi="Times New Roman"/>
          <w:color w:val="000000"/>
          <w:szCs w:val="24"/>
          <w:lang w:eastAsia="en-US"/>
        </w:rPr>
        <w:t xml:space="preserve"> </w:t>
      </w:r>
      <w:r w:rsidR="00A60AED">
        <w:rPr>
          <w:rFonts w:ascii="Times New Roman" w:eastAsia="Calibri" w:hAnsi="Times New Roman"/>
          <w:color w:val="000000"/>
          <w:szCs w:val="24"/>
          <w:lang w:eastAsia="en-US"/>
        </w:rPr>
        <w:t>os</w:t>
      </w:r>
      <w:r w:rsidR="00A60AED" w:rsidRPr="00A60AED">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 xml:space="preserve">profissionais contábeis dependem de estimativas de preços e de produção, normalmente encontradas por meio de estatísticas e dados subjetivos, o que dificulta a aplicação do </w:t>
      </w:r>
      <w:r w:rsidRPr="00A60AED">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xml:space="preserve"> no contexto dos ativos biológicos</w:t>
      </w:r>
      <w:r w:rsidR="00A60AED" w:rsidRPr="00A60AED">
        <w:rPr>
          <w:rFonts w:ascii="Times New Roman" w:eastAsia="Calibri" w:hAnsi="Times New Roman"/>
          <w:color w:val="000000"/>
          <w:szCs w:val="24"/>
          <w:lang w:eastAsia="en-US"/>
        </w:rPr>
        <w:t xml:space="preserve"> </w:t>
      </w:r>
      <w:r w:rsidR="00573AA2">
        <w:rPr>
          <w:rFonts w:ascii="Times New Roman" w:eastAsia="Calibri" w:hAnsi="Times New Roman"/>
          <w:color w:val="000000"/>
          <w:szCs w:val="24"/>
          <w:lang w:eastAsia="en-US"/>
        </w:rPr>
        <w:fldChar w:fldCharType="begin" w:fldLock="1"/>
      </w:r>
      <w:r w:rsidR="00514231">
        <w:rPr>
          <w:rFonts w:ascii="Times New Roman" w:eastAsia="Calibri" w:hAnsi="Times New Roman"/>
          <w:color w:val="000000"/>
          <w:szCs w:val="24"/>
          <w:lang w:eastAsia="en-US"/>
        </w:rPr>
        <w:instrText>ADDIN CSL_CITATION {"citationItems":[{"id":"ITEM-1","itemData":{"ISSN":"1808-2882","abstract":"Resumo A IAS 41 inseriu no cenário internacional da contabilidade as condições mínimas para contabilização e apresentação dos ativos biológicos nas demonstrações financeiras. O mesmo aconteceu no Brasil com a CPC 29 que estabelece que os ativos biológicos devem ser mensurados a valor justo sempre que esse possa ser mensurado confiavelmente. Desta forma, este artigo tem como objetivo analisar os métodos de mensuração dos ativos biológicos de natureza fixa. A pesquisa é de natureza exploratória, à partir da aplicação de dados hipotéticos à um pomar de laranjas, que apresenta as características gerais da maioria das árvores frutíferas, servindo de referência para os demais ativos biológicos de mesma natureza. O artigo faz uma análise da aplicação das técnicas de mensuração a valor justo determinadas pela IAS 41 e pela IFRS 13, com a apresentação de três métodos para mensurar os ativos biológicos de natureza fixa. Como resultado da pesquisa, destaca-se que o critério de mensuração a valor justo é aplicável ao setor do ponto de vista teórico. Porém, para a mensuração destes ativos depende-se de estimativas de preços e de produção, que em muitos casos envolve previsões com estatísticas e dados subjetivos, o que justifica a dificuldade encontrada no setor para a mensuração dos ativos biológicos. Palavras-chave: Valor justo. Ativos biológicos. Métodos de mensuração.","author":[{"dropping-particle":"","family":"Rech","given":"Ilirio Jose","non-dropping-particle":"","parse-names":false,"suffix":""},{"dropping-particle":"","family":"Pereira","given":"Ivone Vieira","non-dropping-particle":"","parse-names":false,"suffix":""}],"container-title":"Custos e @gronegócio on line","id":"ITEM-1","issue":"2","issued":{"date-parts":[["2012"]]},"page":"131-157","title":"Valor justo : análise dos métodos de mensuração aplicáveis aos ativos biológicos de natureza fixa","type":"article-journal","volume":"8"},"uris":["http://www.mendeley.com/documents/?uuid=71117ee0-a9fb-3d3b-829d-dc0f8e8cbf74"]}],"mendeley":{"formattedCitation":"(RECH; PEREIRA, 2012)","plainTextFormattedCitation":"(RECH; PEREIRA, 2012)","previouslyFormattedCitation":"(RECH; PEREIRA, 2012)"},"properties":{"noteIndex":0},"schema":"https://github.com/citation-style-language/schema/raw/master/csl-citation.json"}</w:instrText>
      </w:r>
      <w:r w:rsidR="00573AA2">
        <w:rPr>
          <w:rFonts w:ascii="Times New Roman" w:eastAsia="Calibri" w:hAnsi="Times New Roman"/>
          <w:color w:val="000000"/>
          <w:szCs w:val="24"/>
          <w:lang w:eastAsia="en-US"/>
        </w:rPr>
        <w:fldChar w:fldCharType="separate"/>
      </w:r>
      <w:r w:rsidR="00573AA2" w:rsidRPr="00573AA2">
        <w:rPr>
          <w:rFonts w:ascii="Times New Roman" w:eastAsia="Calibri" w:hAnsi="Times New Roman"/>
          <w:noProof/>
          <w:color w:val="000000"/>
          <w:szCs w:val="24"/>
          <w:lang w:eastAsia="en-US"/>
        </w:rPr>
        <w:t>(RECH; PEREIRA, 2012)</w:t>
      </w:r>
      <w:r w:rsidR="00573AA2">
        <w:rPr>
          <w:rFonts w:ascii="Times New Roman" w:eastAsia="Calibri" w:hAnsi="Times New Roman"/>
          <w:color w:val="000000"/>
          <w:szCs w:val="24"/>
          <w:lang w:eastAsia="en-US"/>
        </w:rPr>
        <w:fldChar w:fldCharType="end"/>
      </w:r>
      <w:r w:rsidR="00A60AED">
        <w:rPr>
          <w:rFonts w:ascii="Times New Roman" w:eastAsia="Calibri" w:hAnsi="Times New Roman"/>
          <w:color w:val="000000"/>
          <w:szCs w:val="24"/>
          <w:lang w:eastAsia="en-US"/>
        </w:rPr>
        <w:t>.</w:t>
      </w:r>
    </w:p>
    <w:p w:rsidR="00E20CD0" w:rsidRDefault="00A60AED" w:rsidP="00B747D7">
      <w:pPr>
        <w:spacing w:after="0" w:line="240" w:lineRule="auto"/>
        <w:ind w:firstLine="709"/>
        <w:jc w:val="both"/>
        <w:rPr>
          <w:rFonts w:ascii="Times New Roman" w:eastAsia="Calibri" w:hAnsi="Times New Roman"/>
          <w:color w:val="000000"/>
          <w:szCs w:val="24"/>
          <w:lang w:eastAsia="en-US"/>
        </w:rPr>
      </w:pPr>
      <w:r w:rsidRPr="00A60AED">
        <w:rPr>
          <w:rFonts w:ascii="Times New Roman" w:eastAsia="Calibri" w:hAnsi="Times New Roman"/>
          <w:color w:val="000000"/>
          <w:szCs w:val="24"/>
          <w:lang w:eastAsia="en-US"/>
        </w:rPr>
        <w:t xml:space="preserve">A IFRS 13 destaca que </w:t>
      </w:r>
      <w:r>
        <w:rPr>
          <w:rFonts w:ascii="Times New Roman" w:eastAsia="Calibri" w:hAnsi="Times New Roman"/>
          <w:color w:val="000000"/>
          <w:szCs w:val="24"/>
          <w:lang w:eastAsia="en-US"/>
        </w:rPr>
        <w:t>os</w:t>
      </w:r>
      <w:r w:rsidRPr="00A60AED">
        <w:rPr>
          <w:rFonts w:ascii="Times New Roman" w:eastAsia="Calibri" w:hAnsi="Times New Roman"/>
          <w:color w:val="000000"/>
          <w:szCs w:val="24"/>
          <w:lang w:eastAsia="en-US"/>
        </w:rPr>
        <w:t xml:space="preserve"> </w:t>
      </w:r>
      <w:r w:rsidRPr="00A60AED">
        <w:rPr>
          <w:rFonts w:ascii="Times New Roman" w:eastAsia="Calibri" w:hAnsi="Times New Roman"/>
          <w:i/>
          <w:color w:val="000000"/>
          <w:szCs w:val="24"/>
          <w:lang w:eastAsia="en-US"/>
        </w:rPr>
        <w:t>inputs</w:t>
      </w:r>
      <w:r w:rsidRPr="00A60AED">
        <w:rPr>
          <w:rFonts w:ascii="Times New Roman" w:eastAsia="Calibri" w:hAnsi="Times New Roman"/>
          <w:color w:val="000000"/>
          <w:szCs w:val="24"/>
          <w:lang w:eastAsia="en-US"/>
        </w:rPr>
        <w:t xml:space="preserve"> para aplicação das técnicas de mensuração</w:t>
      </w:r>
      <w:r>
        <w:rPr>
          <w:rFonts w:ascii="Times New Roman" w:eastAsia="Calibri" w:hAnsi="Times New Roman"/>
          <w:color w:val="000000"/>
          <w:szCs w:val="24"/>
          <w:lang w:eastAsia="en-US"/>
        </w:rPr>
        <w:t xml:space="preserve"> devem refletir</w:t>
      </w:r>
      <w:r w:rsidRPr="00A60AED">
        <w:rPr>
          <w:rFonts w:ascii="Times New Roman" w:eastAsia="Calibri" w:hAnsi="Times New Roman"/>
          <w:color w:val="000000"/>
          <w:szCs w:val="24"/>
          <w:lang w:eastAsia="en-US"/>
        </w:rPr>
        <w:t xml:space="preserve"> os pressupostos que os participantes do mercado usariam na </w:t>
      </w:r>
      <w:r>
        <w:rPr>
          <w:rFonts w:ascii="Times New Roman" w:eastAsia="Calibri" w:hAnsi="Times New Roman"/>
          <w:color w:val="000000"/>
          <w:szCs w:val="24"/>
          <w:lang w:eastAsia="en-US"/>
        </w:rPr>
        <w:t xml:space="preserve">avaliação de um ativo ou </w:t>
      </w:r>
      <w:r w:rsidRPr="00A60AED">
        <w:rPr>
          <w:rFonts w:ascii="Times New Roman" w:eastAsia="Calibri" w:hAnsi="Times New Roman"/>
          <w:color w:val="000000"/>
          <w:szCs w:val="24"/>
          <w:lang w:eastAsia="en-US"/>
        </w:rPr>
        <w:t xml:space="preserve"> passivo.</w:t>
      </w:r>
      <w:r w:rsidR="00E20CD0" w:rsidRPr="00E20CD0">
        <w:rPr>
          <w:rFonts w:ascii="Times New Roman" w:eastAsia="Calibri" w:hAnsi="Times New Roman"/>
          <w:color w:val="000000"/>
          <w:szCs w:val="24"/>
          <w:lang w:eastAsia="en-US"/>
        </w:rPr>
        <w:t xml:space="preserve"> </w:t>
      </w:r>
      <w:r w:rsidR="00A424EF">
        <w:rPr>
          <w:rFonts w:ascii="Times New Roman" w:eastAsia="Calibri" w:hAnsi="Times New Roman"/>
          <w:color w:val="000000"/>
          <w:szCs w:val="24"/>
          <w:lang w:eastAsia="en-US"/>
        </w:rPr>
        <w:t>De</w:t>
      </w:r>
      <w:r w:rsidR="00A424EF" w:rsidRPr="00A424EF">
        <w:rPr>
          <w:rFonts w:ascii="Times New Roman" w:eastAsia="Calibri" w:hAnsi="Times New Roman"/>
          <w:color w:val="000000"/>
          <w:szCs w:val="24"/>
          <w:lang w:eastAsia="en-US"/>
        </w:rPr>
        <w:t xml:space="preserve"> </w:t>
      </w:r>
      <w:r w:rsidR="00A424EF">
        <w:rPr>
          <w:rFonts w:ascii="Times New Roman" w:eastAsia="Calibri" w:hAnsi="Times New Roman"/>
          <w:color w:val="000000"/>
          <w:szCs w:val="24"/>
          <w:lang w:eastAsia="en-US"/>
        </w:rPr>
        <w:t>acordo</w:t>
      </w:r>
      <w:r w:rsidR="00A424EF" w:rsidRPr="00A424EF">
        <w:rPr>
          <w:rFonts w:ascii="Times New Roman" w:eastAsia="Calibri" w:hAnsi="Times New Roman"/>
          <w:color w:val="000000"/>
          <w:szCs w:val="24"/>
          <w:lang w:eastAsia="en-US"/>
        </w:rPr>
        <w:t xml:space="preserve"> </w:t>
      </w:r>
      <w:r w:rsidR="00A424EF">
        <w:rPr>
          <w:rFonts w:ascii="Times New Roman" w:eastAsia="Calibri" w:hAnsi="Times New Roman"/>
          <w:color w:val="000000"/>
          <w:szCs w:val="24"/>
          <w:lang w:eastAsia="en-US"/>
        </w:rPr>
        <w:t>com</w:t>
      </w:r>
      <w:r w:rsidR="00A424EF" w:rsidRPr="00A424EF">
        <w:rPr>
          <w:rFonts w:ascii="Times New Roman" w:eastAsia="Calibri" w:hAnsi="Times New Roman"/>
          <w:color w:val="000000"/>
          <w:szCs w:val="24"/>
          <w:lang w:eastAsia="en-US"/>
        </w:rPr>
        <w:t xml:space="preserve"> </w:t>
      </w:r>
      <w:r w:rsidR="00514231">
        <w:rPr>
          <w:rFonts w:ascii="Times New Roman" w:eastAsia="Calibri" w:hAnsi="Times New Roman"/>
          <w:color w:val="000000"/>
          <w:szCs w:val="24"/>
          <w:lang w:eastAsia="en-US"/>
        </w:rPr>
        <w:fldChar w:fldCharType="begin" w:fldLock="1"/>
      </w:r>
      <w:r w:rsidR="00514231">
        <w:rPr>
          <w:rFonts w:ascii="Times New Roman" w:eastAsia="Calibri" w:hAnsi="Times New Roman"/>
          <w:color w:val="000000"/>
          <w:szCs w:val="24"/>
          <w:lang w:eastAsia="en-US"/>
        </w:rPr>
        <w:instrText>ADDIN CSL_CITATION {"citationItems":[{"id":"ITEM-1","itemData":{"ISBN":"7623015400","ISSN":"2175-8069","abstract":"O objetivo desta pesquisa foi analisar se as informações contábeis, referentes a ativos biológicos mensurados a valor justo, possuem value relevance e apresentam evidências de representação fidedigna. Avaliou-se tais atributos dos ativos biológicos de curto e longo prazo por meio do modelo de Feltham e Ohlson (1995). As evidências sustentam que ambos os ativos biológicos mensurados a valor justo, apresentaram-se como valores relevantes para o mercado. No que se referem à representação fidedigna desses ativos, as evidências indicaram que os mesmos são vistos pelo mercado como informação conservadora, porém, o grau de conservadorismo percebido não interfere na confiabilidade da informação.","author":[{"dropping-particle":"","family":"Martins","given":"Vinícius Gomes","non-dropping-particle":"","parse-names":false,"suffix":""},{"dropping-particle":"","family":"Machado","given":"Marcio André Veras","non-dropping-particle":"","parse-names":false,"suffix":""},{"dropping-particle":"","family":"Callado","given":"Aldo Leonardo Cunha","non-dropping-particle":"","parse-names":false,"suffix":""}],"container-title":"Revista Contemporânea de Contabilidade","id":"ITEM-1","issue":"22","issued":{"date-parts":[["2014"]]},"page":"163-188","title":"Relevância e representação fidedigna na mensuração de ativos biológicos a valor justo por empresas listadas na BM &amp; FBovespa","type":"article-journal","volume":"11"},"uris":["http://www.mendeley.com/documents/?uuid=cfea0dbe-c1b2-473b-9539-11fc67f78322"]}],"mendeley":{"formattedCitation":"(MARTINS; MACHADO; CALLADO, 2014)","manualFormatting":"Martins, Machado e Callado (2014)","plainTextFormattedCitation":"(MARTINS; MACHADO; CALLADO, 2014)","previouslyFormattedCitation":"(MARTINS; MACHADO; CALLADO, 2014)"},"properties":{"noteIndex":0},"schema":"https://github.com/citation-style-language/schema/raw/master/csl-citation.json"}</w:instrText>
      </w:r>
      <w:r w:rsidR="00514231">
        <w:rPr>
          <w:rFonts w:ascii="Times New Roman" w:eastAsia="Calibri" w:hAnsi="Times New Roman"/>
          <w:color w:val="000000"/>
          <w:szCs w:val="24"/>
          <w:lang w:eastAsia="en-US"/>
        </w:rPr>
        <w:fldChar w:fldCharType="separate"/>
      </w:r>
      <w:r w:rsidR="00514231" w:rsidRPr="00514231">
        <w:rPr>
          <w:rFonts w:ascii="Times New Roman" w:eastAsia="Calibri" w:hAnsi="Times New Roman"/>
          <w:noProof/>
          <w:color w:val="000000"/>
          <w:szCs w:val="24"/>
          <w:lang w:eastAsia="en-US"/>
        </w:rPr>
        <w:t>Martins</w:t>
      </w:r>
      <w:r w:rsidR="00514231">
        <w:rPr>
          <w:rFonts w:ascii="Times New Roman" w:eastAsia="Calibri" w:hAnsi="Times New Roman"/>
          <w:noProof/>
          <w:color w:val="000000"/>
          <w:szCs w:val="24"/>
          <w:lang w:eastAsia="en-US"/>
        </w:rPr>
        <w:t>, Machado e</w:t>
      </w:r>
      <w:r w:rsidR="00514231" w:rsidRPr="00514231">
        <w:rPr>
          <w:rFonts w:ascii="Times New Roman" w:eastAsia="Calibri" w:hAnsi="Times New Roman"/>
          <w:noProof/>
          <w:color w:val="000000"/>
          <w:szCs w:val="24"/>
          <w:lang w:eastAsia="en-US"/>
        </w:rPr>
        <w:t xml:space="preserve"> Callado </w:t>
      </w:r>
      <w:r w:rsidR="00514231">
        <w:rPr>
          <w:rFonts w:ascii="Times New Roman" w:eastAsia="Calibri" w:hAnsi="Times New Roman"/>
          <w:noProof/>
          <w:color w:val="000000"/>
          <w:szCs w:val="24"/>
          <w:lang w:eastAsia="en-US"/>
        </w:rPr>
        <w:t>(</w:t>
      </w:r>
      <w:r w:rsidR="00514231" w:rsidRPr="00514231">
        <w:rPr>
          <w:rFonts w:ascii="Times New Roman" w:eastAsia="Calibri" w:hAnsi="Times New Roman"/>
          <w:noProof/>
          <w:color w:val="000000"/>
          <w:szCs w:val="24"/>
          <w:lang w:eastAsia="en-US"/>
        </w:rPr>
        <w:t>2014)</w:t>
      </w:r>
      <w:r w:rsidR="00514231">
        <w:rPr>
          <w:rFonts w:ascii="Times New Roman" w:eastAsia="Calibri" w:hAnsi="Times New Roman"/>
          <w:color w:val="000000"/>
          <w:szCs w:val="24"/>
          <w:lang w:eastAsia="en-US"/>
        </w:rPr>
        <w:fldChar w:fldCharType="end"/>
      </w:r>
      <w:r w:rsidR="00A424EF">
        <w:rPr>
          <w:rFonts w:ascii="Times New Roman" w:eastAsia="Calibri" w:hAnsi="Times New Roman"/>
          <w:color w:val="000000"/>
          <w:szCs w:val="24"/>
          <w:lang w:eastAsia="en-US"/>
        </w:rPr>
        <w:t>,</w:t>
      </w:r>
      <w:r w:rsidR="00A424EF" w:rsidRPr="00A424EF">
        <w:rPr>
          <w:rFonts w:ascii="Times New Roman" w:eastAsia="Calibri" w:hAnsi="Times New Roman"/>
          <w:color w:val="000000"/>
          <w:szCs w:val="24"/>
          <w:lang w:eastAsia="en-US"/>
        </w:rPr>
        <w:t xml:space="preserve">  </w:t>
      </w:r>
      <w:r w:rsidR="00A424EF">
        <w:rPr>
          <w:rFonts w:ascii="Times New Roman" w:eastAsia="Calibri" w:hAnsi="Times New Roman"/>
          <w:color w:val="000000"/>
          <w:szCs w:val="24"/>
          <w:lang w:eastAsia="en-US"/>
        </w:rPr>
        <w:t>n</w:t>
      </w:r>
      <w:r w:rsidR="00A424EF" w:rsidRPr="00A00C16">
        <w:rPr>
          <w:rFonts w:ascii="Times New Roman" w:eastAsia="Calibri" w:hAnsi="Times New Roman"/>
          <w:color w:val="000000"/>
          <w:szCs w:val="24"/>
          <w:lang w:eastAsia="en-US"/>
        </w:rPr>
        <w:t xml:space="preserve">a perspectiva do mercado, as informações da </w:t>
      </w:r>
      <w:r w:rsidR="00A424EF">
        <w:rPr>
          <w:rFonts w:ascii="Times New Roman" w:eastAsia="Calibri" w:hAnsi="Times New Roman"/>
          <w:color w:val="000000"/>
          <w:szCs w:val="24"/>
          <w:lang w:eastAsia="en-US"/>
        </w:rPr>
        <w:t>avalia</w:t>
      </w:r>
      <w:r w:rsidR="00A424EF" w:rsidRPr="00A00C16">
        <w:rPr>
          <w:rFonts w:ascii="Times New Roman" w:eastAsia="Calibri" w:hAnsi="Times New Roman"/>
          <w:color w:val="000000"/>
          <w:szCs w:val="24"/>
          <w:lang w:eastAsia="en-US"/>
        </w:rPr>
        <w:t xml:space="preserve">ção de ativos biológicos são relevantes e a mensuração do </w:t>
      </w:r>
      <w:r w:rsidR="00A424EF" w:rsidRPr="00A00C16">
        <w:rPr>
          <w:rFonts w:ascii="Times New Roman" w:eastAsia="Calibri" w:hAnsi="Times New Roman"/>
          <w:i/>
          <w:color w:val="000000"/>
          <w:szCs w:val="24"/>
          <w:lang w:eastAsia="en-US"/>
        </w:rPr>
        <w:t>fair value</w:t>
      </w:r>
      <w:r w:rsidR="00A424EF" w:rsidRPr="00A00C16">
        <w:rPr>
          <w:rFonts w:ascii="Times New Roman" w:eastAsia="Calibri" w:hAnsi="Times New Roman"/>
          <w:color w:val="000000"/>
          <w:szCs w:val="24"/>
          <w:lang w:eastAsia="en-US"/>
        </w:rPr>
        <w:t xml:space="preserve"> é confiável. Tais informações são relevantes, principalmente para empresas com maiores níveis de evidenciação e divulgação </w:t>
      </w:r>
      <w:r w:rsidR="00A424EF" w:rsidRPr="00A00C16">
        <w:rPr>
          <w:rFonts w:ascii="Times New Roman" w:eastAsia="Calibri" w:hAnsi="Times New Roman"/>
          <w:color w:val="000000"/>
          <w:szCs w:val="24"/>
          <w:lang w:eastAsia="en-US"/>
        </w:rPr>
        <w:fldChar w:fldCharType="begin" w:fldLock="1"/>
      </w:r>
      <w:r w:rsidR="00514231">
        <w:rPr>
          <w:rFonts w:ascii="Times New Roman" w:eastAsia="Calibri" w:hAnsi="Times New Roman"/>
          <w:color w:val="000000"/>
          <w:szCs w:val="24"/>
          <w:lang w:eastAsia="en-US"/>
        </w:rPr>
        <w:instrText>ADDIN CSL_CITATION {"citationItems":[{"id":"ITEM-1","itemData":{"ISSN":"0870-8541","abstract":"This paper analyzes accounting in agriculture under the International Accounting Standard (IAS) 41 – Agriculture of 270 listed firms worldwide that have adopted International Financial Reporting Standards (IFRS) until 2010. Previous empirical evidence on the implementation of this standard is still very scarce. In general it shows that the disclosure level is low and that comparability is missing. In order to extend previous research on disclosure practices under the IAS 41, an index of the disclosure of biological assets is constructed and calculated based in the 2011 annual report. This paper tests several hypotheses relating the index and firm-level determinants -biological assets intensity, ownership concentration, firm size, auditor type, internationalization level, listing status, profitability and sector – and country-level determinant -legal status. This variable is measured using two different proxies, following institutional country classification, namely the dichotomy common law versus code law countries and cluster classification (Leuz, 2010). It was found that the mandatory and voluntary disclosure of biological assets is influenced by biological assets intensity, ownership concentration, firm size, sector and legal status. This paper seeks to help standard setters to better understand disclosure practices and their determinants concerning biological assets, and to develop future projects on this issue.","author":[{"dropping-particle":"","family":"Gonçalves","given":"Rute","non-dropping-particle":"","parse-names":false,"suffix":""},{"dropping-particle":"","family":"Lopes","given":"Patricia","non-dropping-particle":"","parse-names":false,"suffix":""}],"container-title":"FEP Working Papers","id":"ITEM-1","issue":"530","issued":{"date-parts":[["2015"]]},"page":"1-34","title":"Accounting in Agriculture: Disclosure practices of listed firms","type":"article-journal"},"uris":["http://www.mendeley.com/documents/?uuid=8a985cab-1479-4c31-a299-98801eba6cee"]}],"mendeley":{"formattedCitation":"(GONÇALVES; LOPES, 2015)","plainTextFormattedCitation":"(GONÇALVES; LOPES, 2015)","previouslyFormattedCitation":"(GONÇALVES; LOPES, 2015)"},"properties":{"noteIndex":0},"schema":"https://github.com/citation-style-language/schema/raw/master/csl-citation.json"}</w:instrText>
      </w:r>
      <w:r w:rsidR="00A424EF" w:rsidRPr="00A00C16">
        <w:rPr>
          <w:rFonts w:ascii="Times New Roman" w:eastAsia="Calibri" w:hAnsi="Times New Roman"/>
          <w:color w:val="000000"/>
          <w:szCs w:val="24"/>
          <w:lang w:eastAsia="en-US"/>
        </w:rPr>
        <w:fldChar w:fldCharType="separate"/>
      </w:r>
      <w:r w:rsidR="00514231" w:rsidRPr="00514231">
        <w:rPr>
          <w:rFonts w:ascii="Times New Roman" w:eastAsia="Calibri" w:hAnsi="Times New Roman"/>
          <w:noProof/>
          <w:color w:val="000000"/>
          <w:szCs w:val="24"/>
          <w:lang w:eastAsia="en-US"/>
        </w:rPr>
        <w:t>(GONÇALVES; LOPES, 2015)</w:t>
      </w:r>
      <w:r w:rsidR="00A424EF" w:rsidRPr="00A00C16">
        <w:rPr>
          <w:rFonts w:ascii="Times New Roman" w:eastAsia="Calibri" w:hAnsi="Times New Roman"/>
          <w:color w:val="000000"/>
          <w:szCs w:val="24"/>
          <w:lang w:eastAsia="en-US"/>
        </w:rPr>
        <w:fldChar w:fldCharType="end"/>
      </w:r>
      <w:r w:rsidR="00A424EF">
        <w:rPr>
          <w:rFonts w:ascii="Times New Roman" w:eastAsia="Calibri" w:hAnsi="Times New Roman"/>
          <w:color w:val="000000"/>
          <w:szCs w:val="24"/>
          <w:lang w:eastAsia="en-US"/>
        </w:rPr>
        <w:t>,</w:t>
      </w:r>
      <w:r w:rsidR="00A424EF" w:rsidRPr="00A424EF">
        <w:rPr>
          <w:rFonts w:ascii="Times New Roman" w:eastAsia="Calibri" w:hAnsi="Times New Roman"/>
          <w:color w:val="000000"/>
          <w:szCs w:val="24"/>
          <w:lang w:eastAsia="en-US"/>
        </w:rPr>
        <w:t xml:space="preserve"> </w:t>
      </w:r>
      <w:r w:rsidR="00A424EF">
        <w:rPr>
          <w:rFonts w:ascii="Times New Roman" w:eastAsia="Calibri" w:hAnsi="Times New Roman"/>
          <w:color w:val="000000"/>
          <w:szCs w:val="24"/>
          <w:lang w:eastAsia="en-US"/>
        </w:rPr>
        <w:t>e</w:t>
      </w:r>
      <w:r w:rsidR="00A424EF" w:rsidRPr="00A424EF">
        <w:rPr>
          <w:rFonts w:ascii="Times New Roman" w:eastAsia="Calibri" w:hAnsi="Times New Roman"/>
          <w:color w:val="000000"/>
          <w:szCs w:val="24"/>
          <w:lang w:eastAsia="en-US"/>
        </w:rPr>
        <w:t xml:space="preserve"> são mais úteis para a tomada de decisão do que as de custo histórico </w:t>
      </w:r>
      <w:r w:rsidR="00514231">
        <w:rPr>
          <w:rFonts w:ascii="Times New Roman" w:eastAsia="Calibri" w:hAnsi="Times New Roman"/>
          <w:color w:val="000000"/>
          <w:szCs w:val="24"/>
          <w:lang w:eastAsia="en-US"/>
        </w:rPr>
        <w:fldChar w:fldCharType="begin" w:fldLock="1"/>
      </w:r>
      <w:r w:rsidR="00A75A08">
        <w:rPr>
          <w:rFonts w:ascii="Times New Roman" w:eastAsia="Calibri" w:hAnsi="Times New Roman"/>
          <w:color w:val="000000"/>
          <w:szCs w:val="24"/>
          <w:lang w:eastAsia="en-US"/>
        </w:rPr>
        <w:instrText>ADDIN CSL_CITATION {"citationItems":[{"id":"ITEM-1","itemData":{"URL":"http://dx.doi.org/10.2139/ssrn.2529974","accessed":{"date-parts":[["2017","2","20"]]},"author":[{"dropping-particle":"","family":"Huffman","given":"Adrienna A.","non-dropping-particle":"","parse-names":false,"suffix":""}],"container-title":"Social Science Research Network - SSRN","id":"ITEM-1","issue":"1","issued":{"date-parts":[["2016"]]},"page":"1-45","title":"Asset use and the decision-usefulness of fair value measurement : Evidence from IAS 41","type":"webpage","volume":"1"},"uris":["http://www.mendeley.com/documents/?uuid=f8a19a38-04eb-47dc-950f-81c5792f4e40"]}],"mendeley":{"formattedCitation":"(HUFFMAN, 2016)","plainTextFormattedCitation":"(HUFFMAN, 2016)","previouslyFormattedCitation":"(HUFFMAN, 2016)"},"properties":{"noteIndex":0},"schema":"https://github.com/citation-style-language/schema/raw/master/csl-citation.json"}</w:instrText>
      </w:r>
      <w:r w:rsidR="00514231">
        <w:rPr>
          <w:rFonts w:ascii="Times New Roman" w:eastAsia="Calibri" w:hAnsi="Times New Roman"/>
          <w:color w:val="000000"/>
          <w:szCs w:val="24"/>
          <w:lang w:eastAsia="en-US"/>
        </w:rPr>
        <w:fldChar w:fldCharType="separate"/>
      </w:r>
      <w:r w:rsidR="00514231" w:rsidRPr="00514231">
        <w:rPr>
          <w:rFonts w:ascii="Times New Roman" w:eastAsia="Calibri" w:hAnsi="Times New Roman"/>
          <w:noProof/>
          <w:color w:val="000000"/>
          <w:szCs w:val="24"/>
          <w:lang w:eastAsia="en-US"/>
        </w:rPr>
        <w:t>(HUFFMAN, 2016)</w:t>
      </w:r>
      <w:r w:rsidR="00514231">
        <w:rPr>
          <w:rFonts w:ascii="Times New Roman" w:eastAsia="Calibri" w:hAnsi="Times New Roman"/>
          <w:color w:val="000000"/>
          <w:szCs w:val="24"/>
          <w:lang w:eastAsia="en-US"/>
        </w:rPr>
        <w:fldChar w:fldCharType="end"/>
      </w:r>
      <w:r w:rsidR="00A424EF" w:rsidRPr="00A424EF">
        <w:rPr>
          <w:rFonts w:ascii="Times New Roman" w:eastAsia="Calibri" w:hAnsi="Times New Roman"/>
          <w:color w:val="000000"/>
          <w:szCs w:val="24"/>
          <w:lang w:eastAsia="en-US"/>
        </w:rPr>
        <w:t>.</w:t>
      </w:r>
    </w:p>
    <w:p w:rsidR="005F5719" w:rsidRDefault="00FD5D4B"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A</w:t>
      </w:r>
      <w:r w:rsidR="005F5719">
        <w:rPr>
          <w:rFonts w:ascii="Times New Roman" w:eastAsia="Calibri" w:hAnsi="Times New Roman"/>
          <w:color w:val="000000"/>
          <w:szCs w:val="24"/>
          <w:lang w:eastAsia="en-US"/>
        </w:rPr>
        <w:t>o</w:t>
      </w:r>
      <w:r w:rsidR="005F5719" w:rsidRPr="005F5719">
        <w:rPr>
          <w:rFonts w:ascii="Times New Roman" w:eastAsia="Calibri" w:hAnsi="Times New Roman"/>
          <w:color w:val="000000"/>
          <w:szCs w:val="24"/>
          <w:lang w:eastAsia="en-US"/>
        </w:rPr>
        <w:t xml:space="preserve"> analisar as dificuldades </w:t>
      </w:r>
      <w:r>
        <w:rPr>
          <w:rFonts w:ascii="Times New Roman" w:eastAsia="Calibri" w:hAnsi="Times New Roman"/>
          <w:color w:val="000000"/>
          <w:szCs w:val="24"/>
          <w:lang w:eastAsia="en-US"/>
        </w:rPr>
        <w:t>n</w:t>
      </w:r>
      <w:r w:rsidR="005F5719" w:rsidRPr="005F5719">
        <w:rPr>
          <w:rFonts w:ascii="Times New Roman" w:eastAsia="Calibri" w:hAnsi="Times New Roman"/>
          <w:color w:val="000000"/>
          <w:szCs w:val="24"/>
          <w:lang w:eastAsia="en-US"/>
        </w:rPr>
        <w:t xml:space="preserve">a aplicação da norma na Espanha, </w:t>
      </w:r>
      <w:r w:rsidR="00A75A08">
        <w:rPr>
          <w:rFonts w:ascii="Times New Roman" w:eastAsia="Calibri" w:hAnsi="Times New Roman"/>
          <w:color w:val="000000"/>
          <w:szCs w:val="24"/>
          <w:lang w:eastAsia="en-US"/>
        </w:rPr>
        <w:fldChar w:fldCharType="begin" w:fldLock="1"/>
      </w:r>
      <w:r w:rsidR="00A75A08">
        <w:rPr>
          <w:rFonts w:ascii="Times New Roman" w:eastAsia="Calibri" w:hAnsi="Times New Roman"/>
          <w:color w:val="000000"/>
          <w:szCs w:val="24"/>
          <w:lang w:eastAsia="en-US"/>
        </w:rPr>
        <w:instrText>ADDIN CSL_CITATION {"citationItems":[{"id":"ITEM-1","itemData":{"ISBN":"11384891","ISSN":"19884672","PMID":"1030094650","abstract":"This paper presents empirical research comparing the accounting difficulties that arise from the use of two valuation methods for biological assets, fair value (FV) and historical cost (HC) accounting, in the agricultural sector. It also compares how reliable each valuation method is in the decision-making process of agents within the sector. By conducting an experiment with students, farmers, and accountants operating in the agricultural sector, we find that they have more difficulties, make larger miscalculations and make poorer judgements with HC accounting than with FV accounting. In-depth interviews uncover flawed accounting practices in the agricultural sector in Spain in order to meet HC accounting requirements. Given the complexities of cost calculation for biological assets and the predominance of small family business units in advanced Western countries, the study concludes that accounting can be more easily applied in the agricultural sector under FV than HC accounting, and that HC conveys a less accurate grasp of the real situation of a farm.","author":[{"dropping-particle":"","family":"Argilés Bosch","given":"Josep Maria","non-dropping-particle":"","parse-names":false,"suffix":""},{"dropping-particle":"","family":"Aliberch","given":"Anna Sabata","non-dropping-particle":"","parse-names":false,"suffix":""},{"dropping-particle":"","family":"Blandón","given":"Josep García","non-dropping-particle":"","parse-names":false,"suffix":""}],"container-title":"Revista de Contabilidad - Spanish Accounting Review","id":"ITEM-1","issue":"1","issued":{"date-parts":[["2012"]]},"page":"109-142","title":"A comparative study of difficulties in accounting preparation and judgement in agriculture using fair value and historical cost for biological assets valuation","type":"article-journal","volume":"15"},"uris":["http://www.mendeley.com/documents/?uuid=d08238ce-61a4-4d60-8c13-adcd67015475"]}],"mendeley":{"formattedCitation":"(ARGILÉS BOSCH; ALIBERCH; BLANDÓN, 2012)","manualFormatting":"Argilés Bosch, Aliberch e Blandón (2012)","plainTextFormattedCitation":"(ARGILÉS BOSCH; ALIBERCH; BLANDÓN, 2012)","previouslyFormattedCitation":"(ARGILÉS BOSCH; ALIBERCH; BLANDÓN, 2012)"},"properties":{"noteIndex":0},"schema":"https://github.com/citation-style-language/schema/raw/master/csl-citation.json"}</w:instrText>
      </w:r>
      <w:r w:rsidR="00A75A08">
        <w:rPr>
          <w:rFonts w:ascii="Times New Roman" w:eastAsia="Calibri" w:hAnsi="Times New Roman"/>
          <w:color w:val="000000"/>
          <w:szCs w:val="24"/>
          <w:lang w:eastAsia="en-US"/>
        </w:rPr>
        <w:fldChar w:fldCharType="separate"/>
      </w:r>
      <w:r w:rsidR="00A75A08" w:rsidRPr="00A75A08">
        <w:rPr>
          <w:rFonts w:ascii="Times New Roman" w:eastAsia="Calibri" w:hAnsi="Times New Roman"/>
          <w:noProof/>
          <w:color w:val="000000"/>
          <w:szCs w:val="24"/>
          <w:lang w:eastAsia="en-US"/>
        </w:rPr>
        <w:t>Argilés Bosch</w:t>
      </w:r>
      <w:r w:rsidR="00A75A08">
        <w:rPr>
          <w:rFonts w:ascii="Times New Roman" w:eastAsia="Calibri" w:hAnsi="Times New Roman"/>
          <w:noProof/>
          <w:color w:val="000000"/>
          <w:szCs w:val="24"/>
          <w:lang w:eastAsia="en-US"/>
        </w:rPr>
        <w:t>,</w:t>
      </w:r>
      <w:r w:rsidR="00A75A08" w:rsidRPr="00A75A08">
        <w:rPr>
          <w:rFonts w:ascii="Times New Roman" w:eastAsia="Calibri" w:hAnsi="Times New Roman"/>
          <w:noProof/>
          <w:color w:val="000000"/>
          <w:szCs w:val="24"/>
          <w:lang w:eastAsia="en-US"/>
        </w:rPr>
        <w:t xml:space="preserve"> Aliberch</w:t>
      </w:r>
      <w:r w:rsidR="00A75A08">
        <w:rPr>
          <w:rFonts w:ascii="Times New Roman" w:eastAsia="Calibri" w:hAnsi="Times New Roman"/>
          <w:noProof/>
          <w:color w:val="000000"/>
          <w:szCs w:val="24"/>
          <w:lang w:eastAsia="en-US"/>
        </w:rPr>
        <w:t xml:space="preserve"> e</w:t>
      </w:r>
      <w:r w:rsidR="00A75A08" w:rsidRPr="00A75A08">
        <w:rPr>
          <w:rFonts w:ascii="Times New Roman" w:eastAsia="Calibri" w:hAnsi="Times New Roman"/>
          <w:noProof/>
          <w:color w:val="000000"/>
          <w:szCs w:val="24"/>
          <w:lang w:eastAsia="en-US"/>
        </w:rPr>
        <w:t xml:space="preserve"> Blandón </w:t>
      </w:r>
      <w:r w:rsidR="00A75A08">
        <w:rPr>
          <w:rFonts w:ascii="Times New Roman" w:eastAsia="Calibri" w:hAnsi="Times New Roman"/>
          <w:noProof/>
          <w:color w:val="000000"/>
          <w:szCs w:val="24"/>
          <w:lang w:eastAsia="en-US"/>
        </w:rPr>
        <w:t>(</w:t>
      </w:r>
      <w:r w:rsidR="00A75A08" w:rsidRPr="00A75A08">
        <w:rPr>
          <w:rFonts w:ascii="Times New Roman" w:eastAsia="Calibri" w:hAnsi="Times New Roman"/>
          <w:noProof/>
          <w:color w:val="000000"/>
          <w:szCs w:val="24"/>
          <w:lang w:eastAsia="en-US"/>
        </w:rPr>
        <w:t>2012)</w:t>
      </w:r>
      <w:r w:rsidR="00A75A08">
        <w:rPr>
          <w:rFonts w:ascii="Times New Roman" w:eastAsia="Calibri" w:hAnsi="Times New Roman"/>
          <w:color w:val="000000"/>
          <w:szCs w:val="24"/>
          <w:lang w:eastAsia="en-US"/>
        </w:rPr>
        <w:fldChar w:fldCharType="end"/>
      </w:r>
      <w:r w:rsidRPr="00FD5D4B">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verificaram</w:t>
      </w:r>
      <w:r w:rsidR="005F5719" w:rsidRPr="005F5719">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que</w:t>
      </w:r>
      <w:r w:rsidRPr="00FD5D4B">
        <w:rPr>
          <w:rFonts w:ascii="Times New Roman" w:eastAsia="Calibri" w:hAnsi="Times New Roman"/>
          <w:color w:val="000000"/>
          <w:szCs w:val="24"/>
          <w:lang w:eastAsia="en-US"/>
        </w:rPr>
        <w:t xml:space="preserve"> </w:t>
      </w:r>
      <w:r w:rsidR="005F5719" w:rsidRPr="005F5719">
        <w:rPr>
          <w:rFonts w:ascii="Times New Roman" w:eastAsia="Calibri" w:hAnsi="Times New Roman"/>
          <w:color w:val="000000"/>
          <w:szCs w:val="24"/>
          <w:lang w:eastAsia="en-US"/>
        </w:rPr>
        <w:t xml:space="preserve">o </w:t>
      </w:r>
      <w:r w:rsidRPr="00FD5D4B">
        <w:rPr>
          <w:rFonts w:ascii="Times New Roman" w:eastAsia="Calibri" w:hAnsi="Times New Roman"/>
          <w:i/>
          <w:color w:val="000000"/>
          <w:szCs w:val="24"/>
          <w:lang w:eastAsia="en-US"/>
        </w:rPr>
        <w:t>fair value</w:t>
      </w:r>
      <w:r w:rsidR="005F5719" w:rsidRPr="005F5719">
        <w:rPr>
          <w:rFonts w:ascii="Times New Roman" w:eastAsia="Calibri" w:hAnsi="Times New Roman"/>
          <w:color w:val="000000"/>
          <w:szCs w:val="24"/>
          <w:lang w:eastAsia="en-US"/>
        </w:rPr>
        <w:t xml:space="preserve"> pode ser mais facilmente aplicado no setor agrícola do que </w:t>
      </w:r>
      <w:r>
        <w:rPr>
          <w:rFonts w:ascii="Times New Roman" w:eastAsia="Calibri" w:hAnsi="Times New Roman"/>
          <w:color w:val="000000"/>
          <w:szCs w:val="24"/>
          <w:lang w:eastAsia="en-US"/>
        </w:rPr>
        <w:t>o</w:t>
      </w:r>
      <w:r w:rsidR="005F5719" w:rsidRPr="005F5719">
        <w:rPr>
          <w:rFonts w:ascii="Times New Roman" w:eastAsia="Calibri" w:hAnsi="Times New Roman"/>
          <w:color w:val="000000"/>
          <w:szCs w:val="24"/>
          <w:lang w:eastAsia="en-US"/>
        </w:rPr>
        <w:t xml:space="preserve"> custo histórico. </w:t>
      </w:r>
      <w:r>
        <w:rPr>
          <w:rFonts w:ascii="Times New Roman" w:eastAsia="Calibri" w:hAnsi="Times New Roman"/>
          <w:color w:val="000000"/>
          <w:szCs w:val="24"/>
          <w:lang w:eastAsia="en-US"/>
        </w:rPr>
        <w:t>No</w:t>
      </w:r>
      <w:r w:rsidRPr="00FD5D4B">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mesmo</w:t>
      </w:r>
      <w:r w:rsidRPr="00FD5D4B">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sentido,</w:t>
      </w:r>
      <w:r w:rsidRPr="00FD5D4B">
        <w:rPr>
          <w:rFonts w:ascii="Times New Roman" w:eastAsia="Calibri" w:hAnsi="Times New Roman"/>
          <w:color w:val="000000"/>
          <w:szCs w:val="24"/>
          <w:lang w:eastAsia="en-US"/>
        </w:rPr>
        <w:t xml:space="preserve">  </w:t>
      </w:r>
      <w:r w:rsidR="00A75A08">
        <w:rPr>
          <w:rFonts w:ascii="Times New Roman" w:eastAsia="Calibri" w:hAnsi="Times New Roman"/>
          <w:color w:val="000000"/>
          <w:szCs w:val="24"/>
          <w:lang w:eastAsia="en-US"/>
        </w:rPr>
        <w:fldChar w:fldCharType="begin" w:fldLock="1"/>
      </w:r>
      <w:r w:rsidR="009745A1">
        <w:rPr>
          <w:rFonts w:ascii="Times New Roman" w:eastAsia="Calibri" w:hAnsi="Times New Roman"/>
          <w:color w:val="000000"/>
          <w:szCs w:val="24"/>
          <w:lang w:eastAsia="en-US"/>
        </w:rPr>
        <w:instrText>ADDIN CSL_CITATION {"citationItems":[{"id":"ITEM-1","itemData":{"ISSN":"18770428","abstract":"The paper focuses on the possible ways of biological assets measurement in financial reporting of SMEs. The entity uses the fair value model for those biological assets for which fair value is readily determinable, and cost model is employed for all other biological assets. The substance of all kinds of biological assets differs significantly, especially bearer plants and living animals. The authors evaluated application over mentioned methods for representatives of both kinds of biological assets (apple orchard and dairy cows). According to the study, historical cost is suitable for bearer plants, the fair value measurement is suitable for living animals.","author":[{"dropping-particle":"","family":"Bohušová","given":"Hana","non-dropping-particle":"","parse-names":false,"suffix":""},{"dropping-particle":"","family":"Svoboda","given":"Patrik","non-dropping-particle":"","parse-names":false,"suffix":""}],"container-title":"Procedia - Social and Behavioral Sciences","id":"ITEM-1","issued":{"date-parts":[["2016"]]},"page":"62-69","title":"Biological Assets: In What Way should be Measured by SMEs?","type":"article-journal","volume":"220"},"uris":["http://www.mendeley.com/documents/?uuid=b6e4d87b-71f8-313e-958d-77eba2c13843"]}],"mendeley":{"formattedCitation":"(BOHUŠOVÁ; SVOBODA, 2016)","manualFormatting":"Bohušová e Svoboda (2016)","plainTextFormattedCitation":"(BOHUŠOVÁ; SVOBODA, 2016)","previouslyFormattedCitation":"(BOHUŠOVÁ; SVOBODA, 2016)"},"properties":{"noteIndex":0},"schema":"https://github.com/citation-style-language/schema/raw/master/csl-citation.json"}</w:instrText>
      </w:r>
      <w:r w:rsidR="00A75A08">
        <w:rPr>
          <w:rFonts w:ascii="Times New Roman" w:eastAsia="Calibri" w:hAnsi="Times New Roman"/>
          <w:color w:val="000000"/>
          <w:szCs w:val="24"/>
          <w:lang w:eastAsia="en-US"/>
        </w:rPr>
        <w:fldChar w:fldCharType="separate"/>
      </w:r>
      <w:r w:rsidR="00A75A08" w:rsidRPr="00A75A08">
        <w:rPr>
          <w:rFonts w:ascii="Times New Roman" w:eastAsia="Calibri" w:hAnsi="Times New Roman"/>
          <w:noProof/>
          <w:color w:val="000000"/>
          <w:szCs w:val="24"/>
          <w:lang w:eastAsia="en-US"/>
        </w:rPr>
        <w:t>B</w:t>
      </w:r>
      <w:r w:rsidR="00A75A08">
        <w:rPr>
          <w:rFonts w:ascii="Times New Roman" w:eastAsia="Calibri" w:hAnsi="Times New Roman"/>
          <w:noProof/>
          <w:color w:val="000000"/>
          <w:szCs w:val="24"/>
          <w:lang w:eastAsia="en-US"/>
        </w:rPr>
        <w:t>ohušová e</w:t>
      </w:r>
      <w:r w:rsidR="00A75A08" w:rsidRPr="00A75A08">
        <w:rPr>
          <w:rFonts w:ascii="Times New Roman" w:eastAsia="Calibri" w:hAnsi="Times New Roman"/>
          <w:noProof/>
          <w:color w:val="000000"/>
          <w:szCs w:val="24"/>
          <w:lang w:eastAsia="en-US"/>
        </w:rPr>
        <w:t xml:space="preserve"> Svoboda </w:t>
      </w:r>
      <w:r w:rsidR="00A75A08">
        <w:rPr>
          <w:rFonts w:ascii="Times New Roman" w:eastAsia="Calibri" w:hAnsi="Times New Roman"/>
          <w:noProof/>
          <w:color w:val="000000"/>
          <w:szCs w:val="24"/>
          <w:lang w:eastAsia="en-US"/>
        </w:rPr>
        <w:t>(</w:t>
      </w:r>
      <w:r w:rsidR="00A75A08" w:rsidRPr="00A75A08">
        <w:rPr>
          <w:rFonts w:ascii="Times New Roman" w:eastAsia="Calibri" w:hAnsi="Times New Roman"/>
          <w:noProof/>
          <w:color w:val="000000"/>
          <w:szCs w:val="24"/>
          <w:lang w:eastAsia="en-US"/>
        </w:rPr>
        <w:t>2016)</w:t>
      </w:r>
      <w:r w:rsidR="00A75A08">
        <w:rPr>
          <w:rFonts w:ascii="Times New Roman" w:eastAsia="Calibri" w:hAnsi="Times New Roman"/>
          <w:color w:val="000000"/>
          <w:szCs w:val="24"/>
          <w:lang w:eastAsia="en-US"/>
        </w:rPr>
        <w:fldChar w:fldCharType="end"/>
      </w:r>
      <w:r w:rsidR="00A75A08">
        <w:rPr>
          <w:rFonts w:ascii="Times New Roman" w:eastAsia="Calibri" w:hAnsi="Times New Roman"/>
          <w:color w:val="000000"/>
          <w:szCs w:val="24"/>
          <w:lang w:eastAsia="en-US"/>
        </w:rPr>
        <w:t xml:space="preserve"> </w:t>
      </w:r>
      <w:r w:rsidR="005F5719" w:rsidRPr="005F5719">
        <w:rPr>
          <w:rFonts w:ascii="Times New Roman" w:eastAsia="Calibri" w:hAnsi="Times New Roman"/>
          <w:color w:val="000000"/>
          <w:szCs w:val="24"/>
          <w:lang w:eastAsia="en-US"/>
        </w:rPr>
        <w:t>ao analisar os métodos de mensuração para pomares de maçã e vaca leiteira</w:t>
      </w:r>
      <w:r>
        <w:rPr>
          <w:rFonts w:ascii="Times New Roman" w:eastAsia="Calibri" w:hAnsi="Times New Roman"/>
          <w:color w:val="000000"/>
          <w:szCs w:val="24"/>
          <w:lang w:eastAsia="en-US"/>
        </w:rPr>
        <w:t>,</w:t>
      </w:r>
      <w:r w:rsidR="005F5719" w:rsidRPr="005F5719">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concluiram</w:t>
      </w:r>
      <w:r w:rsidR="005F5719" w:rsidRPr="005F5719">
        <w:rPr>
          <w:rFonts w:ascii="Times New Roman" w:eastAsia="Calibri" w:hAnsi="Times New Roman"/>
          <w:color w:val="000000"/>
          <w:szCs w:val="24"/>
          <w:lang w:eastAsia="en-US"/>
        </w:rPr>
        <w:t xml:space="preserve"> que o custo histórico é adequado para a mensuração das </w:t>
      </w:r>
      <w:r w:rsidR="005F5719" w:rsidRPr="00FD5D4B">
        <w:rPr>
          <w:rFonts w:ascii="Times New Roman" w:eastAsia="Calibri" w:hAnsi="Times New Roman"/>
          <w:i/>
          <w:color w:val="000000"/>
          <w:szCs w:val="24"/>
          <w:lang w:eastAsia="en-US"/>
        </w:rPr>
        <w:t>bearer plants</w:t>
      </w:r>
      <w:r w:rsidR="005F5719" w:rsidRPr="005F5719">
        <w:rPr>
          <w:rFonts w:ascii="Times New Roman" w:eastAsia="Calibri" w:hAnsi="Times New Roman"/>
          <w:color w:val="000000"/>
          <w:szCs w:val="24"/>
          <w:lang w:eastAsia="en-US"/>
        </w:rPr>
        <w:t xml:space="preserve"> e a medição do </w:t>
      </w:r>
      <w:r w:rsidR="005F5719" w:rsidRPr="00FD5D4B">
        <w:rPr>
          <w:rFonts w:ascii="Times New Roman" w:eastAsia="Calibri" w:hAnsi="Times New Roman"/>
          <w:i/>
          <w:color w:val="000000"/>
          <w:szCs w:val="24"/>
          <w:lang w:eastAsia="en-US"/>
        </w:rPr>
        <w:t>fair value</w:t>
      </w:r>
      <w:r w:rsidR="005F5719" w:rsidRPr="005F5719">
        <w:rPr>
          <w:rFonts w:ascii="Times New Roman" w:eastAsia="Calibri" w:hAnsi="Times New Roman"/>
          <w:color w:val="000000"/>
          <w:szCs w:val="24"/>
          <w:lang w:eastAsia="en-US"/>
        </w:rPr>
        <w:t xml:space="preserve"> é adequada para animais vivos.</w:t>
      </w:r>
    </w:p>
    <w:p w:rsidR="005F5719" w:rsidRDefault="009745A1"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fldChar w:fldCharType="begin" w:fldLock="1"/>
      </w:r>
      <w:r w:rsidR="00997B5F">
        <w:rPr>
          <w:rFonts w:ascii="Times New Roman" w:eastAsia="Calibri" w:hAnsi="Times New Roman"/>
          <w:color w:val="000000"/>
          <w:szCs w:val="24"/>
          <w:lang w:eastAsia="en-US"/>
        </w:rPr>
        <w:instrText>ADDIN CSL_CITATION {"citationItems":[{"id":"ITEM-1","itemData":{"ISSN":"0303-1853","abstract":"ABSTRACT Biological assets should be valued at fair value less point of sale costs only if an active market exists. The quoted price in an active market is the appropriate basis for determining the fair value of the asset. The objective of this research was to identify the challenges in respect of fair value reporting on the part of small- and medium-sized entities that publish general purpose financial statements, but that do not have public accountability in implementing the requirements of the International Financial Reporting Standard for Small and Medium-sized Entities. Through the research it was established that in Kenya the commodity markets operate in a simplified auction system with no clear price discovery mechanism. The lack of an active and transparent market is a serious challenge in terms of the application of fair value to biological assets. Consequently most of the farmers prefer to model the market information available. In the light of the diverse nature of agricultural produce, this article recommends virtual trading and development of commodity futures in order to reduce the market access cost, to improve accessibility to market information and to transform the role of middle traders to that of market linkages.\\nABSTRACT Biological assets should be valued at fair value less point of sale costs only if an active market exists. The quoted price in an active market is the appropriate basis for determining the fair value of the asset. The objective of this research was to identify the challenges in respect of fair value reporting on the part of small- and medium-sized entities that publish general purpose financial statements, but that do not have public accountability in implementing the requirements of the International Financial Reporting Standard for Small and Medium-sized Entities. Through the research it was established that in Kenya the commodity markets operate in a simplified auction system with no clear price discovery mechanism. The lack of an active and transparent market is a serious challenge in terms of the application of fair value to biological assets. Consequently most of the farmers prefer to model the market information available. In the light of the diverse nature of agricultural produce, this article recommends virtual trading and development of commodity futures in order to reduce the market access cost, to improve accessibility to market information and to transform the role of middle traders to that of market li…","author":[{"dropping-particle":"","family":"Maina","given":"P.N.","non-dropping-particle":"","parse-names":false,"suffix":""},{"dropping-particle":"","family":"Wingard","given":"H.C.","non-dropping-particle":"","parse-names":false,"suffix":""}],"container-title":"Agrekon","id":"ITEM-1","issue":"2","issued":{"date-parts":[["2013"]]},"page":"52-74","title":"Small and medium-sized entities in the agricultural sector: Fair value reporting challenges","type":"article-journal","volume":"52"},"uris":["http://www.mendeley.com/documents/?uuid=b4f79110-5ef7-4f54-9fbe-2f073bb7e318"]}],"mendeley":{"formattedCitation":"(MAINA; WINGARD, 2013)","manualFormatting":"Maina e Wingard (2013)","plainTextFormattedCitation":"(MAINA; WINGARD, 2013)","previouslyFormattedCitation":"(MAINA; WINGARD, 2013)"},"properties":{"noteIndex":0},"schema":"https://github.com/citation-style-language/schema/raw/master/csl-citation.json"}</w:instrText>
      </w:r>
      <w:r>
        <w:rPr>
          <w:rFonts w:ascii="Times New Roman" w:eastAsia="Calibri" w:hAnsi="Times New Roman"/>
          <w:color w:val="000000"/>
          <w:szCs w:val="24"/>
          <w:lang w:eastAsia="en-US"/>
        </w:rPr>
        <w:fldChar w:fldCharType="separate"/>
      </w:r>
      <w:r w:rsidRPr="009745A1">
        <w:rPr>
          <w:rFonts w:ascii="Times New Roman" w:eastAsia="Calibri" w:hAnsi="Times New Roman"/>
          <w:noProof/>
          <w:color w:val="000000"/>
          <w:szCs w:val="24"/>
          <w:lang w:eastAsia="en-US"/>
        </w:rPr>
        <w:t>Maina</w:t>
      </w:r>
      <w:r>
        <w:rPr>
          <w:rFonts w:ascii="Times New Roman" w:eastAsia="Calibri" w:hAnsi="Times New Roman"/>
          <w:noProof/>
          <w:color w:val="000000"/>
          <w:szCs w:val="24"/>
          <w:lang w:eastAsia="en-US"/>
        </w:rPr>
        <w:t xml:space="preserve"> e</w:t>
      </w:r>
      <w:r w:rsidRPr="009745A1">
        <w:rPr>
          <w:rFonts w:ascii="Times New Roman" w:eastAsia="Calibri" w:hAnsi="Times New Roman"/>
          <w:noProof/>
          <w:color w:val="000000"/>
          <w:szCs w:val="24"/>
          <w:lang w:eastAsia="en-US"/>
        </w:rPr>
        <w:t xml:space="preserve"> Wingard </w:t>
      </w:r>
      <w:r>
        <w:rPr>
          <w:rFonts w:ascii="Times New Roman" w:eastAsia="Calibri" w:hAnsi="Times New Roman"/>
          <w:noProof/>
          <w:color w:val="000000"/>
          <w:szCs w:val="24"/>
          <w:lang w:eastAsia="en-US"/>
        </w:rPr>
        <w:t>(</w:t>
      </w:r>
      <w:r w:rsidRPr="009745A1">
        <w:rPr>
          <w:rFonts w:ascii="Times New Roman" w:eastAsia="Calibri" w:hAnsi="Times New Roman"/>
          <w:noProof/>
          <w:color w:val="000000"/>
          <w:szCs w:val="24"/>
          <w:lang w:eastAsia="en-US"/>
        </w:rPr>
        <w:t>2013)</w:t>
      </w:r>
      <w:r>
        <w:rPr>
          <w:rFonts w:ascii="Times New Roman" w:eastAsia="Calibri" w:hAnsi="Times New Roman"/>
          <w:color w:val="000000"/>
          <w:szCs w:val="24"/>
          <w:lang w:eastAsia="en-US"/>
        </w:rPr>
        <w:fldChar w:fldCharType="end"/>
      </w:r>
      <w:r w:rsidR="005F5719" w:rsidRPr="005F5719">
        <w:rPr>
          <w:rFonts w:ascii="Times New Roman" w:eastAsia="Calibri" w:hAnsi="Times New Roman"/>
          <w:color w:val="000000"/>
          <w:szCs w:val="24"/>
          <w:lang w:eastAsia="en-US"/>
        </w:rPr>
        <w:t xml:space="preserve"> afirmam que a falta de um mercado ativo e transparente  no Quênia, representa um grande desafio para a aplicação do </w:t>
      </w:r>
      <w:r w:rsidR="005F5719" w:rsidRPr="00FD5D4B">
        <w:rPr>
          <w:rFonts w:ascii="Times New Roman" w:eastAsia="Calibri" w:hAnsi="Times New Roman"/>
          <w:i/>
          <w:color w:val="000000"/>
          <w:szCs w:val="24"/>
          <w:lang w:eastAsia="en-US"/>
        </w:rPr>
        <w:t>fair value</w:t>
      </w:r>
      <w:r w:rsidR="005F5719" w:rsidRPr="005F5719">
        <w:rPr>
          <w:rFonts w:ascii="Times New Roman" w:eastAsia="Calibri" w:hAnsi="Times New Roman"/>
          <w:color w:val="000000"/>
          <w:szCs w:val="24"/>
          <w:lang w:eastAsia="en-US"/>
        </w:rPr>
        <w:t xml:space="preserve"> na mensuração dos ativos biológicos. Além disso,  a IAS 41 apresenta critérios de avaliação e mensuração controversos, o que dificulta a implementação desta norma no agronegócio da Romênia </w:t>
      </w:r>
      <w:r w:rsidR="00997B5F">
        <w:rPr>
          <w:rFonts w:ascii="Times New Roman" w:eastAsia="Calibri" w:hAnsi="Times New Roman"/>
          <w:color w:val="000000"/>
          <w:szCs w:val="24"/>
          <w:lang w:eastAsia="en-US"/>
        </w:rPr>
        <w:fldChar w:fldCharType="begin" w:fldLock="1"/>
      </w:r>
      <w:r w:rsidR="00BA58D4">
        <w:rPr>
          <w:rFonts w:ascii="Times New Roman" w:eastAsia="Calibri" w:hAnsi="Times New Roman"/>
          <w:color w:val="000000"/>
          <w:szCs w:val="24"/>
          <w:lang w:eastAsia="en-US"/>
        </w:rPr>
        <w:instrText>ADDIN CSL_CITATION {"citationItems":[{"id":"ITEM-1","itemData":{"ISSN":"0354-4664","author":[{"dropping-particle":"","family":"Mates","given":"Dorel","non-dropping-particle":"","parse-names":false,"suffix":""},{"dropping-particle":"","family":"Grosu","given":"Veronica","non-dropping-particle":"","parse-names":false,"suffix":""},{"dropping-particle":"","family":"Hlaciuc","given":"Elena","non-dropping-particle":"","parse-names":false,"suffix":""},{"dropping-particle":"","family":"Bostan","given":"Ionel","non-dropping-particle":"","parse-names":false,"suffix":""},{"dropping-particle":"","family":"Bunget","given":"Ovidiu","non-dropping-particle":"","parse-names":false,"suffix":""},{"dropping-particle":"","family":"Domil","given":"Aura","non-dropping-particle":"","parse-names":false,"suffix":""},{"dropping-particle":"","family":"Moraru","given":"Maria","non-dropping-particle":"","parse-names":false,"suffix":""},{"dropping-particle":"","family":"Artene","given":"Alin","non-dropping-particle":"","parse-names":false,"suffix":""}],"container-title":"Archives of Biological Sciences","id":"ITEM-1","issue":"2","issued":{"date-parts":[["2015"]]},"page":"705-714","title":"Biological assets and the agricultural products in the context of the implementation of the IAS 41: A case study of the Romanian agro-food system","type":"article-journal","volume":"67"},"uris":["http://www.mendeley.com/documents/?uuid=8a5f944a-a82e-4721-bfc7-660cbc0e93e9"]}],"mendeley":{"formattedCitation":"(MATES et al., 2015)","plainTextFormattedCitation":"(MATES et al., 2015)","previouslyFormattedCitation":"(MATES et al., 2015)"},"properties":{"noteIndex":0},"schema":"https://github.com/citation-style-language/schema/raw/master/csl-citation.json"}</w:instrText>
      </w:r>
      <w:r w:rsidR="00997B5F">
        <w:rPr>
          <w:rFonts w:ascii="Times New Roman" w:eastAsia="Calibri" w:hAnsi="Times New Roman"/>
          <w:color w:val="000000"/>
          <w:szCs w:val="24"/>
          <w:lang w:eastAsia="en-US"/>
        </w:rPr>
        <w:fldChar w:fldCharType="separate"/>
      </w:r>
      <w:r w:rsidR="00997B5F" w:rsidRPr="00997B5F">
        <w:rPr>
          <w:rFonts w:ascii="Times New Roman" w:eastAsia="Calibri" w:hAnsi="Times New Roman"/>
          <w:noProof/>
          <w:color w:val="000000"/>
          <w:szCs w:val="24"/>
          <w:lang w:eastAsia="en-US"/>
        </w:rPr>
        <w:t>(MATES et al., 2015)</w:t>
      </w:r>
      <w:r w:rsidR="00997B5F">
        <w:rPr>
          <w:rFonts w:ascii="Times New Roman" w:eastAsia="Calibri" w:hAnsi="Times New Roman"/>
          <w:color w:val="000000"/>
          <w:szCs w:val="24"/>
          <w:lang w:eastAsia="en-US"/>
        </w:rPr>
        <w:fldChar w:fldCharType="end"/>
      </w:r>
      <w:r w:rsidR="005F5719" w:rsidRPr="005F5719">
        <w:rPr>
          <w:rFonts w:ascii="Times New Roman" w:eastAsia="Calibri" w:hAnsi="Times New Roman"/>
          <w:color w:val="000000"/>
          <w:szCs w:val="24"/>
          <w:lang w:eastAsia="en-US"/>
        </w:rPr>
        <w:t xml:space="preserve">. </w:t>
      </w:r>
      <w:r w:rsidR="00BA58D4">
        <w:rPr>
          <w:rFonts w:ascii="Times New Roman" w:eastAsia="Calibri" w:hAnsi="Times New Roman"/>
          <w:color w:val="000000"/>
          <w:szCs w:val="24"/>
          <w:lang w:eastAsia="en-US"/>
        </w:rPr>
        <w:fldChar w:fldCharType="begin" w:fldLock="1"/>
      </w:r>
      <w:r w:rsidR="008211CB">
        <w:rPr>
          <w:rFonts w:ascii="Times New Roman" w:eastAsia="Calibri" w:hAnsi="Times New Roman"/>
          <w:color w:val="000000"/>
          <w:szCs w:val="24"/>
          <w:lang w:eastAsia="en-US"/>
        </w:rPr>
        <w:instrText>ADDIN CSL_CITATION {"citationItems":[{"id":"ITEM-1","itemData":{"DOI":"10.1016/j.sbspro.2014.11.052","ISBN":"1877-0428","ISSN":"18770428","abstract":"This paper is an in-depth review of IAS 41 from two dimensions, technical-theoretical dimension and meaning dimension simultaneously. The study aimed to anticipate the hazardous potentialities in valuation caused by monetary logo-centrism in accounting. The concepts offered are based on the condition of the existing culture in Indonesian society that was abstracted through ethnomethodology. These concepts represent Indonesian farmers’ viewpoints and ways of life in that are also closely related with agriculture utilities cycle. This paper suggests that agriculture accounting can be carried out even if it does not use monetary unit as its valuation approach.","author":[{"dropping-particle":"","family":"Kurniawan","given":"Rendra","non-dropping-particle":"","parse-names":false,"suffix":""},{"dropping-particle":"","family":"Mulawarman","given":"Aji Dedi","non-dropping-particle":"","parse-names":false,"suffix":""},{"dropping-particle":"","family":"Kamayanti","given":"Ari","non-dropping-particle":"","parse-names":false,"suffix":""}],"container-title":"Procedia - Social and Behavioral Sciences","id":"ITEM-1","issue":"August","issued":{"date-parts":[["2014"]]},"page":"68-75","publisher":"Elsevier B.V.","title":"Biological Assets Valuation Reconstruction: A Critical Study of IAS 41 on Agricultural Accounting in Indonesian Farmers","type":"article-journal","volume":"164"},"uris":["http://www.mendeley.com/documents/?uuid=3f947eb0-d448-4e95-af6d-cfa90c1d2469"]}],"mendeley":{"formattedCitation":"(KURNIAWAN; MULAWARMAN; KAMAYANTI, 2014)","manualFormatting":"Kurniawan, Mulawarman e Kamayanti (2014)","plainTextFormattedCitation":"(KURNIAWAN; MULAWARMAN; KAMAYANTI, 2014)","previouslyFormattedCitation":"(KURNIAWAN; MULAWARMAN; KAMAYANTI, 2014)"},"properties":{"noteIndex":0},"schema":"https://github.com/citation-style-language/schema/raw/master/csl-citation.json"}</w:instrText>
      </w:r>
      <w:r w:rsidR="00BA58D4">
        <w:rPr>
          <w:rFonts w:ascii="Times New Roman" w:eastAsia="Calibri" w:hAnsi="Times New Roman"/>
          <w:color w:val="000000"/>
          <w:szCs w:val="24"/>
          <w:lang w:eastAsia="en-US"/>
        </w:rPr>
        <w:fldChar w:fldCharType="separate"/>
      </w:r>
      <w:r w:rsidR="00BA58D4" w:rsidRPr="00BA58D4">
        <w:rPr>
          <w:rFonts w:ascii="Times New Roman" w:eastAsia="Calibri" w:hAnsi="Times New Roman"/>
          <w:noProof/>
          <w:color w:val="000000"/>
          <w:szCs w:val="24"/>
          <w:lang w:eastAsia="en-US"/>
        </w:rPr>
        <w:t>K</w:t>
      </w:r>
      <w:r w:rsidR="00BA58D4">
        <w:rPr>
          <w:rFonts w:ascii="Times New Roman" w:eastAsia="Calibri" w:hAnsi="Times New Roman"/>
          <w:noProof/>
          <w:color w:val="000000"/>
          <w:szCs w:val="24"/>
          <w:lang w:eastAsia="en-US"/>
        </w:rPr>
        <w:t>urniawan,</w:t>
      </w:r>
      <w:r w:rsidR="00BA58D4" w:rsidRPr="00BA58D4">
        <w:rPr>
          <w:rFonts w:ascii="Times New Roman" w:eastAsia="Calibri" w:hAnsi="Times New Roman"/>
          <w:noProof/>
          <w:color w:val="000000"/>
          <w:szCs w:val="24"/>
          <w:lang w:eastAsia="en-US"/>
        </w:rPr>
        <w:t xml:space="preserve"> Mulawarman</w:t>
      </w:r>
      <w:r w:rsidR="00BA58D4">
        <w:rPr>
          <w:rFonts w:ascii="Times New Roman" w:eastAsia="Calibri" w:hAnsi="Times New Roman"/>
          <w:noProof/>
          <w:color w:val="000000"/>
          <w:szCs w:val="24"/>
          <w:lang w:eastAsia="en-US"/>
        </w:rPr>
        <w:t xml:space="preserve"> e</w:t>
      </w:r>
      <w:r w:rsidR="00BA58D4" w:rsidRPr="00BA58D4">
        <w:rPr>
          <w:rFonts w:ascii="Times New Roman" w:eastAsia="Calibri" w:hAnsi="Times New Roman"/>
          <w:noProof/>
          <w:color w:val="000000"/>
          <w:szCs w:val="24"/>
          <w:lang w:eastAsia="en-US"/>
        </w:rPr>
        <w:t xml:space="preserve"> Kamayanti </w:t>
      </w:r>
      <w:r w:rsidR="00BA58D4">
        <w:rPr>
          <w:rFonts w:ascii="Times New Roman" w:eastAsia="Calibri" w:hAnsi="Times New Roman"/>
          <w:noProof/>
          <w:color w:val="000000"/>
          <w:szCs w:val="24"/>
          <w:lang w:eastAsia="en-US"/>
        </w:rPr>
        <w:t>(</w:t>
      </w:r>
      <w:r w:rsidR="00BA58D4" w:rsidRPr="00BA58D4">
        <w:rPr>
          <w:rFonts w:ascii="Times New Roman" w:eastAsia="Calibri" w:hAnsi="Times New Roman"/>
          <w:noProof/>
          <w:color w:val="000000"/>
          <w:szCs w:val="24"/>
          <w:lang w:eastAsia="en-US"/>
        </w:rPr>
        <w:t>2014)</w:t>
      </w:r>
      <w:r w:rsidR="00BA58D4">
        <w:rPr>
          <w:rFonts w:ascii="Times New Roman" w:eastAsia="Calibri" w:hAnsi="Times New Roman"/>
          <w:color w:val="000000"/>
          <w:szCs w:val="24"/>
          <w:lang w:eastAsia="en-US"/>
        </w:rPr>
        <w:fldChar w:fldCharType="end"/>
      </w:r>
      <w:r w:rsidR="005F5719" w:rsidRPr="005F5719">
        <w:rPr>
          <w:rFonts w:ascii="Times New Roman" w:eastAsia="Calibri" w:hAnsi="Times New Roman"/>
          <w:color w:val="000000"/>
          <w:szCs w:val="24"/>
          <w:lang w:eastAsia="en-US"/>
        </w:rPr>
        <w:t xml:space="preserve"> também criticam a IAS nº 41, pois a avaliação do </w:t>
      </w:r>
      <w:r w:rsidR="005F5719" w:rsidRPr="00FD5D4B">
        <w:rPr>
          <w:rFonts w:ascii="Times New Roman" w:eastAsia="Calibri" w:hAnsi="Times New Roman"/>
          <w:i/>
          <w:color w:val="000000"/>
          <w:szCs w:val="24"/>
          <w:lang w:eastAsia="en-US"/>
        </w:rPr>
        <w:t>fair value</w:t>
      </w:r>
      <w:r w:rsidR="005F5719" w:rsidRPr="005F5719">
        <w:rPr>
          <w:rFonts w:ascii="Times New Roman" w:eastAsia="Calibri" w:hAnsi="Times New Roman"/>
          <w:color w:val="000000"/>
          <w:szCs w:val="24"/>
          <w:lang w:eastAsia="en-US"/>
        </w:rPr>
        <w:t xml:space="preserve"> nesses termos, não é considerada confiável por ser</w:t>
      </w:r>
      <w:r w:rsidR="00FD5D4B">
        <w:rPr>
          <w:rFonts w:ascii="Times New Roman" w:eastAsia="Calibri" w:hAnsi="Times New Roman"/>
          <w:color w:val="000000"/>
          <w:szCs w:val="24"/>
          <w:lang w:eastAsia="en-US"/>
        </w:rPr>
        <w:t xml:space="preserve"> demasiadamente subjetiva</w:t>
      </w:r>
      <w:r w:rsidR="005F5719" w:rsidRPr="005F5719">
        <w:rPr>
          <w:rFonts w:ascii="Times New Roman" w:eastAsia="Calibri" w:hAnsi="Times New Roman"/>
          <w:color w:val="000000"/>
          <w:szCs w:val="24"/>
          <w:lang w:eastAsia="en-US"/>
        </w:rPr>
        <w:t>.</w:t>
      </w:r>
    </w:p>
    <w:p w:rsidR="00A00C16" w:rsidRDefault="009A6691"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A relevância e qualidade informacional do </w:t>
      </w:r>
      <w:r w:rsidRPr="000E5487">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xml:space="preserve"> dos ativos biológicos está atrelada a informatividade e transpa</w:t>
      </w:r>
      <w:r w:rsidR="007562CC" w:rsidRPr="000E5487">
        <w:rPr>
          <w:rFonts w:ascii="Times New Roman" w:eastAsia="Calibri" w:hAnsi="Times New Roman"/>
          <w:color w:val="000000"/>
          <w:szCs w:val="24"/>
          <w:lang w:eastAsia="en-US"/>
        </w:rPr>
        <w:t>r</w:t>
      </w:r>
      <w:r w:rsidRPr="000E5487">
        <w:rPr>
          <w:rFonts w:ascii="Times New Roman" w:eastAsia="Calibri" w:hAnsi="Times New Roman"/>
          <w:color w:val="000000"/>
          <w:szCs w:val="24"/>
          <w:lang w:eastAsia="en-US"/>
        </w:rPr>
        <w:t>ência das</w:t>
      </w:r>
      <w:r w:rsidR="007562CC" w:rsidRPr="000E5487">
        <w:rPr>
          <w:rFonts w:ascii="Times New Roman" w:eastAsia="Calibri" w:hAnsi="Times New Roman"/>
          <w:color w:val="000000"/>
          <w:szCs w:val="24"/>
          <w:lang w:eastAsia="en-US"/>
        </w:rPr>
        <w:t xml:space="preserve"> </w:t>
      </w:r>
      <w:r w:rsidR="008E7660">
        <w:rPr>
          <w:rFonts w:ascii="Times New Roman" w:eastAsia="Calibri" w:hAnsi="Times New Roman"/>
          <w:color w:val="000000"/>
          <w:szCs w:val="24"/>
          <w:lang w:eastAsia="en-US"/>
        </w:rPr>
        <w:t>notas explic</w:t>
      </w:r>
      <w:r w:rsidR="005F5719" w:rsidRPr="000E5487">
        <w:rPr>
          <w:rFonts w:ascii="Times New Roman" w:eastAsia="Calibri" w:hAnsi="Times New Roman"/>
          <w:color w:val="000000"/>
          <w:szCs w:val="24"/>
          <w:lang w:eastAsia="en-US"/>
        </w:rPr>
        <w:t>ativas</w:t>
      </w:r>
      <w:r w:rsidR="007562CC" w:rsidRPr="000E5487">
        <w:rPr>
          <w:rFonts w:ascii="Times New Roman" w:eastAsia="Calibri" w:hAnsi="Times New Roman"/>
          <w:color w:val="000000"/>
          <w:szCs w:val="24"/>
          <w:lang w:eastAsia="en-US"/>
        </w:rPr>
        <w:t xml:space="preserve">. </w:t>
      </w:r>
      <w:r w:rsidR="008211CB">
        <w:rPr>
          <w:rFonts w:ascii="Times New Roman" w:eastAsia="Calibri" w:hAnsi="Times New Roman"/>
          <w:color w:val="000000"/>
          <w:szCs w:val="24"/>
          <w:lang w:eastAsia="en-US"/>
        </w:rPr>
        <w:fldChar w:fldCharType="begin" w:fldLock="1"/>
      </w:r>
      <w:r w:rsidR="00F23FE5">
        <w:rPr>
          <w:rFonts w:ascii="Times New Roman" w:eastAsia="Calibri" w:hAnsi="Times New Roman"/>
          <w:color w:val="000000"/>
          <w:szCs w:val="24"/>
          <w:lang w:eastAsia="en-US"/>
        </w:rPr>
        <w:instrText>ADDIN CSL_CITATION {"citationItems":[{"id":"ITEM-1","itemData":{"abstract":"Esta pesquisa tem como objetivo analisar o impacto do valor justo na mensuração dos ativos biológicos das empresas listadas na BM&amp;FBOVESPA nos exercícios de 2008 a 2010. Foram utilizadas as pesquisas descritiva, bibliográfica, documental e qualitativa. A coleta de dados foi realizada nos sítios da BM&amp;FBOVESPA e da CVM. Os resultados revelaram que a média dos valores desses ativos foi crescente em todos os períodos analisados e que foram visualizadas variações significativas após a adoção do valor justo. Conclui-se que a aplicação do CPC 29 apresentou forte impacto na evidenciação contábil das empresas pesquisadas, as informações sobre os ativos biológicos disponibilizadas nas notas explicativas em geral são superficiais, basicamente, elas informam aos seus leitores que as entidades realizam a mensuração desses itens, conforme disposto na legislação vigente, as tornando desse modo, insuficientes para a compreensão da real situação desses ativos, em virtude da inexistência de dados que contribuam para análise dos critérios utilizados no reconhecimento, mensuração e evidenciação de seus ativos biológicos, situação que compromete a tomada de decisão dos usuários dessas informações.","author":[{"dropping-particle":"","family":"Barros","given":"Célio Da Costa;","non-dropping-particle":"","parse-names":false,"suffix":""},{"dropping-particle":"De","family":"Souza","given":"Fábia Jaiany Viana","non-dropping-particle":"","parse-names":false,"suffix":""},{"dropping-particle":"","family":"Araújo","given":"Aneide Oliveira;","non-dropping-particle":"","parse-names":false,"suffix":""},{"dropping-particle":"","family":"Silva","given":"José Dionísio Gomes Da;","non-dropping-particle":"","parse-names":false,"suffix":""},{"dropping-particle":"","family":"Silva","given":"Mauricii Côrrea Da;","non-dropping-particle":"","parse-names":false,"suffix":""}],"container-title":"Revista de Contabilidade do Mestrado em Ciências Contábeis da UERJ","id":"ITEM-1","issue":"3","issued":{"date-parts":[["2012"]]},"page":"41-59","title":"O Impacto do Valor Justo na Mensuração dos Ativos Biológicos nas Empresas Listadas na BM&amp;FBOVESPA","type":"article-journal","volume":"17"},"uris":["http://www.mendeley.com/documents/?uuid=4b489326-1404-3d62-a616-d3a421765319"]}],"mendeley":{"formattedCitation":"(BARROS et al., 2012)","manualFormatting":"Barros et al. (2012)","plainTextFormattedCitation":"(BARROS et al., 2012)","previouslyFormattedCitation":"(BARROS et al., 2012)"},"properties":{"noteIndex":0},"schema":"https://github.com/citation-style-language/schema/raw/master/csl-citation.json"}</w:instrText>
      </w:r>
      <w:r w:rsidR="008211CB">
        <w:rPr>
          <w:rFonts w:ascii="Times New Roman" w:eastAsia="Calibri" w:hAnsi="Times New Roman"/>
          <w:color w:val="000000"/>
          <w:szCs w:val="24"/>
          <w:lang w:eastAsia="en-US"/>
        </w:rPr>
        <w:fldChar w:fldCharType="separate"/>
      </w:r>
      <w:r w:rsidR="008211CB">
        <w:rPr>
          <w:rFonts w:ascii="Times New Roman" w:eastAsia="Calibri" w:hAnsi="Times New Roman"/>
          <w:noProof/>
          <w:color w:val="000000"/>
          <w:szCs w:val="24"/>
          <w:lang w:eastAsia="en-US"/>
        </w:rPr>
        <w:t>Barros et al.</w:t>
      </w:r>
      <w:r w:rsidR="008211CB" w:rsidRPr="008211CB">
        <w:rPr>
          <w:rFonts w:ascii="Times New Roman" w:eastAsia="Calibri" w:hAnsi="Times New Roman"/>
          <w:noProof/>
          <w:color w:val="000000"/>
          <w:szCs w:val="24"/>
          <w:lang w:eastAsia="en-US"/>
        </w:rPr>
        <w:t xml:space="preserve"> </w:t>
      </w:r>
      <w:r w:rsidR="008211CB">
        <w:rPr>
          <w:rFonts w:ascii="Times New Roman" w:eastAsia="Calibri" w:hAnsi="Times New Roman"/>
          <w:noProof/>
          <w:color w:val="000000"/>
          <w:szCs w:val="24"/>
          <w:lang w:eastAsia="en-US"/>
        </w:rPr>
        <w:t>(</w:t>
      </w:r>
      <w:r w:rsidR="008211CB" w:rsidRPr="008211CB">
        <w:rPr>
          <w:rFonts w:ascii="Times New Roman" w:eastAsia="Calibri" w:hAnsi="Times New Roman"/>
          <w:noProof/>
          <w:color w:val="000000"/>
          <w:szCs w:val="24"/>
          <w:lang w:eastAsia="en-US"/>
        </w:rPr>
        <w:t>2012)</w:t>
      </w:r>
      <w:r w:rsidR="008211CB">
        <w:rPr>
          <w:rFonts w:ascii="Times New Roman" w:eastAsia="Calibri" w:hAnsi="Times New Roman"/>
          <w:color w:val="000000"/>
          <w:szCs w:val="24"/>
          <w:lang w:eastAsia="en-US"/>
        </w:rPr>
        <w:fldChar w:fldCharType="end"/>
      </w:r>
      <w:r w:rsidR="005F5719" w:rsidRPr="005F5719">
        <w:rPr>
          <w:rFonts w:ascii="Times New Roman" w:eastAsia="Calibri" w:hAnsi="Times New Roman"/>
          <w:color w:val="000000"/>
          <w:szCs w:val="24"/>
          <w:lang w:eastAsia="en-US"/>
        </w:rPr>
        <w:t xml:space="preserve"> </w:t>
      </w:r>
      <w:r w:rsidR="005F5719">
        <w:rPr>
          <w:rFonts w:ascii="Times New Roman" w:eastAsia="Calibri" w:hAnsi="Times New Roman"/>
          <w:color w:val="000000"/>
          <w:szCs w:val="24"/>
          <w:lang w:eastAsia="en-US"/>
        </w:rPr>
        <w:t>e</w:t>
      </w:r>
      <w:r w:rsidR="005F5719" w:rsidRPr="005F5719">
        <w:rPr>
          <w:rFonts w:ascii="Times New Roman" w:eastAsia="Calibri" w:hAnsi="Times New Roman"/>
          <w:color w:val="000000"/>
          <w:szCs w:val="24"/>
          <w:lang w:eastAsia="en-US"/>
        </w:rPr>
        <w:t xml:space="preserve"> </w:t>
      </w:r>
      <w:r w:rsidR="00F23FE5">
        <w:rPr>
          <w:rFonts w:ascii="Times New Roman" w:eastAsia="Calibri" w:hAnsi="Times New Roman"/>
          <w:color w:val="000000"/>
          <w:szCs w:val="24"/>
          <w:lang w:eastAsia="en-US"/>
        </w:rPr>
        <w:fldChar w:fldCharType="begin" w:fldLock="1"/>
      </w:r>
      <w:r w:rsidR="00F23FE5">
        <w:rPr>
          <w:rFonts w:ascii="Times New Roman" w:eastAsia="Calibri" w:hAnsi="Times New Roman"/>
          <w:color w:val="000000"/>
          <w:szCs w:val="24"/>
          <w:lang w:eastAsia="en-US"/>
        </w:rPr>
        <w:instrText>ADDIN CSL_CITATION {"citationItems":[{"id":"ITEM-1","itemData":{"abstract":"Resumo O objetivo principal deste artigo é verificar se o conteúdo informativo dos ativos biológicos divulgados nas demonstrações contábeis são relevantes e como objetivo secundário realizar análise de conteúdo das notas explicativas verificando a conformidade das informações fornecidas pelas entidades com o CPC 29. A amostra do estudo foi composta por sociedades anônimas de capital aberto listadas na BM&amp;FBOVESPA com dados do exercício de 2010 e 2011. Os testes empíricos foram realizados aplicando modelos de relevância, utilizando-se 347 observações de empresas ativas caracterizando um modelo de estudo pooled ordinary least squares-POLS, incluindo as empresas que divulgaram ativos biológicos em conta especifica. As empresas que possuíam os valores de ativos biológicos destacados tiveram analisadas as notas explicativas referentes a esta conta. Os resultados fornecem evidências empíricas de que o conteúdo informativo dos ativos biológicos divulgados pelas empresas não foi relevante para a amostra. Com relação a análise do conteúdo das notas explicativas verificou-se um cumprimento parcial da norma, havendo uma disparidade nas práticas de divulgação das informações por parte das empresas analisadas, bem como uma omissão de itens requeridos pela norma. Pode-se inferir que a perda da relevância ocorreu, em partes, pela baixa qualidade das notas explicativas, o que pode dificultar aos usuários externos a interpretação das informações divulgadas. Palavras-chave: Ativos biológicos. CPC 29. Valor justo. Relevância da informação contábil. Abstract The main objective this article is to verify that the information content of biological assets disclosed in the financial statements are relevant and, the secondary objective perform content analysis of the notes verifying the compliance of information supplied by entities with CPC 29. The study sample was composed of publicly traded stock companies listed on the BM &amp; FBOVESPA with data for the year 2010 and 2011. The empirical tests were conducted","author":[{"dropping-particle":"","family":"Holtz","given":"Luciana","non-dropping-particle":"","parse-names":false,"suffix":""},{"dropping-particle":"De","family":"Almeida","given":"José Elias Feres","non-dropping-particle":"","parse-names":false,"suffix":""}],"container-title":"Sociedade, Contabilidade e Gestão","id":"ITEM-1","issue":"2","issued":{"date-parts":[["2013"]]},"page":"28-46","title":"Estudo sobre a Relevância e a Divulgação dos Ativos Biológicos das Empresas Listadas na BM&amp;FBOVESPA","type":"article-journal","volume":"8"},"uris":["http://www.mendeley.com/documents/?uuid=e2a9bc7c-cb5b-3812-92c8-f5b6364b61b9"]}],"mendeley":{"formattedCitation":"(HOLTZ; ALMEIDA, 2013)","manualFormatting":"Holtz e Almeida (2013)","plainTextFormattedCitation":"(HOLTZ; ALMEIDA, 2013)","previouslyFormattedCitation":"(HOLTZ; ALMEIDA, 2013)"},"properties":{"noteIndex":0},"schema":"https://github.com/citation-style-language/schema/raw/master/csl-citation.json"}</w:instrText>
      </w:r>
      <w:r w:rsidR="00F23FE5">
        <w:rPr>
          <w:rFonts w:ascii="Times New Roman" w:eastAsia="Calibri" w:hAnsi="Times New Roman"/>
          <w:color w:val="000000"/>
          <w:szCs w:val="24"/>
          <w:lang w:eastAsia="en-US"/>
        </w:rPr>
        <w:fldChar w:fldCharType="separate"/>
      </w:r>
      <w:r w:rsidR="00F23FE5">
        <w:rPr>
          <w:rFonts w:ascii="Times New Roman" w:eastAsia="Calibri" w:hAnsi="Times New Roman"/>
          <w:noProof/>
          <w:color w:val="000000"/>
          <w:szCs w:val="24"/>
          <w:lang w:eastAsia="en-US"/>
        </w:rPr>
        <w:t>Holtz e</w:t>
      </w:r>
      <w:r w:rsidR="00F23FE5" w:rsidRPr="00F23FE5">
        <w:rPr>
          <w:rFonts w:ascii="Times New Roman" w:eastAsia="Calibri" w:hAnsi="Times New Roman"/>
          <w:noProof/>
          <w:color w:val="000000"/>
          <w:szCs w:val="24"/>
          <w:lang w:eastAsia="en-US"/>
        </w:rPr>
        <w:t xml:space="preserve"> Almeida </w:t>
      </w:r>
      <w:r w:rsidR="00F23FE5">
        <w:rPr>
          <w:rFonts w:ascii="Times New Roman" w:eastAsia="Calibri" w:hAnsi="Times New Roman"/>
          <w:noProof/>
          <w:color w:val="000000"/>
          <w:szCs w:val="24"/>
          <w:lang w:eastAsia="en-US"/>
        </w:rPr>
        <w:t>(</w:t>
      </w:r>
      <w:r w:rsidR="00F23FE5" w:rsidRPr="00F23FE5">
        <w:rPr>
          <w:rFonts w:ascii="Times New Roman" w:eastAsia="Calibri" w:hAnsi="Times New Roman"/>
          <w:noProof/>
          <w:color w:val="000000"/>
          <w:szCs w:val="24"/>
          <w:lang w:eastAsia="en-US"/>
        </w:rPr>
        <w:t>2013)</w:t>
      </w:r>
      <w:r w:rsidR="00F23FE5">
        <w:rPr>
          <w:rFonts w:ascii="Times New Roman" w:eastAsia="Calibri" w:hAnsi="Times New Roman"/>
          <w:color w:val="000000"/>
          <w:szCs w:val="24"/>
          <w:lang w:eastAsia="en-US"/>
        </w:rPr>
        <w:fldChar w:fldCharType="end"/>
      </w:r>
      <w:r w:rsidR="005F5719">
        <w:rPr>
          <w:rFonts w:ascii="Times New Roman" w:eastAsia="Calibri" w:hAnsi="Times New Roman"/>
          <w:color w:val="000000"/>
          <w:szCs w:val="24"/>
          <w:lang w:eastAsia="en-US"/>
        </w:rPr>
        <w:t xml:space="preserve"> identificaram</w:t>
      </w:r>
      <w:r w:rsidR="00A424EF" w:rsidRPr="00A424EF">
        <w:rPr>
          <w:rFonts w:ascii="Times New Roman" w:eastAsia="Calibri" w:hAnsi="Times New Roman"/>
          <w:color w:val="000000"/>
          <w:szCs w:val="24"/>
          <w:lang w:eastAsia="en-US"/>
        </w:rPr>
        <w:t xml:space="preserve"> superficialidade e insuficiência de informações disponibilizadas em notas explicativas, bem como, pelo atendimento parcial dos requisitos de div</w:t>
      </w:r>
      <w:r w:rsidR="005F5719">
        <w:rPr>
          <w:rFonts w:ascii="Times New Roman" w:eastAsia="Calibri" w:hAnsi="Times New Roman"/>
          <w:color w:val="000000"/>
          <w:szCs w:val="24"/>
          <w:lang w:eastAsia="en-US"/>
        </w:rPr>
        <w:t>ulgação exigidos pela norma</w:t>
      </w:r>
      <w:r w:rsidR="00A424EF" w:rsidRPr="00A424EF">
        <w:rPr>
          <w:rFonts w:ascii="Times New Roman" w:eastAsia="Calibri" w:hAnsi="Times New Roman"/>
          <w:color w:val="000000"/>
          <w:szCs w:val="24"/>
          <w:lang w:eastAsia="en-US"/>
        </w:rPr>
        <w:t xml:space="preserve">. </w:t>
      </w:r>
      <w:r w:rsidR="005F5719">
        <w:rPr>
          <w:rFonts w:ascii="Times New Roman" w:eastAsia="Calibri" w:hAnsi="Times New Roman"/>
          <w:color w:val="000000"/>
          <w:szCs w:val="24"/>
          <w:lang w:eastAsia="en-US"/>
        </w:rPr>
        <w:t>Entretanto</w:t>
      </w:r>
      <w:r w:rsidR="00A424EF" w:rsidRPr="00A424EF">
        <w:rPr>
          <w:rFonts w:ascii="Times New Roman" w:eastAsia="Calibri" w:hAnsi="Times New Roman"/>
          <w:color w:val="000000"/>
          <w:szCs w:val="24"/>
          <w:lang w:eastAsia="en-US"/>
        </w:rPr>
        <w:t>, esse cenário pode estar mudando, pois houve um aumento significativo no nível de conformidade das empresas brasileiras ao longo do tem</w:t>
      </w:r>
      <w:r w:rsidR="005F5719">
        <w:rPr>
          <w:rFonts w:ascii="Times New Roman" w:eastAsia="Calibri" w:hAnsi="Times New Roman"/>
          <w:color w:val="000000"/>
          <w:szCs w:val="24"/>
          <w:lang w:eastAsia="en-US"/>
        </w:rPr>
        <w:t xml:space="preserve">po </w:t>
      </w:r>
      <w:r w:rsidR="00F23FE5">
        <w:rPr>
          <w:rFonts w:ascii="Times New Roman" w:eastAsia="Calibri" w:hAnsi="Times New Roman"/>
          <w:color w:val="000000"/>
          <w:szCs w:val="24"/>
          <w:lang w:eastAsia="en-US"/>
        </w:rPr>
        <w:fldChar w:fldCharType="begin" w:fldLock="1"/>
      </w:r>
      <w:r w:rsidR="00162BFD">
        <w:rPr>
          <w:rFonts w:ascii="Times New Roman" w:eastAsia="Calibri" w:hAnsi="Times New Roman"/>
          <w:color w:val="000000"/>
          <w:szCs w:val="24"/>
          <w:lang w:eastAsia="en-US"/>
        </w:rPr>
        <w:instrText>ADDIN CSL_CITATION {"citationItems":[{"id":"ITEM-1","itemData":{"author":[{"dropping-particle":"","family":"Macedo","given":"Vinicius Martins","non-dropping-particle":"","parse-names":false,"suffix":""},{"dropping-particle":"","family":"Campagnoni","given":"Mariana","non-dropping-particle":"","parse-names":false,"suffix":""},{"dropping-particle":"","family":"Rover","given":"Suliani","non-dropping-particle":"","parse-names":false,"suffix":""}],"container-title":"Sociedade, Contabilidade e Gestão","id":"ITEM-1","issue":"3","issued":{"date-parts":[["2015"]]},"page":"7-24","title":"Ativos Biológicos nas Companhias Abertas no Brasil: Conformidade Com o CPC 29 e Associação com Características Empresariais","type":"article-journal","volume":"10"},"uris":["http://www.mendeley.com/documents/?uuid=7ae2ba23-b014-44a1-b782-2b5783654cbc"]}],"mendeley":{"formattedCitation":"(MACEDO; CAMPAGNONI; ROVER, 2015)","plainTextFormattedCitation":"(MACEDO; CAMPAGNONI; ROVER, 2015)","previouslyFormattedCitation":"(MACEDO; CAMPAGNONI; ROVER, 2015)"},"properties":{"noteIndex":0},"schema":"https://github.com/citation-style-language/schema/raw/master/csl-citation.json"}</w:instrText>
      </w:r>
      <w:r w:rsidR="00F23FE5">
        <w:rPr>
          <w:rFonts w:ascii="Times New Roman" w:eastAsia="Calibri" w:hAnsi="Times New Roman"/>
          <w:color w:val="000000"/>
          <w:szCs w:val="24"/>
          <w:lang w:eastAsia="en-US"/>
        </w:rPr>
        <w:fldChar w:fldCharType="separate"/>
      </w:r>
      <w:r w:rsidR="00F23FE5" w:rsidRPr="00F23FE5">
        <w:rPr>
          <w:rFonts w:ascii="Times New Roman" w:eastAsia="Calibri" w:hAnsi="Times New Roman"/>
          <w:noProof/>
          <w:color w:val="000000"/>
          <w:szCs w:val="24"/>
          <w:lang w:eastAsia="en-US"/>
        </w:rPr>
        <w:t>(MACEDO; CAMPAGNONI; ROVER, 2015)</w:t>
      </w:r>
      <w:r w:rsidR="00F23FE5">
        <w:rPr>
          <w:rFonts w:ascii="Times New Roman" w:eastAsia="Calibri" w:hAnsi="Times New Roman"/>
          <w:color w:val="000000"/>
          <w:szCs w:val="24"/>
          <w:lang w:eastAsia="en-US"/>
        </w:rPr>
        <w:fldChar w:fldCharType="end"/>
      </w:r>
      <w:r w:rsidR="00A424EF" w:rsidRPr="00A424EF">
        <w:rPr>
          <w:rFonts w:ascii="Times New Roman" w:eastAsia="Calibri" w:hAnsi="Times New Roman"/>
          <w:color w:val="000000"/>
          <w:szCs w:val="24"/>
          <w:lang w:eastAsia="en-US"/>
        </w:rPr>
        <w:t>.</w:t>
      </w:r>
    </w:p>
    <w:p w:rsidR="00162BFD" w:rsidRPr="00A00C16" w:rsidRDefault="00162BFD" w:rsidP="00B747D7">
      <w:pPr>
        <w:spacing w:after="0" w:line="240" w:lineRule="auto"/>
        <w:ind w:firstLine="709"/>
        <w:jc w:val="both"/>
        <w:rPr>
          <w:rFonts w:ascii="Times New Roman" w:eastAsia="Calibri" w:hAnsi="Times New Roman"/>
          <w:color w:val="000000"/>
          <w:szCs w:val="24"/>
          <w:lang w:eastAsia="en-US"/>
        </w:rPr>
      </w:pPr>
    </w:p>
    <w:p w:rsidR="00082207" w:rsidRPr="000E5487" w:rsidRDefault="00D16BE4" w:rsidP="00162BFD">
      <w:pPr>
        <w:spacing w:after="120" w:line="240" w:lineRule="auto"/>
        <w:jc w:val="both"/>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3</w:t>
      </w:r>
      <w:r w:rsidR="00701358" w:rsidRPr="000E5487">
        <w:rPr>
          <w:rFonts w:ascii="Times New Roman" w:eastAsia="Calibri" w:hAnsi="Times New Roman"/>
          <w:b/>
          <w:color w:val="000000"/>
          <w:szCs w:val="24"/>
          <w:lang w:eastAsia="en-US"/>
        </w:rPr>
        <w:t xml:space="preserve"> </w:t>
      </w:r>
      <w:r w:rsidR="00162BFD" w:rsidRPr="000E5487">
        <w:rPr>
          <w:rFonts w:ascii="Times New Roman" w:eastAsia="Calibri" w:hAnsi="Times New Roman"/>
          <w:b/>
          <w:color w:val="000000"/>
          <w:szCs w:val="24"/>
          <w:lang w:eastAsia="en-US"/>
        </w:rPr>
        <w:t>Procedimentos Metodológicos</w:t>
      </w:r>
    </w:p>
    <w:p w:rsidR="00D47406" w:rsidRDefault="009C709D" w:rsidP="00B747D7">
      <w:pPr>
        <w:spacing w:after="0" w:line="240" w:lineRule="auto"/>
        <w:ind w:firstLine="709"/>
        <w:jc w:val="both"/>
      </w:pPr>
      <w:r w:rsidRPr="000E5487">
        <w:rPr>
          <w:rFonts w:ascii="Times New Roman" w:eastAsia="Calibri" w:hAnsi="Times New Roman"/>
          <w:color w:val="000000"/>
          <w:szCs w:val="24"/>
          <w:lang w:eastAsia="en-US"/>
        </w:rPr>
        <w:t>Com a finalidade de</w:t>
      </w:r>
      <w:r w:rsidR="00B809FB" w:rsidRPr="000E5487">
        <w:rPr>
          <w:rFonts w:ascii="Times New Roman" w:eastAsia="Calibri" w:hAnsi="Times New Roman"/>
          <w:color w:val="000000"/>
          <w:szCs w:val="24"/>
          <w:lang w:eastAsia="en-US"/>
        </w:rPr>
        <w:t xml:space="preserve"> </w:t>
      </w:r>
      <w:r w:rsidR="00744E5E" w:rsidRPr="000E5487">
        <w:rPr>
          <w:rFonts w:ascii="Times New Roman" w:eastAsia="Calibri" w:hAnsi="Times New Roman"/>
          <w:color w:val="000000"/>
          <w:szCs w:val="24"/>
          <w:lang w:eastAsia="en-US"/>
        </w:rPr>
        <w:t>identificar as escolhas contábeis</w:t>
      </w:r>
      <w:r w:rsidR="00E93B64" w:rsidRPr="000E5487">
        <w:rPr>
          <w:rFonts w:ascii="Times New Roman" w:eastAsia="Calibri" w:hAnsi="Times New Roman"/>
          <w:color w:val="000000"/>
          <w:szCs w:val="24"/>
          <w:lang w:eastAsia="en-US"/>
        </w:rPr>
        <w:t xml:space="preserve"> na mensuração dos ativos biológicos</w:t>
      </w:r>
      <w:r w:rsidRPr="000E5487">
        <w:rPr>
          <w:rFonts w:ascii="Times New Roman" w:eastAsia="Calibri" w:hAnsi="Times New Roman"/>
          <w:color w:val="000000"/>
          <w:szCs w:val="24"/>
          <w:lang w:eastAsia="en-US"/>
        </w:rPr>
        <w:t>,</w:t>
      </w:r>
      <w:r w:rsidR="00744E5E" w:rsidRPr="000E5487">
        <w:rPr>
          <w:rFonts w:ascii="Times New Roman" w:eastAsia="Calibri" w:hAnsi="Times New Roman"/>
          <w:color w:val="000000"/>
          <w:szCs w:val="24"/>
          <w:lang w:eastAsia="en-US"/>
        </w:rPr>
        <w:t xml:space="preserve"> </w:t>
      </w:r>
      <w:r w:rsidR="00B809FB" w:rsidRPr="000E5487">
        <w:rPr>
          <w:rFonts w:ascii="Times New Roman" w:eastAsia="Calibri" w:hAnsi="Times New Roman"/>
          <w:color w:val="000000"/>
          <w:szCs w:val="24"/>
          <w:lang w:eastAsia="en-US"/>
        </w:rPr>
        <w:t xml:space="preserve">foi realizada uma pesquisa de campo tipo </w:t>
      </w:r>
      <w:r w:rsidR="00B809FB" w:rsidRPr="000E5487">
        <w:rPr>
          <w:rFonts w:ascii="Times New Roman" w:eastAsia="Calibri" w:hAnsi="Times New Roman"/>
          <w:i/>
          <w:color w:val="000000"/>
          <w:szCs w:val="24"/>
          <w:lang w:eastAsia="en-US"/>
        </w:rPr>
        <w:t>survey</w:t>
      </w:r>
      <w:r w:rsidR="00B809FB" w:rsidRPr="000E5487">
        <w:rPr>
          <w:rFonts w:ascii="Times New Roman" w:eastAsia="Calibri" w:hAnsi="Times New Roman"/>
          <w:color w:val="000000"/>
          <w:szCs w:val="24"/>
          <w:lang w:eastAsia="en-US"/>
        </w:rPr>
        <w:t xml:space="preserve"> a uma amostra populacional do setor sucro</w:t>
      </w:r>
      <w:r w:rsidR="00744E5E" w:rsidRPr="000E5487">
        <w:rPr>
          <w:rFonts w:ascii="Times New Roman" w:eastAsia="Calibri" w:hAnsi="Times New Roman"/>
          <w:color w:val="000000"/>
          <w:szCs w:val="24"/>
          <w:lang w:eastAsia="en-US"/>
        </w:rPr>
        <w:t>energético</w:t>
      </w:r>
      <w:r w:rsidR="00B809FB" w:rsidRPr="000E5487">
        <w:rPr>
          <w:rFonts w:ascii="Times New Roman" w:eastAsia="Calibri" w:hAnsi="Times New Roman"/>
          <w:color w:val="000000"/>
          <w:szCs w:val="24"/>
          <w:lang w:eastAsia="en-US"/>
        </w:rPr>
        <w:t>.</w:t>
      </w:r>
      <w:r w:rsidR="00D47406" w:rsidRPr="00D47406">
        <w:rPr>
          <w:rFonts w:ascii="Times New Roman" w:eastAsia="Calibri" w:hAnsi="Times New Roman"/>
          <w:color w:val="000000"/>
          <w:szCs w:val="24"/>
          <w:lang w:eastAsia="en-US"/>
        </w:rPr>
        <w:tab/>
        <w:t xml:space="preserve"> O setor sucro</w:t>
      </w:r>
      <w:r w:rsidR="00D47406">
        <w:rPr>
          <w:rFonts w:ascii="Times New Roman" w:eastAsia="Calibri" w:hAnsi="Times New Roman"/>
          <w:color w:val="000000"/>
          <w:szCs w:val="24"/>
          <w:lang w:eastAsia="en-US"/>
        </w:rPr>
        <w:t>energético</w:t>
      </w:r>
      <w:r w:rsidR="00D47406" w:rsidRPr="00D47406">
        <w:rPr>
          <w:rFonts w:ascii="Times New Roman" w:eastAsia="Calibri" w:hAnsi="Times New Roman"/>
          <w:color w:val="000000"/>
          <w:szCs w:val="24"/>
          <w:lang w:eastAsia="en-US"/>
        </w:rPr>
        <w:t xml:space="preserve"> </w:t>
      </w:r>
      <w:r w:rsidR="00D47406">
        <w:rPr>
          <w:rFonts w:ascii="Times New Roman" w:eastAsia="Calibri" w:hAnsi="Times New Roman"/>
          <w:color w:val="000000"/>
          <w:szCs w:val="24"/>
          <w:lang w:eastAsia="en-US"/>
        </w:rPr>
        <w:t>foi</w:t>
      </w:r>
      <w:r w:rsidR="00D47406" w:rsidRPr="00D47406">
        <w:rPr>
          <w:rFonts w:ascii="Times New Roman" w:eastAsia="Calibri" w:hAnsi="Times New Roman"/>
          <w:color w:val="000000"/>
          <w:szCs w:val="24"/>
          <w:lang w:eastAsia="en-US"/>
        </w:rPr>
        <w:t xml:space="preserve"> </w:t>
      </w:r>
      <w:r w:rsidR="00D47406">
        <w:rPr>
          <w:rFonts w:ascii="Times New Roman" w:eastAsia="Calibri" w:hAnsi="Times New Roman"/>
          <w:color w:val="000000"/>
          <w:szCs w:val="24"/>
          <w:lang w:eastAsia="en-US"/>
        </w:rPr>
        <w:t>selecionado,</w:t>
      </w:r>
      <w:r w:rsidR="00D47406" w:rsidRPr="00D47406">
        <w:rPr>
          <w:rFonts w:ascii="Times New Roman" w:eastAsia="Calibri" w:hAnsi="Times New Roman"/>
          <w:color w:val="000000"/>
          <w:szCs w:val="24"/>
          <w:lang w:eastAsia="en-US"/>
        </w:rPr>
        <w:t xml:space="preserve">  </w:t>
      </w:r>
      <w:r w:rsidR="00D47406">
        <w:rPr>
          <w:rFonts w:ascii="Times New Roman" w:eastAsia="Calibri" w:hAnsi="Times New Roman"/>
          <w:color w:val="000000"/>
          <w:szCs w:val="24"/>
          <w:lang w:eastAsia="en-US"/>
        </w:rPr>
        <w:t>por</w:t>
      </w:r>
      <w:r w:rsidR="00D47406" w:rsidRPr="00D47406">
        <w:rPr>
          <w:rFonts w:ascii="Times New Roman" w:eastAsia="Calibri" w:hAnsi="Times New Roman"/>
          <w:color w:val="000000"/>
          <w:szCs w:val="24"/>
          <w:lang w:eastAsia="en-US"/>
        </w:rPr>
        <w:t xml:space="preserve"> ocupa</w:t>
      </w:r>
      <w:r w:rsidR="00D47406">
        <w:rPr>
          <w:rFonts w:ascii="Times New Roman" w:eastAsia="Calibri" w:hAnsi="Times New Roman"/>
          <w:color w:val="000000"/>
          <w:szCs w:val="24"/>
          <w:lang w:eastAsia="en-US"/>
        </w:rPr>
        <w:t>r</w:t>
      </w:r>
      <w:r w:rsidR="00D47406" w:rsidRPr="00D47406">
        <w:rPr>
          <w:rFonts w:ascii="Times New Roman" w:eastAsia="Calibri" w:hAnsi="Times New Roman"/>
          <w:color w:val="000000"/>
          <w:szCs w:val="24"/>
          <w:lang w:eastAsia="en-US"/>
        </w:rPr>
        <w:t xml:space="preserve"> posição de destaque entre os setores do agronegócio, principalmente por sua relevância social, econômica, </w:t>
      </w:r>
      <w:r w:rsidR="00D47406">
        <w:rPr>
          <w:rFonts w:ascii="Times New Roman" w:eastAsia="Calibri" w:hAnsi="Times New Roman"/>
          <w:color w:val="000000"/>
          <w:szCs w:val="24"/>
          <w:lang w:eastAsia="en-US"/>
        </w:rPr>
        <w:t>e</w:t>
      </w:r>
      <w:r w:rsidR="00D47406" w:rsidRPr="00D47406">
        <w:rPr>
          <w:rFonts w:ascii="Times New Roman" w:eastAsia="Calibri" w:hAnsi="Times New Roman"/>
          <w:color w:val="000000"/>
          <w:szCs w:val="24"/>
          <w:lang w:eastAsia="en-US"/>
        </w:rPr>
        <w:t xml:space="preserve"> ambiental </w:t>
      </w:r>
      <w:r w:rsidR="00162BFD">
        <w:rPr>
          <w:rFonts w:ascii="Times New Roman" w:eastAsia="Calibri" w:hAnsi="Times New Roman"/>
          <w:color w:val="000000"/>
          <w:szCs w:val="24"/>
          <w:lang w:eastAsia="en-US"/>
        </w:rPr>
        <w:fldChar w:fldCharType="begin" w:fldLock="1"/>
      </w:r>
      <w:r w:rsidR="006D5A1F">
        <w:rPr>
          <w:rFonts w:ascii="Times New Roman" w:eastAsia="Calibri" w:hAnsi="Times New Roman"/>
          <w:color w:val="000000"/>
          <w:szCs w:val="24"/>
          <w:lang w:eastAsia="en-US"/>
        </w:rPr>
        <w:instrText>ADDIN CSL_CITATION {"citationItems":[{"id":"ITEM-1","itemData":{"ISSN":"1758-678X","author":[{"dropping-particle":"","family":"Jaiswal","given":"Deepak","non-dropping-particle":"","parse-names":false,"suffix":""},{"dropping-particle":"","family":"Souza","given":"Amanda P.","non-dropping-particle":"De","parse-names":false,"suffix":""},{"dropping-particle":"","family":"Larsen","given":"Søren","non-dropping-particle":"","parse-names":false,"suffix":""},{"dropping-particle":"","family":"LeBauer","given":"David S.","non-dropping-particle":"","parse-names":false,"suffix":""},{"dropping-particle":"","family":"Miguez","given":"Fernando E","non-dropping-particle":"","parse-names":false,"suffix":""},{"dropping-particle":"","family":"Sparovek","given":"Gerd","non-dropping-particle":"","parse-names":false,"suffix":""},{"dropping-particle":"","family":"Bollero","given":"Germán","non-dropping-particle":"","parse-names":false,"suffix":""},{"dropping-particle":"","family":"Buckeridge","given":"Marcos S","non-dropping-particle":"","parse-names":false,"suffix":""},{"dropping-particle":"","family":"Long","given":"Stephen P","non-dropping-particle":"","parse-names":false,"suffix":""}],"container-title":"Nature Climate Change","id":"ITEM-1","issued":{"date-parts":[["2017","10","23"]]},"page":"1-8","title":"Brazilian sugarcane ethanol as an expandable green alternative to crude oil use","type":"article-journal","volume":"October"},"uris":["http://www.mendeley.com/documents/?uuid=a25ef861-59f4-4e12-a70e-a138c7afb80a"]}],"mendeley":{"formattedCitation":"(JAISWAL et al., 2017)","plainTextFormattedCitation":"(JAISWAL et al., 2017)","previouslyFormattedCitation":"(JAISWAL et al., 2017)"},"properties":{"noteIndex":0},"schema":"https://github.com/citation-style-language/schema/raw/master/csl-citation.json"}</w:instrText>
      </w:r>
      <w:r w:rsidR="00162BFD">
        <w:rPr>
          <w:rFonts w:ascii="Times New Roman" w:eastAsia="Calibri" w:hAnsi="Times New Roman"/>
          <w:color w:val="000000"/>
          <w:szCs w:val="24"/>
          <w:lang w:eastAsia="en-US"/>
        </w:rPr>
        <w:fldChar w:fldCharType="separate"/>
      </w:r>
      <w:r w:rsidR="00162BFD" w:rsidRPr="00162BFD">
        <w:rPr>
          <w:rFonts w:ascii="Times New Roman" w:eastAsia="Calibri" w:hAnsi="Times New Roman"/>
          <w:noProof/>
          <w:color w:val="000000"/>
          <w:szCs w:val="24"/>
          <w:lang w:eastAsia="en-US"/>
        </w:rPr>
        <w:t>(JAISWAL et al., 2017)</w:t>
      </w:r>
      <w:r w:rsidR="00162BFD">
        <w:rPr>
          <w:rFonts w:ascii="Times New Roman" w:eastAsia="Calibri" w:hAnsi="Times New Roman"/>
          <w:color w:val="000000"/>
          <w:szCs w:val="24"/>
          <w:lang w:eastAsia="en-US"/>
        </w:rPr>
        <w:fldChar w:fldCharType="end"/>
      </w:r>
      <w:r w:rsidR="00D47406" w:rsidRPr="00D47406">
        <w:rPr>
          <w:rFonts w:ascii="Times New Roman" w:eastAsia="Calibri" w:hAnsi="Times New Roman"/>
          <w:color w:val="000000"/>
          <w:szCs w:val="24"/>
          <w:lang w:eastAsia="en-US"/>
        </w:rPr>
        <w:t>.</w:t>
      </w:r>
    </w:p>
    <w:p w:rsidR="00D47406" w:rsidRDefault="00D47406"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A cana-de-açúcar</w:t>
      </w:r>
      <w:r w:rsidRPr="00D47406">
        <w:rPr>
          <w:rFonts w:ascii="Times New Roman" w:eastAsia="Calibri" w:hAnsi="Times New Roman"/>
          <w:color w:val="000000"/>
          <w:szCs w:val="24"/>
          <w:lang w:eastAsia="en-US"/>
        </w:rPr>
        <w:t xml:space="preserve"> representa parte significativa do patrimônio das agroindústrias que atuam no setor sucro</w:t>
      </w:r>
      <w:r>
        <w:rPr>
          <w:rFonts w:ascii="Times New Roman" w:eastAsia="Calibri" w:hAnsi="Times New Roman"/>
          <w:color w:val="000000"/>
          <w:szCs w:val="24"/>
          <w:lang w:eastAsia="en-US"/>
        </w:rPr>
        <w:t>energético</w:t>
      </w:r>
      <w:r w:rsidRPr="00D47406">
        <w:rPr>
          <w:rFonts w:ascii="Times New Roman" w:eastAsia="Calibri" w:hAnsi="Times New Roman"/>
          <w:color w:val="000000"/>
          <w:szCs w:val="24"/>
          <w:lang w:eastAsia="en-US"/>
        </w:rPr>
        <w:t xml:space="preserve">. Na safra 2017/18 a área cultivada com cana-de-açúcar no Brasil totalizou 8.729.500 hectares, resultando em 633.261.900 toneladas, destinadas à produção de diversos produtos de valor agregado, tais como alimentos, rações animais, biocombustíveis e bioenergia </w:t>
      </w:r>
      <w:r w:rsidR="006D5A1F">
        <w:rPr>
          <w:rFonts w:ascii="Times New Roman" w:eastAsia="Calibri" w:hAnsi="Times New Roman"/>
          <w:color w:val="000000"/>
          <w:szCs w:val="24"/>
          <w:lang w:eastAsia="en-US"/>
        </w:rPr>
        <w:fldChar w:fldCharType="begin" w:fldLock="1"/>
      </w:r>
      <w:r w:rsidR="00DC1B79">
        <w:rPr>
          <w:rFonts w:ascii="Times New Roman" w:eastAsia="Calibri" w:hAnsi="Times New Roman"/>
          <w:color w:val="000000"/>
          <w:szCs w:val="24"/>
          <w:lang w:eastAsia="en-US"/>
        </w:rPr>
        <w:instrText>ADDIN CSL_CITATION {"citationItems":[{"id":"ITEM-1","itemData":{"URL":"http://www.conab.gov.br","accessed":{"date-parts":[["2018","10","12"]]},"author":[{"dropping-particle":"","family":"CONAB","given":"Companhia Nacional de Abastecimento","non-dropping-particle":"","parse-names":false,"suffix":""}],"id":"ITEM-1","issued":{"date-parts":[["2018"]]},"title":"Séries históricas - cana-de-açúcar","type":"webpage"},"uris":["http://www.mendeley.com/documents/?uuid=946f2534-b7cf-478b-9ad4-afe8a0e2c471"]}],"mendeley":{"formattedCitation":"(CONAB, 2018)","plainTextFormattedCitation":"(CONAB, 2018)","previouslyFormattedCitation":"(CONAB, 2018)"},"properties":{"noteIndex":0},"schema":"https://github.com/citation-style-language/schema/raw/master/csl-citation.json"}</w:instrText>
      </w:r>
      <w:r w:rsidR="006D5A1F">
        <w:rPr>
          <w:rFonts w:ascii="Times New Roman" w:eastAsia="Calibri" w:hAnsi="Times New Roman"/>
          <w:color w:val="000000"/>
          <w:szCs w:val="24"/>
          <w:lang w:eastAsia="en-US"/>
        </w:rPr>
        <w:fldChar w:fldCharType="separate"/>
      </w:r>
      <w:r w:rsidR="006D5A1F" w:rsidRPr="006D5A1F">
        <w:rPr>
          <w:rFonts w:ascii="Times New Roman" w:eastAsia="Calibri" w:hAnsi="Times New Roman"/>
          <w:noProof/>
          <w:color w:val="000000"/>
          <w:szCs w:val="24"/>
          <w:lang w:eastAsia="en-US"/>
        </w:rPr>
        <w:t>(CONAB, 2018)</w:t>
      </w:r>
      <w:r w:rsidR="006D5A1F">
        <w:rPr>
          <w:rFonts w:ascii="Times New Roman" w:eastAsia="Calibri" w:hAnsi="Times New Roman"/>
          <w:color w:val="000000"/>
          <w:szCs w:val="24"/>
          <w:lang w:eastAsia="en-US"/>
        </w:rPr>
        <w:fldChar w:fldCharType="end"/>
      </w:r>
      <w:r w:rsidRPr="00D47406">
        <w:rPr>
          <w:rFonts w:ascii="Times New Roman" w:eastAsia="Calibri" w:hAnsi="Times New Roman"/>
          <w:color w:val="000000"/>
          <w:szCs w:val="24"/>
          <w:lang w:eastAsia="en-US"/>
        </w:rPr>
        <w:t xml:space="preserve">.  </w:t>
      </w:r>
    </w:p>
    <w:p w:rsidR="00124269" w:rsidRDefault="00B809FB"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O instrumento de </w:t>
      </w:r>
      <w:r w:rsidR="00D47406">
        <w:rPr>
          <w:rFonts w:ascii="Times New Roman" w:eastAsia="Calibri" w:hAnsi="Times New Roman"/>
          <w:color w:val="000000"/>
          <w:szCs w:val="24"/>
          <w:lang w:eastAsia="en-US"/>
        </w:rPr>
        <w:t>coleta</w:t>
      </w:r>
      <w:r w:rsidR="00D47406" w:rsidRPr="00D47406">
        <w:rPr>
          <w:rFonts w:ascii="Times New Roman" w:eastAsia="Calibri" w:hAnsi="Times New Roman"/>
          <w:color w:val="000000"/>
          <w:szCs w:val="24"/>
          <w:lang w:eastAsia="en-US"/>
        </w:rPr>
        <w:t xml:space="preserve"> </w:t>
      </w:r>
      <w:r w:rsidR="00D47406">
        <w:rPr>
          <w:rFonts w:ascii="Times New Roman" w:eastAsia="Calibri" w:hAnsi="Times New Roman"/>
          <w:color w:val="000000"/>
          <w:szCs w:val="24"/>
          <w:lang w:eastAsia="en-US"/>
        </w:rPr>
        <w:t>de</w:t>
      </w:r>
      <w:r w:rsidR="00D47406" w:rsidRPr="00D47406">
        <w:rPr>
          <w:rFonts w:ascii="Times New Roman" w:eastAsia="Calibri" w:hAnsi="Times New Roman"/>
          <w:color w:val="000000"/>
          <w:szCs w:val="24"/>
          <w:lang w:eastAsia="en-US"/>
        </w:rPr>
        <w:t xml:space="preserve"> </w:t>
      </w:r>
      <w:r w:rsidR="00D47406">
        <w:rPr>
          <w:rFonts w:ascii="Times New Roman" w:eastAsia="Calibri" w:hAnsi="Times New Roman"/>
          <w:color w:val="000000"/>
          <w:szCs w:val="24"/>
          <w:lang w:eastAsia="en-US"/>
        </w:rPr>
        <w:t>dados</w:t>
      </w:r>
      <w:r w:rsidRPr="000E5487">
        <w:rPr>
          <w:rFonts w:ascii="Times New Roman" w:eastAsia="Calibri" w:hAnsi="Times New Roman"/>
          <w:color w:val="000000"/>
          <w:szCs w:val="24"/>
          <w:lang w:eastAsia="en-US"/>
        </w:rPr>
        <w:t xml:space="preserve"> foi </w:t>
      </w:r>
      <w:r w:rsidR="00136AD0" w:rsidRPr="000E5487">
        <w:rPr>
          <w:rFonts w:ascii="Times New Roman" w:eastAsia="Calibri" w:hAnsi="Times New Roman"/>
          <w:color w:val="000000"/>
          <w:szCs w:val="24"/>
          <w:lang w:eastAsia="en-US"/>
        </w:rPr>
        <w:t>elaborado</w:t>
      </w:r>
      <w:r w:rsidRPr="000E5487">
        <w:rPr>
          <w:rFonts w:ascii="Times New Roman" w:eastAsia="Calibri" w:hAnsi="Times New Roman"/>
          <w:color w:val="000000"/>
          <w:szCs w:val="24"/>
          <w:lang w:eastAsia="en-US"/>
        </w:rPr>
        <w:t xml:space="preserve"> com base na literatura</w:t>
      </w:r>
      <w:r w:rsidR="009C709D"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w:t>
      </w:r>
      <w:r w:rsidR="00124269" w:rsidRPr="000E5487">
        <w:rPr>
          <w:rFonts w:ascii="Times New Roman" w:eastAsia="Calibri" w:hAnsi="Times New Roman"/>
          <w:color w:val="000000"/>
          <w:szCs w:val="24"/>
          <w:lang w:eastAsia="en-US"/>
        </w:rPr>
        <w:t>conforme apresentado no Quadro 1.</w:t>
      </w:r>
    </w:p>
    <w:p w:rsidR="006D5A1F" w:rsidRDefault="006D5A1F" w:rsidP="00B747D7">
      <w:pPr>
        <w:spacing w:after="0" w:line="240" w:lineRule="auto"/>
        <w:ind w:firstLine="709"/>
        <w:jc w:val="both"/>
        <w:rPr>
          <w:rFonts w:ascii="Times New Roman" w:eastAsia="Calibri" w:hAnsi="Times New Roman"/>
          <w:color w:val="000000"/>
          <w:szCs w:val="24"/>
          <w:lang w:eastAsia="en-US"/>
        </w:rPr>
      </w:pPr>
    </w:p>
    <w:p w:rsidR="006D5A1F" w:rsidRPr="00F17696" w:rsidRDefault="006D5A1F" w:rsidP="00F17696">
      <w:pPr>
        <w:spacing w:after="0" w:line="240" w:lineRule="auto"/>
        <w:jc w:val="center"/>
        <w:rPr>
          <w:rFonts w:ascii="Times New Roman" w:eastAsia="Calibri" w:hAnsi="Times New Roman"/>
          <w:color w:val="000000"/>
          <w:sz w:val="20"/>
          <w:szCs w:val="24"/>
          <w:lang w:eastAsia="en-US"/>
        </w:rPr>
      </w:pPr>
      <w:r w:rsidRPr="00F17696">
        <w:rPr>
          <w:rFonts w:ascii="Times New Roman" w:eastAsia="Calibri" w:hAnsi="Times New Roman"/>
          <w:color w:val="000000"/>
          <w:sz w:val="20"/>
          <w:szCs w:val="24"/>
          <w:lang w:eastAsia="en-US"/>
        </w:rPr>
        <w:t>Quadro 1 - Elementos considerados na coleta de dados</w:t>
      </w:r>
    </w:p>
    <w:tbl>
      <w:tblPr>
        <w:tblStyle w:val="Tabelacomgrade"/>
        <w:tblW w:w="5000" w:type="pct"/>
        <w:tblLook w:val="04A0" w:firstRow="1" w:lastRow="0" w:firstColumn="1" w:lastColumn="0" w:noHBand="0" w:noVBand="1"/>
      </w:tblPr>
      <w:tblGrid>
        <w:gridCol w:w="4815"/>
        <w:gridCol w:w="4246"/>
      </w:tblGrid>
      <w:tr w:rsidR="00D37EA3" w:rsidRPr="000E5487" w:rsidTr="008E7660">
        <w:tc>
          <w:tcPr>
            <w:tcW w:w="2657" w:type="pct"/>
            <w:vAlign w:val="center"/>
          </w:tcPr>
          <w:p w:rsidR="00D37EA3" w:rsidRPr="000E5487" w:rsidRDefault="00D37EA3" w:rsidP="006D5A1F">
            <w:pPr>
              <w:spacing w:after="0" w:line="240" w:lineRule="auto"/>
              <w:jc w:val="center"/>
              <w:rPr>
                <w:rFonts w:ascii="Times New Roman" w:eastAsia="Calibri" w:hAnsi="Times New Roman"/>
                <w:b/>
                <w:color w:val="000000"/>
                <w:sz w:val="20"/>
                <w:szCs w:val="24"/>
                <w:lang w:eastAsia="en-US"/>
              </w:rPr>
            </w:pPr>
            <w:r w:rsidRPr="000E5487">
              <w:rPr>
                <w:rFonts w:ascii="Times New Roman" w:eastAsia="Calibri" w:hAnsi="Times New Roman"/>
                <w:b/>
                <w:color w:val="000000"/>
                <w:sz w:val="20"/>
                <w:szCs w:val="24"/>
                <w:lang w:eastAsia="en-US"/>
              </w:rPr>
              <w:t>Elemento</w:t>
            </w:r>
          </w:p>
        </w:tc>
        <w:tc>
          <w:tcPr>
            <w:tcW w:w="2343" w:type="pct"/>
            <w:vAlign w:val="center"/>
          </w:tcPr>
          <w:p w:rsidR="00D37EA3" w:rsidRPr="000E5487" w:rsidRDefault="008E7660" w:rsidP="008E7660">
            <w:pPr>
              <w:spacing w:after="0" w:line="240" w:lineRule="auto"/>
              <w:jc w:val="center"/>
              <w:rPr>
                <w:rFonts w:ascii="Times New Roman" w:eastAsia="Calibri" w:hAnsi="Times New Roman"/>
                <w:b/>
                <w:color w:val="000000"/>
                <w:sz w:val="20"/>
                <w:szCs w:val="24"/>
                <w:lang w:eastAsia="en-US"/>
              </w:rPr>
            </w:pPr>
            <w:r>
              <w:rPr>
                <w:rFonts w:ascii="Times New Roman" w:eastAsia="Calibri" w:hAnsi="Times New Roman"/>
                <w:b/>
                <w:color w:val="000000"/>
                <w:sz w:val="20"/>
                <w:szCs w:val="24"/>
                <w:lang w:eastAsia="en-US"/>
              </w:rPr>
              <w:t>Referência</w:t>
            </w:r>
            <w:r w:rsidR="00D37EA3" w:rsidRPr="000E5487">
              <w:rPr>
                <w:rFonts w:ascii="Times New Roman" w:eastAsia="Calibri" w:hAnsi="Times New Roman"/>
                <w:b/>
                <w:color w:val="000000"/>
                <w:sz w:val="20"/>
                <w:szCs w:val="24"/>
                <w:lang w:eastAsia="en-US"/>
              </w:rPr>
              <w:t xml:space="preserve"> Teórica</w:t>
            </w:r>
          </w:p>
        </w:tc>
      </w:tr>
      <w:tr w:rsidR="00D37EA3" w:rsidRPr="008E7660" w:rsidTr="008E7660">
        <w:tc>
          <w:tcPr>
            <w:tcW w:w="2657"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Nível de Qualificação</w:t>
            </w:r>
          </w:p>
        </w:tc>
        <w:tc>
          <w:tcPr>
            <w:tcW w:w="2343" w:type="pct"/>
            <w:vMerge w:val="restart"/>
            <w:vAlign w:val="center"/>
          </w:tcPr>
          <w:p w:rsidR="00D37EA3" w:rsidRPr="008E7660" w:rsidRDefault="00D37EA3" w:rsidP="008E7660">
            <w:pPr>
              <w:spacing w:after="0" w:line="240" w:lineRule="auto"/>
              <w:jc w:val="both"/>
              <w:rPr>
                <w:rFonts w:ascii="Times New Roman" w:eastAsia="Calibri" w:hAnsi="Times New Roman"/>
                <w:color w:val="000000"/>
                <w:sz w:val="20"/>
                <w:szCs w:val="20"/>
                <w:lang w:eastAsia="en-US"/>
              </w:rPr>
            </w:pPr>
            <w:r w:rsidRPr="008E7660">
              <w:rPr>
                <w:rFonts w:ascii="Times New Roman" w:eastAsia="Calibri" w:hAnsi="Times New Roman"/>
                <w:color w:val="000000"/>
                <w:sz w:val="20"/>
                <w:szCs w:val="20"/>
                <w:lang w:eastAsia="en-US"/>
              </w:rPr>
              <w:t xml:space="preserve">Larson e Street (2004) e </w:t>
            </w:r>
            <w:r w:rsidR="008E7660">
              <w:rPr>
                <w:rFonts w:ascii="Times New Roman" w:eastAsia="Calibri" w:hAnsi="Times New Roman"/>
                <w:color w:val="000000"/>
                <w:sz w:val="20"/>
                <w:szCs w:val="20"/>
                <w:lang w:val="en-US" w:eastAsia="en-US"/>
              </w:rPr>
              <w:fldChar w:fldCharType="begin" w:fldLock="1"/>
            </w:r>
            <w:r w:rsidR="008E7660">
              <w:rPr>
                <w:rFonts w:ascii="Times New Roman" w:eastAsia="Calibri" w:hAnsi="Times New Roman"/>
                <w:color w:val="000000"/>
                <w:sz w:val="20"/>
                <w:szCs w:val="20"/>
                <w:lang w:eastAsia="en-US"/>
              </w:rPr>
              <w:instrText>ADDIN CSL_CITATION {"citationItems":[{"id":"ITEM-1","itemData":{"DOI":"10.1016/j.cpa.2013.03.005","ISBN":"1045-2354","ISSN":"10959955","abstract":"We investigate the translation and application of global accounting standards in a local context, with Romania as our country case study. Our theoretical framework is derived from institutional theory. We develop this by complementing isomorphism (. DiMaggio and Powell, 1983) with an emphasis on the behavior of actors and with the different strategic responses that organizations enact as a result of the institutional pressures toward conformity, following Oliver (1991). We contend that local actors play a more important role in triggering organizational responses than is implied by Oliver's (1991) framework in the application of International Financial Reporting Standards (IFRS). This is because organizational responses to these global standards are conditioned by the interplay between actors, who are searching for legitimacy and the attainment of their own (mutually conflicting) interests.Contrary to earlier institutional propositions, we find that acquiescence strategies may occur even when there is a great degree of constituent multiplicity, and that avoidance may occur in entities with a smaller degree of multiplicity. We thus argue that countries are not homogeneous in terms of accounting practices. Finally we suggest that intra-organizational interests and actions are important for IFRS implementation, and future research should investigate this in depth.","author":[{"dropping-particle":"","family":"Albu","given":"Cătălin Nicolae","non-dropping-particle":"","parse-names":false,"suffix":""},{"dropping-particle":"","family":"Albu","given":"Nadia","non-dropping-particle":"","parse-names":false,"suffix":""},{"dropping-particle":"","family":"Alexander","given":"David","non-dropping-particle":"","parse-names":false,"suffix":""}],"container-title":"Critical Perspectives on Accounting","id":"ITEM-1","issue":"6","issued":{"date-parts":[["2014"]]},"page":"489-510","title":"When global accounting standards meet the local context-Insights from an emerging economy","type":"article-journal","volume":"25"},"uris":["http://www.mendeley.com/documents/?uuid=18f3c0cf-2c31-4694-bd9e-280d5b75d5a0"]}],"mendeley":{"formattedCitation":"(ALBU; ALBU; ALEXANDER, 2014)","manualFormatting":"Albu, Albu e Alexander (2014)","plainTextFormattedCitation":"(ALBU; ALBU; ALEXANDER, 2014)","previouslyFormattedCitation":"(ALBU; ALBU; ALEXANDER, 2014)"},"properties":{"noteIndex":0},"schema":"https://github.com/citation-style-language/schema/raw/master/csl-citation.json"}</w:instrText>
            </w:r>
            <w:r w:rsidR="008E7660">
              <w:rPr>
                <w:rFonts w:ascii="Times New Roman" w:eastAsia="Calibri" w:hAnsi="Times New Roman"/>
                <w:color w:val="000000"/>
                <w:sz w:val="20"/>
                <w:szCs w:val="20"/>
                <w:lang w:val="en-US" w:eastAsia="en-US"/>
              </w:rPr>
              <w:fldChar w:fldCharType="separate"/>
            </w:r>
            <w:r w:rsidR="008E7660" w:rsidRPr="008E7660">
              <w:rPr>
                <w:rFonts w:ascii="Times New Roman" w:eastAsia="Calibri" w:hAnsi="Times New Roman"/>
                <w:noProof/>
                <w:color w:val="000000"/>
                <w:sz w:val="20"/>
                <w:szCs w:val="20"/>
                <w:lang w:eastAsia="en-US"/>
              </w:rPr>
              <w:t xml:space="preserve">Albu, Albu e Alexander </w:t>
            </w:r>
            <w:r w:rsidR="008E7660">
              <w:rPr>
                <w:rFonts w:ascii="Times New Roman" w:eastAsia="Calibri" w:hAnsi="Times New Roman"/>
                <w:noProof/>
                <w:color w:val="000000"/>
                <w:sz w:val="20"/>
                <w:szCs w:val="20"/>
                <w:lang w:eastAsia="en-US"/>
              </w:rPr>
              <w:t>(</w:t>
            </w:r>
            <w:r w:rsidR="008E7660" w:rsidRPr="008E7660">
              <w:rPr>
                <w:rFonts w:ascii="Times New Roman" w:eastAsia="Calibri" w:hAnsi="Times New Roman"/>
                <w:noProof/>
                <w:color w:val="000000"/>
                <w:sz w:val="20"/>
                <w:szCs w:val="20"/>
                <w:lang w:eastAsia="en-US"/>
              </w:rPr>
              <w:t>2014)</w:t>
            </w:r>
            <w:r w:rsidR="008E7660">
              <w:rPr>
                <w:rFonts w:ascii="Times New Roman" w:eastAsia="Calibri" w:hAnsi="Times New Roman"/>
                <w:color w:val="000000"/>
                <w:sz w:val="20"/>
                <w:szCs w:val="20"/>
                <w:lang w:val="en-US" w:eastAsia="en-US"/>
              </w:rPr>
              <w:fldChar w:fldCharType="end"/>
            </w:r>
          </w:p>
        </w:tc>
      </w:tr>
      <w:tr w:rsidR="00D37EA3" w:rsidRPr="000E5487" w:rsidTr="008E7660">
        <w:tc>
          <w:tcPr>
            <w:tcW w:w="2657"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Tempo de Experiência Profissional</w:t>
            </w:r>
          </w:p>
        </w:tc>
        <w:tc>
          <w:tcPr>
            <w:tcW w:w="2343" w:type="pct"/>
            <w:vMerge/>
            <w:vAlign w:val="center"/>
          </w:tcPr>
          <w:p w:rsidR="00D37EA3" w:rsidRPr="000E5487" w:rsidRDefault="00D37EA3" w:rsidP="00B747D7">
            <w:pPr>
              <w:spacing w:after="0" w:line="240" w:lineRule="auto"/>
              <w:ind w:firstLine="709"/>
              <w:jc w:val="both"/>
              <w:rPr>
                <w:rFonts w:ascii="Times New Roman" w:eastAsia="Calibri" w:hAnsi="Times New Roman"/>
                <w:color w:val="000000"/>
                <w:sz w:val="20"/>
                <w:szCs w:val="24"/>
                <w:lang w:eastAsia="en-US"/>
              </w:rPr>
            </w:pPr>
          </w:p>
        </w:tc>
      </w:tr>
      <w:tr w:rsidR="00D37EA3" w:rsidRPr="000E5487" w:rsidTr="008E7660">
        <w:tc>
          <w:tcPr>
            <w:tcW w:w="2657"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Tempo de Experiência na mensuração de ativos biológicos</w:t>
            </w:r>
          </w:p>
        </w:tc>
        <w:tc>
          <w:tcPr>
            <w:tcW w:w="2343" w:type="pct"/>
            <w:vMerge/>
            <w:vAlign w:val="center"/>
          </w:tcPr>
          <w:p w:rsidR="00D37EA3" w:rsidRPr="000E5487" w:rsidRDefault="00D37EA3" w:rsidP="00B747D7">
            <w:pPr>
              <w:spacing w:after="0" w:line="240" w:lineRule="auto"/>
              <w:ind w:firstLine="709"/>
              <w:jc w:val="both"/>
              <w:rPr>
                <w:rFonts w:ascii="Times New Roman" w:eastAsia="Calibri" w:hAnsi="Times New Roman"/>
                <w:color w:val="000000"/>
                <w:sz w:val="20"/>
                <w:szCs w:val="24"/>
                <w:lang w:eastAsia="en-US"/>
              </w:rPr>
            </w:pPr>
          </w:p>
        </w:tc>
      </w:tr>
      <w:tr w:rsidR="00D37EA3" w:rsidRPr="000E5487" w:rsidTr="008E7660">
        <w:tc>
          <w:tcPr>
            <w:tcW w:w="2657"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Métodos de mensuração</w:t>
            </w:r>
          </w:p>
        </w:tc>
        <w:tc>
          <w:tcPr>
            <w:tcW w:w="2343" w:type="pct"/>
            <w:vAlign w:val="center"/>
          </w:tcPr>
          <w:p w:rsidR="00D37EA3" w:rsidRPr="000E5487" w:rsidRDefault="00D37EA3" w:rsidP="008E7660">
            <w:pPr>
              <w:spacing w:after="0" w:line="240" w:lineRule="auto"/>
              <w:jc w:val="both"/>
              <w:rPr>
                <w:rFonts w:ascii="Times New Roman" w:eastAsia="Calibri" w:hAnsi="Times New Roman"/>
                <w:noProof/>
                <w:color w:val="000000"/>
                <w:sz w:val="20"/>
                <w:szCs w:val="24"/>
                <w:lang w:eastAsia="en-US"/>
              </w:rPr>
            </w:pPr>
            <w:r w:rsidRPr="000E5487">
              <w:rPr>
                <w:rFonts w:ascii="Times New Roman" w:eastAsia="Calibri" w:hAnsi="Times New Roman"/>
                <w:color w:val="000000"/>
                <w:sz w:val="20"/>
                <w:szCs w:val="24"/>
                <w:lang w:eastAsia="en-US"/>
              </w:rPr>
              <w:fldChar w:fldCharType="begin" w:fldLock="1"/>
            </w:r>
            <w:r w:rsidR="008E7660">
              <w:rPr>
                <w:rFonts w:ascii="Times New Roman" w:eastAsia="Calibri" w:hAnsi="Times New Roman"/>
                <w:color w:val="000000"/>
                <w:sz w:val="20"/>
                <w:szCs w:val="24"/>
                <w:lang w:eastAsia="en-US"/>
              </w:rPr>
              <w:instrText>ADDIN CSL_CITATION {"citationItems":[{"id":"ITEM-1","itemData":{"ISBN":"11384891","ISSN":"19884672","PMID":"1030094650","abstract":"This paper presents empirical research comparing the accounting difficulties that arise from the use of two valuation methods for biological assets, fair value (FV) and historical cost (HC) accounting, in the agricultural sector. It also compares how reliable each valuation method is in the decision-making process of agents within the sector. By conducting an experiment with students, farmers, and accountants operating in the agricultural sector, we find that they have more difficulties, make larger miscalculations and make poorer judgements with HC accounting than with FV accounting. In-depth interviews uncover flawed accounting practices in the agricultural sector in Spain in order to meet HC accounting requirements. Given the complexities of cost calculation for biological assets and the predominance of small family business units in advanced Western countries, the study concludes that accounting can be more easily applied in the agricultural sector under FV than HC accounting, and that HC conveys a less accurate grasp of the real situation of a farm.","author":[{"dropping-particle":"","family":"Argilés Bosch","given":"Josep Maria","non-dropping-particle":"","parse-names":false,"suffix":""},{"dropping-particle":"","family":"Aliberch","given":"Anna Sabata","non-dropping-particle":"","parse-names":false,"suffix":""},{"dropping-particle":"","family":"Blandón","given":"Josep García","non-dropping-particle":"","parse-names":false,"suffix":""}],"container-title":"Revista de Contabilidad - Spanish Accounting Review","id":"ITEM-1","issue":"1","issued":{"date-parts":[["2012"]]},"page":"109-142","title":"A comparative study of difficulties in accounting preparation and judgement in agriculture using fair value and historical cost for biological assets valuation","type":"article-journal","volume":"15"},"uris":["http://www.mendeley.com/documents/?uuid=d08238ce-61a4-4d60-8c13-adcd67015475"]}],"mendeley":{"formattedCitation":"(ARGILÉS BOSCH; ALIBERCH; BLANDÓN, 2012)","manualFormatting":"Argilés Bosch, Aliberch e Blandón (2012)","plainTextFormattedCitation":"(ARGILÉS BOSCH; ALIBERCH; BLANDÓN, 2012)","previouslyFormattedCitation":"(ARGILÉS BOSCH; ALIBERCH; BLANDÓN, 2012)"},"properties":{"noteIndex":0},"schema":"https://github.com/citation-style-language/schema/raw/master/csl-citation.json"}</w:instrText>
            </w:r>
            <w:r w:rsidRPr="000E5487">
              <w:rPr>
                <w:rFonts w:ascii="Times New Roman" w:eastAsia="Calibri" w:hAnsi="Times New Roman"/>
                <w:color w:val="000000"/>
                <w:sz w:val="20"/>
                <w:szCs w:val="24"/>
                <w:lang w:eastAsia="en-US"/>
              </w:rPr>
              <w:fldChar w:fldCharType="separate"/>
            </w:r>
            <w:r w:rsidR="008E7660" w:rsidRPr="008E7660">
              <w:rPr>
                <w:rFonts w:ascii="Times New Roman" w:eastAsia="Calibri" w:hAnsi="Times New Roman"/>
                <w:noProof/>
                <w:color w:val="000000"/>
                <w:sz w:val="20"/>
                <w:szCs w:val="24"/>
                <w:lang w:eastAsia="en-US"/>
              </w:rPr>
              <w:t>Argilés Bosch</w:t>
            </w:r>
            <w:r w:rsidR="008E7660">
              <w:rPr>
                <w:rFonts w:ascii="Times New Roman" w:eastAsia="Calibri" w:hAnsi="Times New Roman"/>
                <w:noProof/>
                <w:color w:val="000000"/>
                <w:sz w:val="20"/>
                <w:szCs w:val="24"/>
                <w:lang w:eastAsia="en-US"/>
              </w:rPr>
              <w:t>, Aliberch e</w:t>
            </w:r>
            <w:r w:rsidR="008E7660" w:rsidRPr="008E7660">
              <w:rPr>
                <w:rFonts w:ascii="Times New Roman" w:eastAsia="Calibri" w:hAnsi="Times New Roman"/>
                <w:noProof/>
                <w:color w:val="000000"/>
                <w:sz w:val="20"/>
                <w:szCs w:val="24"/>
                <w:lang w:eastAsia="en-US"/>
              </w:rPr>
              <w:t xml:space="preserve"> Blandón </w:t>
            </w:r>
            <w:r w:rsidR="008E7660">
              <w:rPr>
                <w:rFonts w:ascii="Times New Roman" w:eastAsia="Calibri" w:hAnsi="Times New Roman"/>
                <w:noProof/>
                <w:color w:val="000000"/>
                <w:sz w:val="20"/>
                <w:szCs w:val="24"/>
                <w:lang w:eastAsia="en-US"/>
              </w:rPr>
              <w:t>(</w:t>
            </w:r>
            <w:r w:rsidR="008E7660" w:rsidRPr="008E7660">
              <w:rPr>
                <w:rFonts w:ascii="Times New Roman" w:eastAsia="Calibri" w:hAnsi="Times New Roman"/>
                <w:noProof/>
                <w:color w:val="000000"/>
                <w:sz w:val="20"/>
                <w:szCs w:val="24"/>
                <w:lang w:eastAsia="en-US"/>
              </w:rPr>
              <w:t>2012)</w:t>
            </w:r>
            <w:r w:rsidRPr="000E5487">
              <w:rPr>
                <w:rFonts w:ascii="Times New Roman" w:eastAsia="Calibri" w:hAnsi="Times New Roman"/>
                <w:color w:val="000000"/>
                <w:sz w:val="20"/>
                <w:szCs w:val="24"/>
                <w:lang w:eastAsia="en-US"/>
              </w:rPr>
              <w:fldChar w:fldCharType="end"/>
            </w:r>
            <w:r w:rsidRPr="000E5487">
              <w:rPr>
                <w:rFonts w:ascii="Times New Roman" w:eastAsia="Calibri" w:hAnsi="Times New Roman"/>
                <w:color w:val="000000"/>
                <w:sz w:val="20"/>
                <w:szCs w:val="24"/>
                <w:lang w:eastAsia="en-US"/>
              </w:rPr>
              <w:t xml:space="preserve"> e </w:t>
            </w:r>
            <w:r w:rsidRPr="000E5487">
              <w:rPr>
                <w:rFonts w:ascii="Times New Roman" w:eastAsia="Calibri" w:hAnsi="Times New Roman"/>
                <w:color w:val="000000"/>
                <w:sz w:val="20"/>
                <w:szCs w:val="24"/>
                <w:lang w:eastAsia="en-US"/>
              </w:rPr>
              <w:fldChar w:fldCharType="begin" w:fldLock="1"/>
            </w:r>
            <w:r w:rsidR="00DE4E1B">
              <w:rPr>
                <w:rFonts w:ascii="Times New Roman" w:eastAsia="Calibri" w:hAnsi="Times New Roman"/>
                <w:color w:val="000000"/>
                <w:sz w:val="20"/>
                <w:szCs w:val="24"/>
                <w:lang w:eastAsia="en-US"/>
              </w:rPr>
              <w:instrText>ADDIN CSL_CITATION {"citationItems":[{"id":"ITEM-1","itemData":{"ISSN":"1808-2882","abstract":"Resumo A IAS 41 inseriu no cenário internacional da contabilidade as condições mínimas para contabilização e apresentação dos ativos biológicos nas demonstrações financeiras. O mesmo aconteceu no Brasil com a CPC 29 que estabelece que os ativos biológicos devem ser mensurados a valor justo sempre que esse possa ser mensurado confiavelmente. Desta forma, este artigo tem como objetivo analisar os métodos de mensuração dos ativos biológicos de natureza fixa. A pesquisa é de natureza exploratória, à partir da aplicação de dados hipotéticos à um pomar de laranjas, que apresenta as características gerais da maioria das árvores frutíferas, servindo de referência para os demais ativos biológicos de mesma natureza. O artigo faz uma análise da aplicação das técnicas de mensuração a valor justo determinadas pela IAS 41 e pela IFRS 13, com a apresentação de três métodos para mensurar os ativos biológicos de natureza fixa. Como resultado da pesquisa, destaca-se que o critério de mensuração a valor justo é aplicável ao setor do ponto de vista teórico. Porém, para a mensuração destes ativos depende-se de estimativas de preços e de produção, que em muitos casos envolve previsões com estatísticas e dados subjetivos, o que justifica a dificuldade encontrada no setor para a mensuração dos ativos biológicos. Palavras-chave: Valor justo. Ativos biológicos. Métodos de mensuração.","author":[{"dropping-particle":"","family":"Rech","given":"Ilirio Jose","non-dropping-particle":"","parse-names":false,"suffix":""},{"dropping-particle":"","family":"Pereira","given":"Ivone Vieira","non-dropping-particle":"","parse-names":false,"suffix":""}],"container-title":"Custos e @gronegócio on line","id":"ITEM-1","issue":"2","issued":{"date-parts":[["2012"]]},"page":"131-157","title":"Valor justo : análise dos métodos de mensuração aplicáveis aos ativos biológicos de natureza fixa","type":"article-journal","volume":"8"},"uris":["http://www.mendeley.com/documents/?uuid=71117ee0-a9fb-3d3b-829d-dc0f8e8cbf74"]}],"mendeley":{"formattedCitation":"(RECH; PEREIRA, 2012)","manualFormatting":"Rech e Pereira (2012)","plainTextFormattedCitation":"(RECH; PEREIRA, 2012)","previouslyFormattedCitation":"(RECH; PEREIRA, 2012)"},"properties":{"noteIndex":0},"schema":"https://github.com/citation-style-language/schema/raw/master/csl-citation.json"}</w:instrText>
            </w:r>
            <w:r w:rsidRPr="000E5487">
              <w:rPr>
                <w:rFonts w:ascii="Times New Roman" w:eastAsia="Calibri" w:hAnsi="Times New Roman"/>
                <w:color w:val="000000"/>
                <w:sz w:val="20"/>
                <w:szCs w:val="24"/>
                <w:lang w:eastAsia="en-US"/>
              </w:rPr>
              <w:fldChar w:fldCharType="separate"/>
            </w:r>
            <w:r w:rsidRPr="000E5487">
              <w:rPr>
                <w:rFonts w:ascii="Times New Roman" w:eastAsia="Calibri" w:hAnsi="Times New Roman"/>
                <w:noProof/>
                <w:color w:val="000000"/>
                <w:sz w:val="20"/>
                <w:szCs w:val="24"/>
                <w:lang w:eastAsia="en-US"/>
              </w:rPr>
              <w:t>Rech e Pereira (2012)</w:t>
            </w:r>
            <w:r w:rsidRPr="000E5487">
              <w:rPr>
                <w:rFonts w:ascii="Times New Roman" w:eastAsia="Calibri" w:hAnsi="Times New Roman"/>
                <w:color w:val="000000"/>
                <w:sz w:val="20"/>
                <w:szCs w:val="24"/>
                <w:lang w:eastAsia="en-US"/>
              </w:rPr>
              <w:fldChar w:fldCharType="end"/>
            </w:r>
          </w:p>
        </w:tc>
      </w:tr>
      <w:tr w:rsidR="00D37EA3" w:rsidRPr="000E5487" w:rsidTr="008E7660">
        <w:tc>
          <w:tcPr>
            <w:tcW w:w="2657"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Taxas de desconto</w:t>
            </w:r>
          </w:p>
        </w:tc>
        <w:tc>
          <w:tcPr>
            <w:tcW w:w="2343" w:type="pct"/>
            <w:vAlign w:val="center"/>
          </w:tcPr>
          <w:p w:rsidR="00D37EA3" w:rsidRPr="000E5487" w:rsidRDefault="00D37EA3" w:rsidP="008E7660">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fldChar w:fldCharType="begin" w:fldLock="1"/>
            </w:r>
            <w:r w:rsidR="00DE4E1B">
              <w:rPr>
                <w:rFonts w:ascii="Times New Roman" w:eastAsia="Calibri" w:hAnsi="Times New Roman"/>
                <w:color w:val="000000"/>
                <w:sz w:val="20"/>
                <w:szCs w:val="24"/>
                <w:lang w:eastAsia="en-US"/>
              </w:rPr>
              <w:instrText>ADDIN CSL_CITATION {"citationItems":[{"id":"ITEM-1","itemData":{"author":[{"dropping-particle":"","family":"Rech","given":"Ilirio Jose","non-dropping-particle":"","parse-names":false,"suffix":""},{"dropping-particle":"da","family":"Cunha","given":"Moisés Ferreira","non-dropping-particle":"","parse-names":false,"suffix":""}],"container-title":"Congresso USP de Controladoria e Contabilidade","id":"ITEM-1","issue":"11","issued":{"date-parts":[["2011"]]},"page":"1-18","publisher":"FEA-USP","publisher-place":"São Paulo","title":"Análise das taxas de desconto aplicáveis na mensuração dos ativos biológicos a valor justo","type":"paper-conference"},"uris":["http://www.mendeley.com/documents/?uuid=1c7ecc4d-d43d-4950-a822-8454acb86b4f"]}],"mendeley":{"formattedCitation":"(RECH; CUNHA, 2011)","manualFormatting":"Rech e Cunha (2011)","plainTextFormattedCitation":"(RECH; CUNHA, 2011)","previouslyFormattedCitation":"(RECH; CUNHA, 2011)"},"properties":{"noteIndex":0},"schema":"https://github.com/citation-style-language/schema/raw/master/csl-citation.json"}</w:instrText>
            </w:r>
            <w:r w:rsidRPr="000E5487">
              <w:rPr>
                <w:rFonts w:ascii="Times New Roman" w:eastAsia="Calibri" w:hAnsi="Times New Roman"/>
                <w:color w:val="000000"/>
                <w:sz w:val="20"/>
                <w:szCs w:val="24"/>
                <w:lang w:eastAsia="en-US"/>
              </w:rPr>
              <w:fldChar w:fldCharType="separate"/>
            </w:r>
            <w:r w:rsidRPr="000E5487">
              <w:rPr>
                <w:rFonts w:ascii="Times New Roman" w:eastAsia="Calibri" w:hAnsi="Times New Roman"/>
                <w:noProof/>
                <w:color w:val="000000"/>
                <w:sz w:val="20"/>
                <w:szCs w:val="24"/>
                <w:lang w:eastAsia="en-US"/>
              </w:rPr>
              <w:t>Rech e Cunha (2011)</w:t>
            </w:r>
            <w:r w:rsidRPr="000E5487">
              <w:rPr>
                <w:rFonts w:ascii="Times New Roman" w:eastAsia="Calibri" w:hAnsi="Times New Roman"/>
                <w:color w:val="000000"/>
                <w:sz w:val="20"/>
                <w:szCs w:val="24"/>
                <w:lang w:eastAsia="en-US"/>
              </w:rPr>
              <w:fldChar w:fldCharType="end"/>
            </w:r>
            <w:r w:rsidRPr="000E5487">
              <w:rPr>
                <w:rFonts w:ascii="Times New Roman" w:eastAsia="Calibri" w:hAnsi="Times New Roman"/>
                <w:color w:val="000000"/>
                <w:sz w:val="20"/>
                <w:szCs w:val="24"/>
                <w:lang w:eastAsia="en-US"/>
              </w:rPr>
              <w:t xml:space="preserve"> e </w:t>
            </w:r>
            <w:r w:rsidRPr="000E5487">
              <w:rPr>
                <w:rFonts w:ascii="Times New Roman" w:eastAsia="Calibri" w:hAnsi="Times New Roman"/>
                <w:color w:val="000000"/>
                <w:sz w:val="20"/>
                <w:szCs w:val="24"/>
                <w:lang w:eastAsia="en-US"/>
              </w:rPr>
              <w:fldChar w:fldCharType="begin" w:fldLock="1"/>
            </w:r>
            <w:r w:rsidR="008E7660">
              <w:rPr>
                <w:rFonts w:ascii="Times New Roman" w:eastAsia="Calibri" w:hAnsi="Times New Roman"/>
                <w:color w:val="000000"/>
                <w:sz w:val="20"/>
                <w:szCs w:val="24"/>
                <w:lang w:eastAsia="en-US"/>
              </w:rPr>
              <w:instrText>ADDIN CSL_CITATION {"citationItems":[{"id":"ITEM-1","itemData":{"abstract":"O Capital Asset Princig Model (CAPM) oferece conceitos válidos e aceitos na definição do risco dos ativos. Essa metodologia de cálculo é medida pela relação entre a covariância dos retornos de mercado e da companhia e a variância dos retornos da empresa. Por tratar-se de uma metodologia aplicada em mercados estáveis, as conclusões favoráveis ao CAPM precisam, no entanto, ser reavaliadas em mercados emergentes, como o brasileiro. São discutidos os principais indicadores financeiros do mercado brasileiro e justificada, por meio de fundamentos estatísticos, a inconsistência dos resultados. No estudo, mostrou-se a necessidade de apurar o custo de oportunidade dos investidores brasileiros utilizando o benchmark de uma economia mais estável. O objetivo neste trabalho é sugerir um modelo que utiliza padrões de benchmark, sendo descritos os diversos ajustes necessários ao cálculo do custo de oportunidade dos acionistas das companhias brasileiras. De forma original, o modelo sugerido do custo de capital incorpora, além do risco-país, a volatilidade do mercado acionário brasileiro, demonstrando, portanto, a compatibilidade no desenvolvimento de uma metodologia de cálculo do custo do capital no Brasil.","author":[{"dropping-particle":"","family":"Assaf Neto","given":"Alexandre","non-dropping-particle":"","parse-names":false,"suffix":""},{"dropping-particle":"","family":"Lima","given":"Fabiano Guasti","non-dropping-particle":"","parse-names":false,"suffix":""},{"dropping-particle":"de","family":"Araújo","given":"Adriana Maria Procópio","non-dropping-particle":"","parse-names":false,"suffix":""}],"container-title":"RAUSP – Revista de Administração","id":"ITEM-1","issue":"1","issued":{"date-parts":[["2008"]]},"page":"72-83","title":"Uma proposta metodológica para o cálculo do custo de capital no Brasil","type":"article-journal","volume":"43"},"uris":["http://www.mendeley.com/documents/?uuid=7d16470d-9f62-4954-90cc-98b03c9f8041"]}],"mendeley":{"formattedCitation":"(ASSAF NETO; LIMA; ARAÚJO, 2008)","manualFormatting":"Assaf Neto, Lima e Araújo (2008)","plainTextFormattedCitation":"(ASSAF NETO; LIMA; ARAÚJO, 2008)","previouslyFormattedCitation":"(ASSAF NETO; LIMA; ARAÚJO, 2008)"},"properties":{"noteIndex":0},"schema":"https://github.com/citation-style-language/schema/raw/master/csl-citation.json"}</w:instrText>
            </w:r>
            <w:r w:rsidRPr="000E5487">
              <w:rPr>
                <w:rFonts w:ascii="Times New Roman" w:eastAsia="Calibri" w:hAnsi="Times New Roman"/>
                <w:color w:val="000000"/>
                <w:sz w:val="20"/>
                <w:szCs w:val="24"/>
                <w:lang w:eastAsia="en-US"/>
              </w:rPr>
              <w:fldChar w:fldCharType="separate"/>
            </w:r>
            <w:r w:rsidR="008E7660" w:rsidRPr="008E7660">
              <w:rPr>
                <w:rFonts w:ascii="Times New Roman" w:eastAsia="Calibri" w:hAnsi="Times New Roman"/>
                <w:noProof/>
                <w:color w:val="000000"/>
                <w:sz w:val="20"/>
                <w:szCs w:val="24"/>
                <w:lang w:eastAsia="en-US"/>
              </w:rPr>
              <w:t>Assaf Neto</w:t>
            </w:r>
            <w:r w:rsidR="008E7660">
              <w:rPr>
                <w:rFonts w:ascii="Times New Roman" w:eastAsia="Calibri" w:hAnsi="Times New Roman"/>
                <w:noProof/>
                <w:color w:val="000000"/>
                <w:sz w:val="20"/>
                <w:szCs w:val="24"/>
                <w:lang w:eastAsia="en-US"/>
              </w:rPr>
              <w:t>,</w:t>
            </w:r>
            <w:r w:rsidR="008E7660" w:rsidRPr="008E7660">
              <w:rPr>
                <w:rFonts w:ascii="Times New Roman" w:eastAsia="Calibri" w:hAnsi="Times New Roman"/>
                <w:noProof/>
                <w:color w:val="000000"/>
                <w:sz w:val="20"/>
                <w:szCs w:val="24"/>
                <w:lang w:eastAsia="en-US"/>
              </w:rPr>
              <w:t xml:space="preserve"> Lima</w:t>
            </w:r>
            <w:r w:rsidR="008E7660">
              <w:rPr>
                <w:rFonts w:ascii="Times New Roman" w:eastAsia="Calibri" w:hAnsi="Times New Roman"/>
                <w:noProof/>
                <w:color w:val="000000"/>
                <w:sz w:val="20"/>
                <w:szCs w:val="24"/>
                <w:lang w:eastAsia="en-US"/>
              </w:rPr>
              <w:t xml:space="preserve"> e</w:t>
            </w:r>
            <w:r w:rsidR="008E7660" w:rsidRPr="008E7660">
              <w:rPr>
                <w:rFonts w:ascii="Times New Roman" w:eastAsia="Calibri" w:hAnsi="Times New Roman"/>
                <w:noProof/>
                <w:color w:val="000000"/>
                <w:sz w:val="20"/>
                <w:szCs w:val="24"/>
                <w:lang w:eastAsia="en-US"/>
              </w:rPr>
              <w:t xml:space="preserve"> Araújo </w:t>
            </w:r>
            <w:r w:rsidR="008E7660">
              <w:rPr>
                <w:rFonts w:ascii="Times New Roman" w:eastAsia="Calibri" w:hAnsi="Times New Roman"/>
                <w:noProof/>
                <w:color w:val="000000"/>
                <w:sz w:val="20"/>
                <w:szCs w:val="24"/>
                <w:lang w:eastAsia="en-US"/>
              </w:rPr>
              <w:t>(</w:t>
            </w:r>
            <w:r w:rsidR="008E7660" w:rsidRPr="008E7660">
              <w:rPr>
                <w:rFonts w:ascii="Times New Roman" w:eastAsia="Calibri" w:hAnsi="Times New Roman"/>
                <w:noProof/>
                <w:color w:val="000000"/>
                <w:sz w:val="20"/>
                <w:szCs w:val="24"/>
                <w:lang w:eastAsia="en-US"/>
              </w:rPr>
              <w:t>2008)</w:t>
            </w:r>
            <w:r w:rsidRPr="000E5487">
              <w:rPr>
                <w:rFonts w:ascii="Times New Roman" w:eastAsia="Calibri" w:hAnsi="Times New Roman"/>
                <w:color w:val="000000"/>
                <w:sz w:val="20"/>
                <w:szCs w:val="24"/>
                <w:lang w:eastAsia="en-US"/>
              </w:rPr>
              <w:fldChar w:fldCharType="end"/>
            </w:r>
          </w:p>
        </w:tc>
      </w:tr>
      <w:tr w:rsidR="00D37EA3" w:rsidRPr="000E5487" w:rsidTr="008E7660">
        <w:tc>
          <w:tcPr>
            <w:tcW w:w="2657"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Quantidade, preço</w:t>
            </w:r>
            <w:r w:rsidR="005E1968" w:rsidRPr="000E5487">
              <w:rPr>
                <w:rFonts w:ascii="Times New Roman" w:eastAsia="Calibri" w:hAnsi="Times New Roman"/>
                <w:color w:val="000000"/>
                <w:sz w:val="20"/>
                <w:szCs w:val="24"/>
                <w:lang w:eastAsia="en-US"/>
              </w:rPr>
              <w:t xml:space="preserve"> e horizonte de projeção</w:t>
            </w:r>
          </w:p>
        </w:tc>
        <w:tc>
          <w:tcPr>
            <w:tcW w:w="2343" w:type="pct"/>
            <w:vAlign w:val="center"/>
          </w:tcPr>
          <w:p w:rsidR="00D37EA3" w:rsidRPr="000E5487" w:rsidRDefault="008E7660" w:rsidP="008E7660">
            <w:pPr>
              <w:spacing w:after="0" w:line="240" w:lineRule="auto"/>
              <w:jc w:val="both"/>
              <w:rPr>
                <w:rFonts w:ascii="Times New Roman" w:eastAsia="Calibri" w:hAnsi="Times New Roman"/>
                <w:color w:val="000000"/>
                <w:sz w:val="20"/>
                <w:szCs w:val="24"/>
                <w:lang w:eastAsia="en-US"/>
              </w:rPr>
            </w:pPr>
            <w:r>
              <w:rPr>
                <w:rFonts w:ascii="Times New Roman" w:eastAsia="Calibri" w:hAnsi="Times New Roman"/>
                <w:color w:val="000000"/>
                <w:sz w:val="20"/>
                <w:szCs w:val="24"/>
                <w:lang w:val="en-US" w:eastAsia="en-US"/>
              </w:rPr>
              <w:t>Marion (2010)</w:t>
            </w:r>
          </w:p>
        </w:tc>
      </w:tr>
      <w:tr w:rsidR="00D37EA3" w:rsidRPr="000E5487" w:rsidTr="008E7660">
        <w:tc>
          <w:tcPr>
            <w:tcW w:w="2657"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Custos de produção e depreciação</w:t>
            </w:r>
          </w:p>
        </w:tc>
        <w:tc>
          <w:tcPr>
            <w:tcW w:w="2343" w:type="pct"/>
            <w:vAlign w:val="center"/>
          </w:tcPr>
          <w:p w:rsidR="00D37EA3" w:rsidRPr="000E5487" w:rsidRDefault="00D37EA3" w:rsidP="006D5A1F">
            <w:pPr>
              <w:spacing w:after="0" w:line="240" w:lineRule="auto"/>
              <w:jc w:val="both"/>
              <w:rPr>
                <w:rFonts w:ascii="Times New Roman" w:eastAsia="Calibri" w:hAnsi="Times New Roman"/>
                <w:color w:val="000000"/>
                <w:sz w:val="20"/>
                <w:szCs w:val="24"/>
                <w:lang w:eastAsia="en-US"/>
              </w:rPr>
            </w:pPr>
            <w:r w:rsidRPr="000E5487">
              <w:rPr>
                <w:rFonts w:ascii="Times New Roman" w:eastAsia="Calibri" w:hAnsi="Times New Roman"/>
                <w:color w:val="000000"/>
                <w:sz w:val="20"/>
                <w:szCs w:val="24"/>
                <w:lang w:eastAsia="en-US"/>
              </w:rPr>
              <w:t>Agrianual (201</w:t>
            </w:r>
            <w:r w:rsidR="00344F61" w:rsidRPr="000E5487">
              <w:rPr>
                <w:rFonts w:ascii="Times New Roman" w:eastAsia="Calibri" w:hAnsi="Times New Roman"/>
                <w:color w:val="000000"/>
                <w:sz w:val="20"/>
                <w:szCs w:val="24"/>
                <w:lang w:eastAsia="en-US"/>
              </w:rPr>
              <w:t>6</w:t>
            </w:r>
            <w:r w:rsidRPr="000E5487">
              <w:rPr>
                <w:rFonts w:ascii="Times New Roman" w:eastAsia="Calibri" w:hAnsi="Times New Roman"/>
                <w:color w:val="000000"/>
                <w:sz w:val="20"/>
                <w:szCs w:val="24"/>
                <w:lang w:eastAsia="en-US"/>
              </w:rPr>
              <w:t>)</w:t>
            </w:r>
            <w:r w:rsidR="00980BD6">
              <w:rPr>
                <w:rFonts w:ascii="Times New Roman" w:eastAsia="Calibri" w:hAnsi="Times New Roman"/>
                <w:color w:val="000000"/>
                <w:sz w:val="20"/>
                <w:szCs w:val="24"/>
                <w:lang w:eastAsia="en-US"/>
              </w:rPr>
              <w:t xml:space="preserve"> e </w:t>
            </w:r>
            <w:r w:rsidR="00980BD6">
              <w:rPr>
                <w:rFonts w:ascii="Times New Roman" w:eastAsia="Calibri" w:hAnsi="Times New Roman"/>
                <w:color w:val="000000"/>
                <w:sz w:val="20"/>
                <w:szCs w:val="24"/>
                <w:lang w:eastAsia="en-US"/>
              </w:rPr>
              <w:fldChar w:fldCharType="begin" w:fldLock="1"/>
            </w:r>
            <w:r w:rsidR="001154CF">
              <w:rPr>
                <w:rFonts w:ascii="Times New Roman" w:eastAsia="Calibri" w:hAnsi="Times New Roman"/>
                <w:color w:val="000000"/>
                <w:sz w:val="20"/>
                <w:szCs w:val="24"/>
                <w:lang w:eastAsia="en-US"/>
              </w:rPr>
              <w:instrText>ADDIN CSL_CITATION {"citationItems":[{"id":"ITEM-1","itemData":{"author":[{"dropping-particle":"","family":"Marion","given":"José Carlos","non-dropping-particle":"","parse-names":false,"suffix":""}],"edition":"12","id":"ITEM-1","issued":{"date-parts":[["2010"]]},"number-of-pages":"280","publisher":"Atlas","publisher-place":"São Paulo","title":"Contabilidade rural, contabilidade agrícola, contabilidade pecuária, imposto de renda pessoa jurídica","type":"book"},"uris":["http://www.mendeley.com/documents/?uuid=82b6ee4f-5b80-4d5d-b47a-8f76628b07d7"]}],"mendeley":{"formattedCitation":"(MARION, 2010)","manualFormatting":"Marion (2010)","plainTextFormattedCitation":"(MARION, 2010)","previouslyFormattedCitation":"(MARION, 2010)"},"properties":{"noteIndex":0},"schema":"https://github.com/citation-style-language/schema/raw/master/csl-citation.json"}</w:instrText>
            </w:r>
            <w:r w:rsidR="00980BD6">
              <w:rPr>
                <w:rFonts w:ascii="Times New Roman" w:eastAsia="Calibri" w:hAnsi="Times New Roman"/>
                <w:color w:val="000000"/>
                <w:sz w:val="20"/>
                <w:szCs w:val="24"/>
                <w:lang w:eastAsia="en-US"/>
              </w:rPr>
              <w:fldChar w:fldCharType="separate"/>
            </w:r>
            <w:r w:rsidR="00980BD6" w:rsidRPr="00980BD6">
              <w:rPr>
                <w:rFonts w:ascii="Times New Roman" w:eastAsia="Calibri" w:hAnsi="Times New Roman"/>
                <w:noProof/>
                <w:color w:val="000000"/>
                <w:sz w:val="20"/>
                <w:szCs w:val="24"/>
                <w:lang w:eastAsia="en-US"/>
              </w:rPr>
              <w:t xml:space="preserve">Marion </w:t>
            </w:r>
            <w:r w:rsidR="00980BD6">
              <w:rPr>
                <w:rFonts w:ascii="Times New Roman" w:eastAsia="Calibri" w:hAnsi="Times New Roman"/>
                <w:noProof/>
                <w:color w:val="000000"/>
                <w:sz w:val="20"/>
                <w:szCs w:val="24"/>
                <w:lang w:eastAsia="en-US"/>
              </w:rPr>
              <w:t>(</w:t>
            </w:r>
            <w:r w:rsidR="00980BD6" w:rsidRPr="00980BD6">
              <w:rPr>
                <w:rFonts w:ascii="Times New Roman" w:eastAsia="Calibri" w:hAnsi="Times New Roman"/>
                <w:noProof/>
                <w:color w:val="000000"/>
                <w:sz w:val="20"/>
                <w:szCs w:val="24"/>
                <w:lang w:eastAsia="en-US"/>
              </w:rPr>
              <w:t>2010)</w:t>
            </w:r>
            <w:r w:rsidR="00980BD6">
              <w:rPr>
                <w:rFonts w:ascii="Times New Roman" w:eastAsia="Calibri" w:hAnsi="Times New Roman"/>
                <w:color w:val="000000"/>
                <w:sz w:val="20"/>
                <w:szCs w:val="24"/>
                <w:lang w:eastAsia="en-US"/>
              </w:rPr>
              <w:fldChar w:fldCharType="end"/>
            </w:r>
          </w:p>
        </w:tc>
      </w:tr>
    </w:tbl>
    <w:p w:rsidR="00344F61" w:rsidRPr="000E5487" w:rsidRDefault="00344F61" w:rsidP="00B747D7">
      <w:pPr>
        <w:spacing w:after="0" w:line="240" w:lineRule="auto"/>
        <w:ind w:firstLine="709"/>
        <w:jc w:val="both"/>
        <w:rPr>
          <w:rFonts w:ascii="Times New Roman" w:eastAsia="Calibri" w:hAnsi="Times New Roman"/>
          <w:color w:val="000000"/>
          <w:szCs w:val="24"/>
          <w:lang w:eastAsia="en-US"/>
        </w:rPr>
      </w:pPr>
    </w:p>
    <w:p w:rsidR="00B809FB" w:rsidRPr="000E5487" w:rsidRDefault="00D37EA3"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O instrumento </w:t>
      </w:r>
      <w:r w:rsidR="007725FE">
        <w:rPr>
          <w:rFonts w:ascii="Times New Roman" w:eastAsia="Calibri" w:hAnsi="Times New Roman"/>
          <w:color w:val="000000"/>
          <w:szCs w:val="24"/>
          <w:lang w:eastAsia="en-US"/>
        </w:rPr>
        <w:t xml:space="preserve">de coleta </w:t>
      </w:r>
      <w:r w:rsidRPr="000E5487">
        <w:rPr>
          <w:rFonts w:ascii="Times New Roman" w:eastAsia="Calibri" w:hAnsi="Times New Roman"/>
          <w:color w:val="000000"/>
          <w:szCs w:val="24"/>
          <w:lang w:eastAsia="en-US"/>
        </w:rPr>
        <w:t>contém</w:t>
      </w:r>
      <w:r w:rsidR="00B216F1" w:rsidRPr="000E5487">
        <w:rPr>
          <w:rFonts w:ascii="Times New Roman" w:eastAsia="Calibri" w:hAnsi="Times New Roman"/>
          <w:color w:val="000000"/>
          <w:szCs w:val="24"/>
          <w:lang w:eastAsia="en-US"/>
        </w:rPr>
        <w:t xml:space="preserve"> 2</w:t>
      </w:r>
      <w:r w:rsidR="00FD5D4B">
        <w:rPr>
          <w:rFonts w:ascii="Times New Roman" w:eastAsia="Calibri" w:hAnsi="Times New Roman"/>
          <w:color w:val="000000"/>
          <w:szCs w:val="24"/>
          <w:lang w:eastAsia="en-US"/>
        </w:rPr>
        <w:t>6</w:t>
      </w:r>
      <w:r w:rsidRPr="000E5487">
        <w:rPr>
          <w:rFonts w:ascii="Times New Roman" w:eastAsia="Calibri" w:hAnsi="Times New Roman"/>
          <w:color w:val="000000"/>
          <w:szCs w:val="24"/>
          <w:lang w:eastAsia="en-US"/>
        </w:rPr>
        <w:t xml:space="preserve"> questões, </w:t>
      </w:r>
      <w:r w:rsidR="00B809FB" w:rsidRPr="000E5487">
        <w:rPr>
          <w:rFonts w:ascii="Times New Roman" w:eastAsia="Calibri" w:hAnsi="Times New Roman"/>
          <w:color w:val="000000"/>
          <w:szCs w:val="24"/>
          <w:lang w:eastAsia="en-US"/>
        </w:rPr>
        <w:t xml:space="preserve">sendo </w:t>
      </w:r>
      <w:r w:rsidR="00482F4B" w:rsidRPr="000E5487">
        <w:rPr>
          <w:rFonts w:ascii="Times New Roman" w:eastAsia="Calibri" w:hAnsi="Times New Roman"/>
          <w:color w:val="000000"/>
          <w:szCs w:val="24"/>
          <w:lang w:eastAsia="en-US"/>
        </w:rPr>
        <w:t>seis</w:t>
      </w:r>
      <w:r w:rsidR="00B809FB" w:rsidRPr="000E5487">
        <w:rPr>
          <w:rFonts w:ascii="Times New Roman" w:eastAsia="Calibri" w:hAnsi="Times New Roman"/>
          <w:color w:val="000000"/>
          <w:szCs w:val="24"/>
          <w:lang w:eastAsia="en-US"/>
        </w:rPr>
        <w:t xml:space="preserve"> questões fechadas</w:t>
      </w:r>
      <w:r w:rsidR="002F1601" w:rsidRPr="000E5487">
        <w:rPr>
          <w:rFonts w:ascii="Times New Roman" w:eastAsia="Calibri" w:hAnsi="Times New Roman"/>
          <w:color w:val="000000"/>
          <w:szCs w:val="24"/>
          <w:lang w:eastAsia="en-US"/>
        </w:rPr>
        <w:t>,</w:t>
      </w:r>
      <w:r w:rsidR="00B809FB" w:rsidRPr="000E5487">
        <w:rPr>
          <w:rFonts w:ascii="Times New Roman" w:eastAsia="Calibri" w:hAnsi="Times New Roman"/>
          <w:color w:val="000000"/>
          <w:szCs w:val="24"/>
          <w:lang w:eastAsia="en-US"/>
        </w:rPr>
        <w:t xml:space="preserve"> relativas ao perfil dos respondentes, outras </w:t>
      </w:r>
      <w:r w:rsidR="00E31B61" w:rsidRPr="000E5487">
        <w:rPr>
          <w:rFonts w:ascii="Times New Roman" w:eastAsia="Calibri" w:hAnsi="Times New Roman"/>
          <w:color w:val="000000"/>
          <w:szCs w:val="24"/>
          <w:lang w:eastAsia="en-US"/>
        </w:rPr>
        <w:t xml:space="preserve">duas </w:t>
      </w:r>
      <w:r w:rsidR="00B809FB" w:rsidRPr="000E5487">
        <w:rPr>
          <w:rFonts w:ascii="Times New Roman" w:eastAsia="Calibri" w:hAnsi="Times New Roman"/>
          <w:color w:val="000000"/>
          <w:szCs w:val="24"/>
          <w:lang w:eastAsia="en-US"/>
        </w:rPr>
        <w:t xml:space="preserve">questões sobre o </w:t>
      </w:r>
      <w:r w:rsidR="00E31B61" w:rsidRPr="000E5487">
        <w:rPr>
          <w:rFonts w:ascii="Times New Roman" w:eastAsia="Calibri" w:hAnsi="Times New Roman"/>
          <w:color w:val="000000"/>
          <w:szCs w:val="24"/>
          <w:lang w:eastAsia="en-US"/>
        </w:rPr>
        <w:t>método de mensuração dos ativos biológicos, dez questões</w:t>
      </w:r>
      <w:r w:rsidR="002F1601" w:rsidRPr="000E5487">
        <w:rPr>
          <w:rFonts w:ascii="Times New Roman" w:eastAsia="Calibri" w:hAnsi="Times New Roman"/>
          <w:color w:val="000000"/>
          <w:szCs w:val="24"/>
          <w:lang w:eastAsia="en-US"/>
        </w:rPr>
        <w:t xml:space="preserve"> </w:t>
      </w:r>
      <w:r w:rsidR="00E31B61" w:rsidRPr="000E5487">
        <w:rPr>
          <w:rFonts w:ascii="Times New Roman" w:eastAsia="Calibri" w:hAnsi="Times New Roman"/>
          <w:color w:val="000000"/>
          <w:szCs w:val="24"/>
          <w:lang w:eastAsia="en-US"/>
        </w:rPr>
        <w:t xml:space="preserve">sobre a taxa de desconto utilizada </w:t>
      </w:r>
      <w:r w:rsidR="00344F61" w:rsidRPr="000E5487">
        <w:rPr>
          <w:rFonts w:ascii="Times New Roman" w:eastAsia="Calibri" w:hAnsi="Times New Roman"/>
          <w:color w:val="000000"/>
          <w:szCs w:val="24"/>
          <w:lang w:eastAsia="en-US"/>
        </w:rPr>
        <w:t>na avaliação</w:t>
      </w:r>
      <w:r w:rsidR="00E31B61" w:rsidRPr="000E5487">
        <w:rPr>
          <w:rFonts w:ascii="Times New Roman" w:eastAsia="Calibri" w:hAnsi="Times New Roman"/>
          <w:color w:val="000000"/>
          <w:szCs w:val="24"/>
          <w:lang w:eastAsia="en-US"/>
        </w:rPr>
        <w:t xml:space="preserve">, </w:t>
      </w:r>
      <w:r w:rsidR="00FD5D4B">
        <w:rPr>
          <w:rFonts w:ascii="Times New Roman" w:eastAsia="Calibri" w:hAnsi="Times New Roman"/>
          <w:color w:val="000000"/>
          <w:szCs w:val="24"/>
          <w:lang w:eastAsia="en-US"/>
        </w:rPr>
        <w:t>quatro</w:t>
      </w:r>
      <w:r w:rsidR="00E31B61" w:rsidRPr="000E5487">
        <w:rPr>
          <w:rFonts w:ascii="Times New Roman" w:eastAsia="Calibri" w:hAnsi="Times New Roman"/>
          <w:color w:val="000000"/>
          <w:szCs w:val="24"/>
          <w:lang w:eastAsia="en-US"/>
        </w:rPr>
        <w:t xml:space="preserve"> questões relativas a </w:t>
      </w:r>
      <w:r w:rsidR="00FD5D4B">
        <w:rPr>
          <w:rFonts w:ascii="Times New Roman" w:hAnsi="Times New Roman"/>
          <w:szCs w:val="24"/>
        </w:rPr>
        <w:t>quantidade, preço</w:t>
      </w:r>
      <w:r w:rsidR="00FD5D4B" w:rsidRPr="00FD5D4B">
        <w:rPr>
          <w:rFonts w:ascii="Times New Roman" w:hAnsi="Times New Roman"/>
          <w:szCs w:val="24"/>
        </w:rPr>
        <w:t xml:space="preserve"> </w:t>
      </w:r>
      <w:r w:rsidR="00FD5D4B">
        <w:rPr>
          <w:rFonts w:ascii="Times New Roman" w:hAnsi="Times New Roman"/>
          <w:szCs w:val="24"/>
        </w:rPr>
        <w:t>e</w:t>
      </w:r>
      <w:r w:rsidR="00E31B61" w:rsidRPr="000E5487">
        <w:rPr>
          <w:rFonts w:ascii="Times New Roman" w:hAnsi="Times New Roman"/>
          <w:szCs w:val="24"/>
        </w:rPr>
        <w:t xml:space="preserve"> horizonte de tempo</w:t>
      </w:r>
      <w:r w:rsidR="00030CD3" w:rsidRPr="00030CD3">
        <w:rPr>
          <w:rFonts w:ascii="Times New Roman" w:hAnsi="Times New Roman"/>
          <w:szCs w:val="24"/>
        </w:rPr>
        <w:t xml:space="preserve"> </w:t>
      </w:r>
      <w:r w:rsidR="00030CD3">
        <w:rPr>
          <w:rFonts w:ascii="Times New Roman" w:hAnsi="Times New Roman"/>
          <w:szCs w:val="24"/>
        </w:rPr>
        <w:t>e</w:t>
      </w:r>
      <w:r w:rsidR="00030CD3" w:rsidRPr="00030CD3">
        <w:rPr>
          <w:rFonts w:ascii="Times New Roman" w:hAnsi="Times New Roman"/>
          <w:szCs w:val="24"/>
        </w:rPr>
        <w:t xml:space="preserve"> </w:t>
      </w:r>
      <w:r w:rsidR="006C54C9" w:rsidRPr="000E5487">
        <w:rPr>
          <w:rFonts w:ascii="Times New Roman" w:eastAsia="Calibri" w:hAnsi="Times New Roman"/>
          <w:color w:val="000000"/>
          <w:szCs w:val="24"/>
          <w:lang w:eastAsia="en-US"/>
        </w:rPr>
        <w:t>quatro questões sobre os custos de produç</w:t>
      </w:r>
      <w:r w:rsidR="00B216F1" w:rsidRPr="000E5487">
        <w:rPr>
          <w:rFonts w:ascii="Times New Roman" w:eastAsia="Calibri" w:hAnsi="Times New Roman"/>
          <w:color w:val="000000"/>
          <w:szCs w:val="24"/>
          <w:lang w:eastAsia="en-US"/>
        </w:rPr>
        <w:t>ão</w:t>
      </w:r>
      <w:r w:rsidR="00344F61" w:rsidRPr="000E5487">
        <w:rPr>
          <w:rFonts w:ascii="Times New Roman" w:eastAsia="Calibri" w:hAnsi="Times New Roman"/>
          <w:color w:val="000000"/>
          <w:szCs w:val="24"/>
          <w:lang w:eastAsia="en-US"/>
        </w:rPr>
        <w:t xml:space="preserve"> e</w:t>
      </w:r>
      <w:r w:rsidR="00B216F1" w:rsidRPr="000E5487">
        <w:rPr>
          <w:rFonts w:ascii="Times New Roman" w:eastAsia="Calibri" w:hAnsi="Times New Roman"/>
          <w:color w:val="000000"/>
          <w:szCs w:val="24"/>
          <w:lang w:eastAsia="en-US"/>
        </w:rPr>
        <w:t xml:space="preserve"> depreciação de</w:t>
      </w:r>
      <w:r w:rsidR="006C54C9" w:rsidRPr="000E5487">
        <w:rPr>
          <w:rFonts w:ascii="Times New Roman" w:eastAsia="Calibri" w:hAnsi="Times New Roman"/>
          <w:color w:val="000000"/>
          <w:szCs w:val="24"/>
          <w:lang w:eastAsia="en-US"/>
        </w:rPr>
        <w:t xml:space="preserve"> ativos biológicos. </w:t>
      </w:r>
      <w:r w:rsidR="00B809FB" w:rsidRPr="000E5487">
        <w:rPr>
          <w:rFonts w:ascii="Times New Roman" w:eastAsia="Calibri" w:hAnsi="Times New Roman"/>
          <w:color w:val="000000"/>
          <w:szCs w:val="24"/>
          <w:lang w:eastAsia="en-US"/>
        </w:rPr>
        <w:t xml:space="preserve">As alternativas de resposta foram organizadas </w:t>
      </w:r>
      <w:r w:rsidR="0032112C" w:rsidRPr="000E5487">
        <w:rPr>
          <w:rFonts w:ascii="Times New Roman" w:eastAsia="Calibri" w:hAnsi="Times New Roman"/>
          <w:color w:val="000000"/>
          <w:szCs w:val="24"/>
          <w:lang w:eastAsia="en-US"/>
        </w:rPr>
        <w:t xml:space="preserve">em </w:t>
      </w:r>
      <w:r w:rsidR="00B809FB" w:rsidRPr="000E5487">
        <w:rPr>
          <w:rFonts w:ascii="Times New Roman" w:eastAsia="Calibri" w:hAnsi="Times New Roman"/>
          <w:color w:val="000000"/>
          <w:szCs w:val="24"/>
          <w:lang w:eastAsia="en-US"/>
        </w:rPr>
        <w:t>escala</w:t>
      </w:r>
      <w:r w:rsidR="006C54C9" w:rsidRPr="000E5487">
        <w:rPr>
          <w:rFonts w:ascii="Times New Roman" w:eastAsia="Calibri" w:hAnsi="Times New Roman"/>
          <w:color w:val="000000"/>
          <w:szCs w:val="24"/>
          <w:lang w:eastAsia="en-US"/>
        </w:rPr>
        <w:t>s</w:t>
      </w:r>
      <w:r w:rsidR="00B809FB" w:rsidRPr="000E5487">
        <w:rPr>
          <w:rFonts w:ascii="Times New Roman" w:eastAsia="Calibri" w:hAnsi="Times New Roman"/>
          <w:color w:val="000000"/>
          <w:szCs w:val="24"/>
          <w:lang w:eastAsia="en-US"/>
        </w:rPr>
        <w:t xml:space="preserve"> nomina</w:t>
      </w:r>
      <w:r w:rsidR="006C54C9" w:rsidRPr="000E5487">
        <w:rPr>
          <w:rFonts w:ascii="Times New Roman" w:eastAsia="Calibri" w:hAnsi="Times New Roman"/>
          <w:color w:val="000000"/>
          <w:szCs w:val="24"/>
          <w:lang w:eastAsia="en-US"/>
        </w:rPr>
        <w:t>is e ordinais</w:t>
      </w:r>
      <w:r w:rsidR="00B809FB" w:rsidRPr="000E5487">
        <w:rPr>
          <w:rFonts w:ascii="Times New Roman" w:eastAsia="Calibri" w:hAnsi="Times New Roman"/>
          <w:color w:val="000000"/>
          <w:szCs w:val="24"/>
          <w:lang w:eastAsia="en-US"/>
        </w:rPr>
        <w:t>.</w:t>
      </w:r>
      <w:r w:rsidR="00C16EEA" w:rsidRPr="000E5487">
        <w:rPr>
          <w:rFonts w:ascii="Times New Roman" w:eastAsia="Calibri" w:hAnsi="Times New Roman"/>
          <w:color w:val="000000"/>
          <w:szCs w:val="24"/>
          <w:lang w:eastAsia="en-US"/>
        </w:rPr>
        <w:t xml:space="preserve"> Esse instrumento foi submetido a um pré-teste com três profissionais sêniores atuantes no setor sucroenergético, que recomendaram a readequação do texto de algumas questões e </w:t>
      </w:r>
      <w:r w:rsidR="007725FE">
        <w:rPr>
          <w:rFonts w:ascii="Times New Roman" w:eastAsia="Calibri" w:hAnsi="Times New Roman"/>
          <w:color w:val="000000"/>
          <w:szCs w:val="24"/>
          <w:lang w:eastAsia="en-US"/>
        </w:rPr>
        <w:t>inserção de alternativas de resposta</w:t>
      </w:r>
      <w:r w:rsidR="00C16EEA" w:rsidRPr="000E5487">
        <w:rPr>
          <w:rFonts w:ascii="Times New Roman" w:eastAsia="Calibri" w:hAnsi="Times New Roman"/>
          <w:color w:val="000000"/>
          <w:szCs w:val="24"/>
          <w:lang w:eastAsia="en-US"/>
        </w:rPr>
        <w:t>.</w:t>
      </w:r>
      <w:r w:rsidR="00371808" w:rsidRPr="00371808">
        <w:rPr>
          <w:rFonts w:ascii="Times New Roman" w:hAnsi="Times New Roman"/>
        </w:rPr>
        <w:t xml:space="preserve"> Apesar </w:t>
      </w:r>
      <w:r w:rsidR="00371808">
        <w:rPr>
          <w:rFonts w:ascii="Times New Roman" w:hAnsi="Times New Roman"/>
        </w:rPr>
        <w:t>do</w:t>
      </w:r>
      <w:r w:rsidR="00371808" w:rsidRPr="00371808">
        <w:rPr>
          <w:rFonts w:ascii="Times New Roman" w:hAnsi="Times New Roman"/>
        </w:rPr>
        <w:t xml:space="preserve"> </w:t>
      </w:r>
      <w:r w:rsidR="00371808">
        <w:rPr>
          <w:rFonts w:ascii="Times New Roman" w:hAnsi="Times New Roman"/>
        </w:rPr>
        <w:t>pré-teste</w:t>
      </w:r>
      <w:r w:rsidR="00371808" w:rsidRPr="00371808">
        <w:rPr>
          <w:rFonts w:ascii="Times New Roman" w:hAnsi="Times New Roman"/>
        </w:rPr>
        <w:t xml:space="preserve"> </w:t>
      </w:r>
      <w:r w:rsidR="00371808">
        <w:rPr>
          <w:rFonts w:ascii="Times New Roman" w:hAnsi="Times New Roman"/>
        </w:rPr>
        <w:t>realizado,</w:t>
      </w:r>
      <w:r w:rsidR="00371808" w:rsidRPr="00371808">
        <w:rPr>
          <w:rFonts w:ascii="Times New Roman" w:hAnsi="Times New Roman"/>
        </w:rPr>
        <w:t xml:space="preserve"> </w:t>
      </w:r>
      <w:r w:rsidR="00371808">
        <w:rPr>
          <w:rFonts w:ascii="Times New Roman" w:hAnsi="Times New Roman"/>
        </w:rPr>
        <w:t>r</w:t>
      </w:r>
      <w:r w:rsidR="004D5536">
        <w:rPr>
          <w:rFonts w:ascii="Times New Roman" w:eastAsia="Calibri" w:hAnsi="Times New Roman"/>
          <w:color w:val="000000"/>
          <w:szCs w:val="24"/>
          <w:lang w:eastAsia="en-US"/>
        </w:rPr>
        <w:t>econhece-se que</w:t>
      </w:r>
      <w:r w:rsidR="007725FE">
        <w:rPr>
          <w:rFonts w:ascii="Times New Roman" w:eastAsia="Calibri" w:hAnsi="Times New Roman"/>
          <w:color w:val="000000"/>
          <w:szCs w:val="24"/>
          <w:lang w:eastAsia="en-US"/>
        </w:rPr>
        <w:t>,</w:t>
      </w:r>
      <w:r w:rsidR="00371808" w:rsidRPr="00371808">
        <w:rPr>
          <w:rFonts w:ascii="Times New Roman" w:eastAsia="Calibri" w:hAnsi="Times New Roman"/>
          <w:color w:val="000000"/>
          <w:szCs w:val="24"/>
          <w:lang w:eastAsia="en-US"/>
        </w:rPr>
        <w:t xml:space="preserve"> podem não ter sido revelados </w:t>
      </w:r>
      <w:r w:rsidR="004D5536">
        <w:rPr>
          <w:rFonts w:ascii="Times New Roman" w:eastAsia="Calibri" w:hAnsi="Times New Roman"/>
          <w:color w:val="000000"/>
          <w:szCs w:val="24"/>
          <w:lang w:eastAsia="en-US"/>
        </w:rPr>
        <w:t>alguns</w:t>
      </w:r>
      <w:r w:rsidR="004D5536" w:rsidRPr="004D5536">
        <w:rPr>
          <w:rFonts w:ascii="Times New Roman" w:eastAsia="Calibri" w:hAnsi="Times New Roman"/>
          <w:color w:val="000000"/>
          <w:szCs w:val="24"/>
          <w:lang w:eastAsia="en-US"/>
        </w:rPr>
        <w:t xml:space="preserve"> </w:t>
      </w:r>
      <w:r w:rsidR="00371808" w:rsidRPr="00371808">
        <w:rPr>
          <w:rFonts w:ascii="Times New Roman" w:eastAsia="Calibri" w:hAnsi="Times New Roman"/>
          <w:color w:val="000000"/>
          <w:szCs w:val="24"/>
          <w:lang w:eastAsia="en-US"/>
        </w:rPr>
        <w:t xml:space="preserve">detalhes e características das </w:t>
      </w:r>
      <w:r w:rsidR="00371808">
        <w:rPr>
          <w:rFonts w:ascii="Times New Roman" w:eastAsia="Calibri" w:hAnsi="Times New Roman"/>
          <w:color w:val="000000"/>
          <w:szCs w:val="24"/>
          <w:lang w:eastAsia="en-US"/>
        </w:rPr>
        <w:t>escolhas</w:t>
      </w:r>
      <w:r w:rsidR="00371808" w:rsidRPr="00371808">
        <w:rPr>
          <w:rFonts w:ascii="Times New Roman" w:eastAsia="Calibri" w:hAnsi="Times New Roman"/>
          <w:color w:val="000000"/>
          <w:szCs w:val="24"/>
          <w:lang w:eastAsia="en-US"/>
        </w:rPr>
        <w:t xml:space="preserve"> </w:t>
      </w:r>
      <w:r w:rsidR="00371808">
        <w:rPr>
          <w:rFonts w:ascii="Times New Roman" w:eastAsia="Calibri" w:hAnsi="Times New Roman"/>
          <w:color w:val="000000"/>
          <w:szCs w:val="24"/>
          <w:lang w:eastAsia="en-US"/>
        </w:rPr>
        <w:t>contábeis</w:t>
      </w:r>
      <w:r w:rsidR="00371808" w:rsidRPr="00371808">
        <w:rPr>
          <w:rFonts w:ascii="Times New Roman" w:eastAsia="Calibri" w:hAnsi="Times New Roman"/>
          <w:color w:val="000000"/>
          <w:szCs w:val="24"/>
          <w:lang w:eastAsia="en-US"/>
        </w:rPr>
        <w:t xml:space="preserve"> </w:t>
      </w:r>
      <w:r w:rsidR="004D5536">
        <w:rPr>
          <w:rFonts w:ascii="Times New Roman" w:eastAsia="Calibri" w:hAnsi="Times New Roman"/>
          <w:color w:val="000000"/>
          <w:szCs w:val="24"/>
          <w:lang w:eastAsia="en-US"/>
        </w:rPr>
        <w:t>relativas</w:t>
      </w:r>
      <w:r w:rsidR="004D5536" w:rsidRPr="004D5536">
        <w:rPr>
          <w:rFonts w:ascii="Times New Roman" w:eastAsia="Calibri" w:hAnsi="Times New Roman"/>
          <w:color w:val="000000"/>
          <w:szCs w:val="24"/>
          <w:lang w:eastAsia="en-US"/>
        </w:rPr>
        <w:t xml:space="preserve"> </w:t>
      </w:r>
      <w:r w:rsidR="00371808">
        <w:rPr>
          <w:rFonts w:ascii="Times New Roman" w:eastAsia="Calibri" w:hAnsi="Times New Roman"/>
          <w:color w:val="000000"/>
          <w:szCs w:val="24"/>
          <w:lang w:eastAsia="en-US"/>
        </w:rPr>
        <w:t>a</w:t>
      </w:r>
      <w:r w:rsidR="00371808" w:rsidRPr="00371808">
        <w:rPr>
          <w:rFonts w:ascii="Times New Roman" w:eastAsia="Calibri" w:hAnsi="Times New Roman"/>
          <w:color w:val="000000"/>
          <w:szCs w:val="24"/>
          <w:lang w:eastAsia="en-US"/>
        </w:rPr>
        <w:t xml:space="preserve"> </w:t>
      </w:r>
      <w:r w:rsidR="00371808">
        <w:rPr>
          <w:rFonts w:ascii="Times New Roman" w:eastAsia="Calibri" w:hAnsi="Times New Roman"/>
          <w:color w:val="000000"/>
          <w:szCs w:val="24"/>
          <w:lang w:eastAsia="en-US"/>
        </w:rPr>
        <w:t>mensuração</w:t>
      </w:r>
      <w:r w:rsidR="00371808" w:rsidRPr="00371808">
        <w:rPr>
          <w:rFonts w:ascii="Times New Roman" w:eastAsia="Calibri" w:hAnsi="Times New Roman"/>
          <w:color w:val="000000"/>
          <w:szCs w:val="24"/>
          <w:lang w:eastAsia="en-US"/>
        </w:rPr>
        <w:t xml:space="preserve"> </w:t>
      </w:r>
      <w:r w:rsidR="00371808">
        <w:rPr>
          <w:rFonts w:ascii="Times New Roman" w:eastAsia="Calibri" w:hAnsi="Times New Roman"/>
          <w:color w:val="000000"/>
          <w:szCs w:val="24"/>
          <w:lang w:eastAsia="en-US"/>
        </w:rPr>
        <w:t>de</w:t>
      </w:r>
      <w:r w:rsidR="00371808" w:rsidRPr="00371808">
        <w:rPr>
          <w:rFonts w:ascii="Times New Roman" w:eastAsia="Calibri" w:hAnsi="Times New Roman"/>
          <w:color w:val="000000"/>
          <w:szCs w:val="24"/>
          <w:lang w:eastAsia="en-US"/>
        </w:rPr>
        <w:t xml:space="preserve"> </w:t>
      </w:r>
      <w:r w:rsidR="00371808">
        <w:rPr>
          <w:rFonts w:ascii="Times New Roman" w:eastAsia="Calibri" w:hAnsi="Times New Roman"/>
          <w:color w:val="000000"/>
          <w:szCs w:val="24"/>
          <w:lang w:eastAsia="en-US"/>
        </w:rPr>
        <w:t>ativos</w:t>
      </w:r>
      <w:r w:rsidR="00371808" w:rsidRPr="00371808">
        <w:rPr>
          <w:rFonts w:ascii="Times New Roman" w:eastAsia="Calibri" w:hAnsi="Times New Roman"/>
          <w:color w:val="000000"/>
          <w:szCs w:val="24"/>
          <w:lang w:eastAsia="en-US"/>
        </w:rPr>
        <w:t xml:space="preserve"> </w:t>
      </w:r>
      <w:r w:rsidR="00371808">
        <w:rPr>
          <w:rFonts w:ascii="Times New Roman" w:eastAsia="Calibri" w:hAnsi="Times New Roman"/>
          <w:color w:val="000000"/>
          <w:szCs w:val="24"/>
          <w:lang w:eastAsia="en-US"/>
        </w:rPr>
        <w:t>biológicos</w:t>
      </w:r>
      <w:r w:rsidR="00371808" w:rsidRPr="00371808">
        <w:rPr>
          <w:rFonts w:ascii="Times New Roman" w:eastAsia="Calibri" w:hAnsi="Times New Roman"/>
          <w:color w:val="000000"/>
          <w:szCs w:val="24"/>
          <w:lang w:eastAsia="en-US"/>
        </w:rPr>
        <w:t>, sendo essa uma limitação do estudo.</w:t>
      </w:r>
    </w:p>
    <w:p w:rsidR="00F94D4E" w:rsidRPr="000E5487" w:rsidRDefault="00B809FB"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As variáveis de análise</w:t>
      </w:r>
      <w:r w:rsidR="00F94D4E" w:rsidRPr="000E5487">
        <w:rPr>
          <w:rFonts w:ascii="Times New Roman" w:eastAsia="Calibri" w:hAnsi="Times New Roman"/>
          <w:color w:val="000000"/>
          <w:szCs w:val="24"/>
          <w:lang w:eastAsia="en-US"/>
        </w:rPr>
        <w:t xml:space="preserve"> de perfil</w:t>
      </w:r>
      <w:r w:rsidRPr="000E5487">
        <w:rPr>
          <w:rFonts w:ascii="Times New Roman" w:eastAsia="Calibri" w:hAnsi="Times New Roman"/>
          <w:color w:val="000000"/>
          <w:szCs w:val="24"/>
          <w:lang w:eastAsia="en-US"/>
        </w:rPr>
        <w:t xml:space="preserve"> envolveram</w:t>
      </w:r>
      <w:r w:rsidR="006C54C9" w:rsidRPr="000E5487">
        <w:rPr>
          <w:rFonts w:ascii="Times New Roman" w:eastAsia="Calibri" w:hAnsi="Times New Roman"/>
          <w:color w:val="000000"/>
          <w:szCs w:val="24"/>
          <w:lang w:eastAsia="en-US"/>
        </w:rPr>
        <w:t xml:space="preserve"> </w:t>
      </w:r>
      <w:r w:rsidR="00F94D4E" w:rsidRPr="000E5487">
        <w:rPr>
          <w:rFonts w:ascii="Times New Roman" w:eastAsia="Calibri" w:hAnsi="Times New Roman"/>
          <w:color w:val="000000"/>
          <w:szCs w:val="24"/>
          <w:lang w:eastAsia="en-US"/>
        </w:rPr>
        <w:t>o nível de e</w:t>
      </w:r>
      <w:r w:rsidR="006C54C9" w:rsidRPr="000E5487">
        <w:rPr>
          <w:rFonts w:ascii="Times New Roman" w:eastAsia="Calibri" w:hAnsi="Times New Roman"/>
          <w:color w:val="000000"/>
          <w:szCs w:val="24"/>
          <w:lang w:eastAsia="en-US"/>
        </w:rPr>
        <w:t>scolaridade</w:t>
      </w:r>
      <w:r w:rsidR="00F94D4E" w:rsidRPr="000E5487">
        <w:rPr>
          <w:rFonts w:ascii="Times New Roman" w:eastAsia="Calibri" w:hAnsi="Times New Roman"/>
          <w:color w:val="000000"/>
          <w:szCs w:val="24"/>
          <w:lang w:eastAsia="en-US"/>
        </w:rPr>
        <w:t>, o t</w:t>
      </w:r>
      <w:r w:rsidR="006C54C9" w:rsidRPr="000E5487">
        <w:rPr>
          <w:rFonts w:ascii="Times New Roman" w:eastAsia="Calibri" w:hAnsi="Times New Roman"/>
          <w:color w:val="000000"/>
          <w:szCs w:val="24"/>
          <w:lang w:eastAsia="en-US"/>
        </w:rPr>
        <w:t xml:space="preserve">empo de </w:t>
      </w:r>
      <w:r w:rsidR="00F94D4E" w:rsidRPr="000E5487">
        <w:rPr>
          <w:rFonts w:ascii="Times New Roman" w:eastAsia="Calibri" w:hAnsi="Times New Roman"/>
          <w:color w:val="000000"/>
          <w:szCs w:val="24"/>
          <w:lang w:eastAsia="en-US"/>
        </w:rPr>
        <w:t>experiência</w:t>
      </w:r>
      <w:r w:rsidR="006C54C9" w:rsidRPr="000E5487">
        <w:rPr>
          <w:rFonts w:ascii="Times New Roman" w:eastAsia="Calibri" w:hAnsi="Times New Roman"/>
          <w:color w:val="000000"/>
          <w:szCs w:val="24"/>
          <w:lang w:eastAsia="en-US"/>
        </w:rPr>
        <w:t xml:space="preserve"> </w:t>
      </w:r>
      <w:r w:rsidR="00F94D4E" w:rsidRPr="000E5487">
        <w:rPr>
          <w:rFonts w:ascii="Times New Roman" w:eastAsia="Calibri" w:hAnsi="Times New Roman"/>
          <w:color w:val="000000"/>
          <w:szCs w:val="24"/>
          <w:lang w:eastAsia="en-US"/>
        </w:rPr>
        <w:t>p</w:t>
      </w:r>
      <w:r w:rsidR="006C54C9" w:rsidRPr="000E5487">
        <w:rPr>
          <w:rFonts w:ascii="Times New Roman" w:eastAsia="Calibri" w:hAnsi="Times New Roman"/>
          <w:color w:val="000000"/>
          <w:szCs w:val="24"/>
          <w:lang w:eastAsia="en-US"/>
        </w:rPr>
        <w:t>rofissional</w:t>
      </w:r>
      <w:r w:rsidR="00F94D4E" w:rsidRPr="000E5487">
        <w:rPr>
          <w:rFonts w:ascii="Times New Roman" w:eastAsia="Calibri" w:hAnsi="Times New Roman"/>
          <w:color w:val="000000"/>
          <w:szCs w:val="24"/>
          <w:lang w:eastAsia="en-US"/>
        </w:rPr>
        <w:t xml:space="preserve"> na área contábil</w:t>
      </w:r>
      <w:r w:rsidR="002F1601" w:rsidRPr="000E5487">
        <w:rPr>
          <w:rFonts w:ascii="Times New Roman" w:eastAsia="Calibri" w:hAnsi="Times New Roman"/>
          <w:color w:val="000000"/>
          <w:szCs w:val="24"/>
          <w:lang w:eastAsia="en-US"/>
        </w:rPr>
        <w:t xml:space="preserve"> e</w:t>
      </w:r>
      <w:r w:rsidR="00030CD3" w:rsidRPr="00030CD3">
        <w:t xml:space="preserve"> </w:t>
      </w:r>
      <w:r w:rsidR="00030CD3" w:rsidRPr="00030CD3">
        <w:rPr>
          <w:rFonts w:ascii="Times New Roman" w:eastAsia="Calibri" w:hAnsi="Times New Roman"/>
          <w:color w:val="000000"/>
          <w:szCs w:val="24"/>
          <w:lang w:eastAsia="en-US"/>
        </w:rPr>
        <w:t>o tempo de experiência profissional</w:t>
      </w:r>
      <w:r w:rsidR="006C54C9" w:rsidRPr="000E5487">
        <w:rPr>
          <w:rFonts w:ascii="Times New Roman" w:eastAsia="Calibri" w:hAnsi="Times New Roman"/>
          <w:color w:val="000000"/>
          <w:szCs w:val="24"/>
          <w:lang w:eastAsia="en-US"/>
        </w:rPr>
        <w:t xml:space="preserve"> na </w:t>
      </w:r>
      <w:r w:rsidR="00F94D4E" w:rsidRPr="000E5487">
        <w:rPr>
          <w:rFonts w:ascii="Times New Roman" w:eastAsia="Calibri" w:hAnsi="Times New Roman"/>
          <w:color w:val="000000"/>
          <w:szCs w:val="24"/>
          <w:lang w:eastAsia="en-US"/>
        </w:rPr>
        <w:t>m</w:t>
      </w:r>
      <w:r w:rsidR="006C54C9" w:rsidRPr="000E5487">
        <w:rPr>
          <w:rFonts w:ascii="Times New Roman" w:eastAsia="Calibri" w:hAnsi="Times New Roman"/>
          <w:color w:val="000000"/>
          <w:szCs w:val="24"/>
          <w:lang w:eastAsia="en-US"/>
        </w:rPr>
        <w:t>ensuração</w:t>
      </w:r>
      <w:r w:rsidR="00391CB2" w:rsidRPr="000E5487">
        <w:rPr>
          <w:rFonts w:ascii="Times New Roman" w:eastAsia="Calibri" w:hAnsi="Times New Roman"/>
          <w:color w:val="000000"/>
          <w:szCs w:val="24"/>
          <w:lang w:eastAsia="en-US"/>
        </w:rPr>
        <w:t xml:space="preserve"> de ativos biológicos</w:t>
      </w:r>
      <w:r w:rsidR="002F1601" w:rsidRPr="000E5487">
        <w:rPr>
          <w:rFonts w:ascii="Times New Roman" w:eastAsia="Calibri" w:hAnsi="Times New Roman"/>
          <w:color w:val="000000"/>
          <w:szCs w:val="24"/>
          <w:lang w:eastAsia="en-US"/>
        </w:rPr>
        <w:t xml:space="preserve"> </w:t>
      </w:r>
      <w:r w:rsidR="00030CD3">
        <w:rPr>
          <w:rFonts w:ascii="Times New Roman" w:eastAsia="Calibri" w:hAnsi="Times New Roman"/>
          <w:color w:val="000000"/>
          <w:szCs w:val="24"/>
          <w:lang w:eastAsia="en-US"/>
        </w:rPr>
        <w:t xml:space="preserve">no </w:t>
      </w:r>
      <w:r w:rsidRPr="000E5487">
        <w:rPr>
          <w:rFonts w:ascii="Times New Roman" w:eastAsia="Calibri" w:hAnsi="Times New Roman"/>
          <w:color w:val="000000"/>
          <w:szCs w:val="24"/>
          <w:lang w:eastAsia="en-US"/>
        </w:rPr>
        <w:t>setor sucro</w:t>
      </w:r>
      <w:r w:rsidR="00416F6B" w:rsidRPr="000E5487">
        <w:rPr>
          <w:rFonts w:ascii="Times New Roman" w:eastAsia="Calibri" w:hAnsi="Times New Roman"/>
          <w:color w:val="000000"/>
          <w:szCs w:val="24"/>
          <w:lang w:eastAsia="en-US"/>
        </w:rPr>
        <w:t>energético</w:t>
      </w:r>
      <w:r w:rsidR="009C709D" w:rsidRPr="000E5487">
        <w:rPr>
          <w:rFonts w:ascii="Times New Roman" w:eastAsia="Calibri" w:hAnsi="Times New Roman"/>
          <w:color w:val="000000"/>
          <w:szCs w:val="24"/>
          <w:lang w:eastAsia="en-US"/>
        </w:rPr>
        <w:t>,</w:t>
      </w:r>
      <w:r w:rsidR="00C16EEA" w:rsidRPr="000E5487">
        <w:rPr>
          <w:rFonts w:ascii="Times New Roman" w:eastAsia="Calibri" w:hAnsi="Times New Roman"/>
          <w:color w:val="000000"/>
          <w:szCs w:val="24"/>
          <w:lang w:eastAsia="en-US"/>
        </w:rPr>
        <w:t xml:space="preserve"> </w:t>
      </w:r>
      <w:r w:rsidR="00416F6B" w:rsidRPr="000E5487">
        <w:rPr>
          <w:rFonts w:ascii="Times New Roman" w:eastAsia="Calibri" w:hAnsi="Times New Roman"/>
          <w:color w:val="000000"/>
          <w:szCs w:val="24"/>
          <w:lang w:eastAsia="en-US"/>
        </w:rPr>
        <w:t xml:space="preserve">sendo </w:t>
      </w:r>
      <w:r w:rsidR="00C16EEA" w:rsidRPr="000E5487">
        <w:rPr>
          <w:rFonts w:ascii="Times New Roman" w:eastAsia="Calibri" w:hAnsi="Times New Roman"/>
          <w:color w:val="000000"/>
          <w:szCs w:val="24"/>
          <w:lang w:eastAsia="en-US"/>
        </w:rPr>
        <w:t xml:space="preserve">testadas </w:t>
      </w:r>
      <w:r w:rsidR="00136AD0" w:rsidRPr="000E5487">
        <w:rPr>
          <w:rFonts w:ascii="Times New Roman" w:eastAsia="Calibri" w:hAnsi="Times New Roman"/>
          <w:color w:val="000000"/>
          <w:szCs w:val="24"/>
          <w:lang w:eastAsia="en-US"/>
        </w:rPr>
        <w:t>diante d</w:t>
      </w:r>
      <w:r w:rsidR="00C16EEA" w:rsidRPr="000E5487">
        <w:rPr>
          <w:rFonts w:ascii="Times New Roman" w:eastAsia="Calibri" w:hAnsi="Times New Roman"/>
          <w:color w:val="000000"/>
          <w:szCs w:val="24"/>
          <w:lang w:eastAsia="en-US"/>
        </w:rPr>
        <w:t>as escolhas contábeis na mensuração de ativos biológicos</w:t>
      </w:r>
      <w:r w:rsidRPr="000E5487">
        <w:rPr>
          <w:rFonts w:ascii="Times New Roman" w:eastAsia="Calibri" w:hAnsi="Times New Roman"/>
          <w:color w:val="000000"/>
          <w:szCs w:val="24"/>
          <w:lang w:eastAsia="en-US"/>
        </w:rPr>
        <w:t>.</w:t>
      </w:r>
    </w:p>
    <w:p w:rsidR="00C16EEA" w:rsidRPr="000E5487" w:rsidRDefault="00C16EEA"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C</w:t>
      </w:r>
      <w:r w:rsidR="00F94D4E" w:rsidRPr="000E5487">
        <w:rPr>
          <w:rFonts w:ascii="Times New Roman" w:eastAsia="Calibri" w:hAnsi="Times New Roman"/>
          <w:color w:val="000000"/>
          <w:szCs w:val="24"/>
          <w:lang w:eastAsia="en-US"/>
        </w:rPr>
        <w:t xml:space="preserve">omo população do estudo </w:t>
      </w:r>
      <w:r w:rsidRPr="000E5487">
        <w:rPr>
          <w:rFonts w:ascii="Times New Roman" w:eastAsia="Calibri" w:hAnsi="Times New Roman"/>
          <w:color w:val="000000"/>
          <w:szCs w:val="24"/>
          <w:lang w:eastAsia="en-US"/>
        </w:rPr>
        <w:t xml:space="preserve">foram considerados </w:t>
      </w:r>
      <w:r w:rsidR="00F94D4E" w:rsidRPr="000E5487">
        <w:rPr>
          <w:rFonts w:ascii="Times New Roman" w:eastAsia="Calibri" w:hAnsi="Times New Roman"/>
          <w:color w:val="000000"/>
          <w:szCs w:val="24"/>
          <w:lang w:eastAsia="en-US"/>
        </w:rPr>
        <w:t>os 215 grupos de usinas sucroenergéticas brasileiras</w:t>
      </w:r>
      <w:r w:rsidR="009C709D"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conforme divulgado pela </w:t>
      </w:r>
      <w:r w:rsidRPr="000E5487">
        <w:rPr>
          <w:rFonts w:ascii="Times New Roman" w:eastAsia="Calibri" w:hAnsi="Times New Roman"/>
          <w:color w:val="000000"/>
          <w:szCs w:val="24"/>
          <w:lang w:eastAsia="en-US"/>
        </w:rPr>
        <w:fldChar w:fldCharType="begin" w:fldLock="1"/>
      </w:r>
      <w:r w:rsidR="00DE4E1B">
        <w:rPr>
          <w:rFonts w:ascii="Times New Roman" w:eastAsia="Calibri" w:hAnsi="Times New Roman"/>
          <w:color w:val="000000"/>
          <w:szCs w:val="24"/>
          <w:lang w:eastAsia="en-US"/>
        </w:rPr>
        <w:instrText>ADDIN CSL_CITATION {"citationItems":[{"id":"ITEM-1","itemData":{"URL":"https://www.novacana.com/usinas-brasil/","accessed":{"date-parts":[["2017","1","17"]]},"author":[{"dropping-particle":"","family":"Novacana","given":"","non-dropping-particle":"","parse-names":false,"suffix":""}],"id":"ITEM-1","issued":{"date-parts":[["2017"]]},"title":"Usinas do Brasil","type":"webpage"},"uris":["http://www.mendeley.com/documents/?uuid=8e1bc88d-a3e6-4649-9dae-dfba1aa801b1"]}],"mendeley":{"formattedCitation":"(NOVACANA, 2017)","manualFormatting":"Novacana (2017)","plainTextFormattedCitation":"(NOVACANA, 2017)","previouslyFormattedCitation":"(NOVACANA, 2017)"},"properties":{"noteIndex":0},"schema":"https://github.com/citation-style-language/schema/raw/master/csl-citation.json"}</w:instrText>
      </w:r>
      <w:r w:rsidRPr="000E5487">
        <w:rPr>
          <w:rFonts w:ascii="Times New Roman" w:eastAsia="Calibri" w:hAnsi="Times New Roman"/>
          <w:color w:val="000000"/>
          <w:szCs w:val="24"/>
          <w:lang w:eastAsia="en-US"/>
        </w:rPr>
        <w:fldChar w:fldCharType="separate"/>
      </w:r>
      <w:r w:rsidRPr="000E5487">
        <w:rPr>
          <w:rFonts w:ascii="Times New Roman" w:eastAsia="Calibri" w:hAnsi="Times New Roman"/>
          <w:noProof/>
          <w:color w:val="000000"/>
          <w:szCs w:val="24"/>
          <w:lang w:eastAsia="en-US"/>
        </w:rPr>
        <w:t>Novacana (2017)</w:t>
      </w:r>
      <w:r w:rsidRPr="000E5487">
        <w:rPr>
          <w:rFonts w:ascii="Times New Roman" w:eastAsia="Calibri" w:hAnsi="Times New Roman"/>
          <w:color w:val="000000"/>
          <w:szCs w:val="24"/>
          <w:lang w:eastAsia="en-US"/>
        </w:rPr>
        <w:fldChar w:fldCharType="end"/>
      </w:r>
      <w:r w:rsidRPr="000E5487">
        <w:rPr>
          <w:rFonts w:ascii="Times New Roman" w:eastAsia="Calibri" w:hAnsi="Times New Roman"/>
          <w:color w:val="000000"/>
          <w:szCs w:val="24"/>
          <w:lang w:eastAsia="en-US"/>
        </w:rPr>
        <w:t>.</w:t>
      </w:r>
      <w:r w:rsidR="00F94D4E" w:rsidRPr="000E5487">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F</w:t>
      </w:r>
      <w:r w:rsidR="00F94D4E" w:rsidRPr="000E5487">
        <w:rPr>
          <w:rFonts w:ascii="Times New Roman" w:eastAsia="Calibri" w:hAnsi="Times New Roman"/>
          <w:color w:val="000000"/>
          <w:szCs w:val="24"/>
          <w:lang w:eastAsia="en-US"/>
        </w:rPr>
        <w:t>o</w:t>
      </w:r>
      <w:r w:rsidRPr="000E5487">
        <w:rPr>
          <w:rFonts w:ascii="Times New Roman" w:eastAsia="Calibri" w:hAnsi="Times New Roman"/>
          <w:color w:val="000000"/>
          <w:szCs w:val="24"/>
          <w:lang w:eastAsia="en-US"/>
        </w:rPr>
        <w:t>i</w:t>
      </w:r>
      <w:r w:rsidR="00F94D4E" w:rsidRPr="000E5487">
        <w:rPr>
          <w:rFonts w:ascii="Times New Roman" w:eastAsia="Calibri" w:hAnsi="Times New Roman"/>
          <w:color w:val="000000"/>
          <w:szCs w:val="24"/>
          <w:lang w:eastAsia="en-US"/>
        </w:rPr>
        <w:t xml:space="preserve"> realizada a</w:t>
      </w:r>
      <w:r w:rsidR="00B809FB" w:rsidRPr="000E5487">
        <w:rPr>
          <w:rFonts w:ascii="Times New Roman" w:eastAsia="Calibri" w:hAnsi="Times New Roman"/>
          <w:color w:val="000000"/>
          <w:szCs w:val="24"/>
          <w:lang w:eastAsia="en-US"/>
        </w:rPr>
        <w:t xml:space="preserve"> seleção da amostra </w:t>
      </w:r>
      <w:r w:rsidR="00F94D4E" w:rsidRPr="000E5487">
        <w:rPr>
          <w:rFonts w:ascii="Times New Roman" w:eastAsia="Calibri" w:hAnsi="Times New Roman"/>
          <w:color w:val="000000"/>
          <w:szCs w:val="24"/>
          <w:lang w:eastAsia="en-US"/>
        </w:rPr>
        <w:t xml:space="preserve">de forma </w:t>
      </w:r>
      <w:r w:rsidR="00B809FB" w:rsidRPr="000E5487">
        <w:rPr>
          <w:rFonts w:ascii="Times New Roman" w:eastAsia="Calibri" w:hAnsi="Times New Roman"/>
          <w:color w:val="000000"/>
          <w:szCs w:val="24"/>
          <w:lang w:eastAsia="en-US"/>
        </w:rPr>
        <w:t>aleatória</w:t>
      </w:r>
      <w:r w:rsidRPr="000E5487">
        <w:rPr>
          <w:rFonts w:ascii="Times New Roman" w:eastAsia="Calibri" w:hAnsi="Times New Roman"/>
          <w:color w:val="000000"/>
          <w:szCs w:val="24"/>
          <w:lang w:eastAsia="en-US"/>
        </w:rPr>
        <w:t>,</w:t>
      </w:r>
      <w:r w:rsidR="00F94D4E" w:rsidRPr="000E5487">
        <w:rPr>
          <w:rFonts w:ascii="Times New Roman" w:eastAsia="Calibri" w:hAnsi="Times New Roman"/>
          <w:color w:val="000000"/>
          <w:szCs w:val="24"/>
          <w:lang w:eastAsia="en-US"/>
        </w:rPr>
        <w:t xml:space="preserve"> através do</w:t>
      </w:r>
      <w:r w:rsidR="00B809FB" w:rsidRPr="000E5487">
        <w:rPr>
          <w:rFonts w:ascii="Times New Roman" w:eastAsia="Calibri" w:hAnsi="Times New Roman"/>
          <w:color w:val="000000"/>
          <w:szCs w:val="24"/>
          <w:lang w:eastAsia="en-US"/>
        </w:rPr>
        <w:t xml:space="preserve"> sorteio de 1</w:t>
      </w:r>
      <w:r w:rsidR="00C16E6A" w:rsidRPr="000E5487">
        <w:rPr>
          <w:rFonts w:ascii="Times New Roman" w:eastAsia="Calibri" w:hAnsi="Times New Roman"/>
          <w:color w:val="000000"/>
          <w:szCs w:val="24"/>
          <w:lang w:eastAsia="en-US"/>
        </w:rPr>
        <w:t>39</w:t>
      </w:r>
      <w:r w:rsidR="00B809FB" w:rsidRPr="000E5487">
        <w:rPr>
          <w:rFonts w:ascii="Times New Roman" w:eastAsia="Calibri" w:hAnsi="Times New Roman"/>
          <w:color w:val="000000"/>
          <w:szCs w:val="24"/>
          <w:lang w:eastAsia="en-US"/>
        </w:rPr>
        <w:t xml:space="preserve"> grupos</w:t>
      </w:r>
      <w:r w:rsidRPr="000E5487">
        <w:rPr>
          <w:rFonts w:ascii="Times New Roman" w:eastAsia="Calibri" w:hAnsi="Times New Roman"/>
          <w:color w:val="000000"/>
          <w:szCs w:val="24"/>
          <w:lang w:eastAsia="en-US"/>
        </w:rPr>
        <w:t xml:space="preserve"> sucroenergéticos</w:t>
      </w:r>
      <w:r w:rsidR="00B809FB" w:rsidRPr="000E5487">
        <w:rPr>
          <w:rFonts w:ascii="Times New Roman" w:eastAsia="Calibri" w:hAnsi="Times New Roman"/>
          <w:color w:val="000000"/>
          <w:szCs w:val="24"/>
          <w:lang w:eastAsia="en-US"/>
        </w:rPr>
        <w:t xml:space="preserve">, considerando </w:t>
      </w:r>
      <w:r w:rsidR="00136AD0" w:rsidRPr="000E5487">
        <w:rPr>
          <w:rFonts w:ascii="Times New Roman" w:eastAsia="Calibri" w:hAnsi="Times New Roman"/>
          <w:color w:val="000000"/>
          <w:szCs w:val="24"/>
          <w:lang w:eastAsia="en-US"/>
        </w:rPr>
        <w:t xml:space="preserve">sua </w:t>
      </w:r>
      <w:r w:rsidR="00B809FB" w:rsidRPr="000E5487">
        <w:rPr>
          <w:rFonts w:ascii="Times New Roman" w:eastAsia="Calibri" w:hAnsi="Times New Roman"/>
          <w:color w:val="000000"/>
          <w:szCs w:val="24"/>
          <w:lang w:eastAsia="en-US"/>
        </w:rPr>
        <w:t xml:space="preserve">matriz </w:t>
      </w:r>
      <w:r w:rsidRPr="000E5487">
        <w:rPr>
          <w:rFonts w:ascii="Times New Roman" w:eastAsia="Calibri" w:hAnsi="Times New Roman"/>
          <w:color w:val="000000"/>
          <w:szCs w:val="24"/>
          <w:lang w:eastAsia="en-US"/>
        </w:rPr>
        <w:t>como contato principal.</w:t>
      </w:r>
      <w:r w:rsidR="00C16E6A" w:rsidRPr="000E5487">
        <w:rPr>
          <w:rFonts w:ascii="Times New Roman" w:eastAsia="Calibri" w:hAnsi="Times New Roman"/>
          <w:color w:val="000000"/>
          <w:szCs w:val="24"/>
          <w:lang w:eastAsia="en-US"/>
        </w:rPr>
        <w:t xml:space="preserve"> O cálculo da amostra foi realizado considerando um n</w:t>
      </w:r>
      <w:r w:rsidR="004B4864" w:rsidRPr="000E5487">
        <w:rPr>
          <w:rFonts w:ascii="Times New Roman" w:eastAsia="Calibri" w:hAnsi="Times New Roman"/>
          <w:color w:val="000000"/>
          <w:szCs w:val="24"/>
          <w:lang w:eastAsia="en-US"/>
        </w:rPr>
        <w:t>ível de confiança de 95%.</w:t>
      </w:r>
    </w:p>
    <w:p w:rsidR="00301072" w:rsidRPr="000E5487" w:rsidRDefault="00C16EEA"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Antes do envio do </w:t>
      </w:r>
      <w:r w:rsidR="00B809FB" w:rsidRPr="000E5487">
        <w:rPr>
          <w:rFonts w:ascii="Times New Roman" w:eastAsia="Calibri" w:hAnsi="Times New Roman"/>
          <w:color w:val="000000"/>
          <w:szCs w:val="24"/>
          <w:lang w:eastAsia="en-US"/>
        </w:rPr>
        <w:t>questionário</w:t>
      </w:r>
      <w:r w:rsidRPr="000E5487">
        <w:rPr>
          <w:rFonts w:ascii="Times New Roman" w:eastAsia="Calibri" w:hAnsi="Times New Roman"/>
          <w:color w:val="000000"/>
          <w:szCs w:val="24"/>
          <w:lang w:eastAsia="en-US"/>
        </w:rPr>
        <w:t>, foram feitos contatos telefônicos com os 1</w:t>
      </w:r>
      <w:r w:rsidR="004B4864" w:rsidRPr="000E5487">
        <w:rPr>
          <w:rFonts w:ascii="Times New Roman" w:eastAsia="Calibri" w:hAnsi="Times New Roman"/>
          <w:color w:val="000000"/>
          <w:szCs w:val="24"/>
          <w:lang w:eastAsia="en-US"/>
        </w:rPr>
        <w:t>39</w:t>
      </w:r>
      <w:r w:rsidRPr="000E5487">
        <w:rPr>
          <w:rFonts w:ascii="Times New Roman" w:eastAsia="Calibri" w:hAnsi="Times New Roman"/>
          <w:color w:val="000000"/>
          <w:szCs w:val="24"/>
          <w:lang w:eastAsia="en-US"/>
        </w:rPr>
        <w:t xml:space="preserve"> grupos de usinas </w:t>
      </w:r>
      <w:r w:rsidR="007725FE">
        <w:rPr>
          <w:rFonts w:ascii="Times New Roman" w:eastAsia="Calibri" w:hAnsi="Times New Roman"/>
          <w:color w:val="000000"/>
          <w:szCs w:val="24"/>
          <w:lang w:eastAsia="en-US"/>
        </w:rPr>
        <w:t xml:space="preserve">sorteados </w:t>
      </w:r>
      <w:r w:rsidRPr="000E5487">
        <w:rPr>
          <w:rFonts w:ascii="Times New Roman" w:eastAsia="Calibri" w:hAnsi="Times New Roman"/>
          <w:color w:val="000000"/>
          <w:szCs w:val="24"/>
          <w:lang w:eastAsia="en-US"/>
        </w:rPr>
        <w:t>para explicar a finalidade do estudo e convidar o profissional contábil</w:t>
      </w:r>
      <w:r w:rsidR="00A901EF" w:rsidRPr="000E5487">
        <w:rPr>
          <w:rFonts w:ascii="Times New Roman" w:eastAsia="Calibri" w:hAnsi="Times New Roman"/>
          <w:color w:val="000000"/>
          <w:szCs w:val="24"/>
          <w:lang w:eastAsia="en-US"/>
        </w:rPr>
        <w:t xml:space="preserve"> </w:t>
      </w:r>
      <w:r w:rsidR="00CD45F4" w:rsidRPr="000E5487">
        <w:rPr>
          <w:rFonts w:ascii="Times New Roman" w:eastAsia="Calibri" w:hAnsi="Times New Roman"/>
          <w:color w:val="000000"/>
          <w:szCs w:val="24"/>
          <w:lang w:eastAsia="en-US"/>
        </w:rPr>
        <w:t xml:space="preserve">responsável pela mensuração dos ativos biológicos </w:t>
      </w:r>
      <w:r w:rsidRPr="000E5487">
        <w:rPr>
          <w:rFonts w:ascii="Times New Roman" w:eastAsia="Calibri" w:hAnsi="Times New Roman"/>
          <w:color w:val="000000"/>
          <w:szCs w:val="24"/>
          <w:lang w:eastAsia="en-US"/>
        </w:rPr>
        <w:t>para participar do estudo.</w:t>
      </w:r>
      <w:r w:rsidR="00B809FB" w:rsidRPr="000E5487">
        <w:rPr>
          <w:rFonts w:ascii="Times New Roman" w:eastAsia="Calibri" w:hAnsi="Times New Roman"/>
          <w:color w:val="000000"/>
          <w:szCs w:val="24"/>
          <w:lang w:eastAsia="en-US"/>
        </w:rPr>
        <w:t xml:space="preserve"> </w:t>
      </w:r>
      <w:r w:rsidR="0080434E">
        <w:rPr>
          <w:rFonts w:ascii="Times New Roman" w:eastAsia="Calibri" w:hAnsi="Times New Roman"/>
          <w:color w:val="000000"/>
          <w:szCs w:val="24"/>
          <w:lang w:eastAsia="en-US"/>
        </w:rPr>
        <w:t>O questionário</w:t>
      </w:r>
      <w:r w:rsidRPr="000E5487">
        <w:rPr>
          <w:rFonts w:ascii="Times New Roman" w:eastAsia="Calibri" w:hAnsi="Times New Roman"/>
          <w:color w:val="000000"/>
          <w:szCs w:val="24"/>
          <w:lang w:eastAsia="en-US"/>
        </w:rPr>
        <w:t xml:space="preserve"> fo</w:t>
      </w:r>
      <w:r w:rsidR="0080434E">
        <w:rPr>
          <w:rFonts w:ascii="Times New Roman" w:eastAsia="Calibri" w:hAnsi="Times New Roman"/>
          <w:color w:val="000000"/>
          <w:szCs w:val="24"/>
          <w:lang w:eastAsia="en-US"/>
        </w:rPr>
        <w:t xml:space="preserve">i </w:t>
      </w:r>
      <w:r w:rsidRPr="000E5487">
        <w:rPr>
          <w:rFonts w:ascii="Times New Roman" w:eastAsia="Calibri" w:hAnsi="Times New Roman"/>
          <w:color w:val="000000"/>
          <w:szCs w:val="24"/>
          <w:lang w:eastAsia="en-US"/>
        </w:rPr>
        <w:t>enviado para os 1</w:t>
      </w:r>
      <w:r w:rsidR="004B4864" w:rsidRPr="000E5487">
        <w:rPr>
          <w:rFonts w:ascii="Times New Roman" w:eastAsia="Calibri" w:hAnsi="Times New Roman"/>
          <w:color w:val="000000"/>
          <w:szCs w:val="24"/>
          <w:lang w:eastAsia="en-US"/>
        </w:rPr>
        <w:t>39</w:t>
      </w:r>
      <w:r w:rsidR="00980BD6">
        <w:rPr>
          <w:rFonts w:ascii="Times New Roman" w:eastAsia="Calibri" w:hAnsi="Times New Roman"/>
          <w:color w:val="000000"/>
          <w:szCs w:val="24"/>
          <w:lang w:eastAsia="en-US"/>
        </w:rPr>
        <w:t xml:space="preserve"> profissionais</w:t>
      </w:r>
      <w:r w:rsidR="00496B19" w:rsidRPr="000E5487">
        <w:rPr>
          <w:rFonts w:ascii="Times New Roman" w:eastAsia="Calibri" w:hAnsi="Times New Roman"/>
          <w:color w:val="000000"/>
          <w:szCs w:val="24"/>
          <w:lang w:eastAsia="en-US"/>
        </w:rPr>
        <w:t xml:space="preserve"> por meio da </w:t>
      </w:r>
      <w:r w:rsidRPr="000E5487">
        <w:rPr>
          <w:rFonts w:ascii="Times New Roman" w:eastAsia="Calibri" w:hAnsi="Times New Roman"/>
          <w:color w:val="000000"/>
          <w:szCs w:val="24"/>
          <w:lang w:eastAsia="en-US"/>
        </w:rPr>
        <w:t xml:space="preserve">ferramenta </w:t>
      </w:r>
      <w:r w:rsidRPr="000E5487">
        <w:rPr>
          <w:rFonts w:ascii="Times New Roman" w:eastAsia="Calibri" w:hAnsi="Times New Roman"/>
          <w:i/>
          <w:color w:val="000000"/>
          <w:szCs w:val="24"/>
          <w:lang w:eastAsia="en-US"/>
        </w:rPr>
        <w:t>survey monkey</w:t>
      </w:r>
      <w:r w:rsidR="009C709D" w:rsidRPr="000E5487">
        <w:rPr>
          <w:rFonts w:ascii="Times New Roman" w:eastAsia="Calibri" w:hAnsi="Times New Roman"/>
          <w:i/>
          <w:color w:val="000000"/>
          <w:szCs w:val="24"/>
          <w:lang w:eastAsia="en-US"/>
        </w:rPr>
        <w:t>,</w:t>
      </w:r>
      <w:r w:rsidRPr="000E5487">
        <w:rPr>
          <w:rFonts w:ascii="Times New Roman" w:eastAsia="Calibri" w:hAnsi="Times New Roman"/>
          <w:color w:val="000000"/>
          <w:szCs w:val="24"/>
          <w:lang w:eastAsia="en-US"/>
        </w:rPr>
        <w:t xml:space="preserve"> no</w:t>
      </w:r>
      <w:r w:rsidR="00496B19" w:rsidRPr="000E5487">
        <w:rPr>
          <w:rFonts w:ascii="Times New Roman" w:eastAsia="Calibri" w:hAnsi="Times New Roman"/>
          <w:color w:val="000000"/>
          <w:szCs w:val="24"/>
          <w:lang w:eastAsia="en-US"/>
        </w:rPr>
        <w:t xml:space="preserve"> período de </w:t>
      </w:r>
      <w:r w:rsidRPr="000E5487">
        <w:rPr>
          <w:rFonts w:ascii="Times New Roman" w:eastAsia="Calibri" w:hAnsi="Times New Roman"/>
          <w:color w:val="000000"/>
          <w:szCs w:val="24"/>
          <w:lang w:eastAsia="en-US"/>
        </w:rPr>
        <w:t xml:space="preserve">janeiro a </w:t>
      </w:r>
      <w:r w:rsidR="00980BD6">
        <w:rPr>
          <w:rFonts w:ascii="Times New Roman" w:eastAsia="Calibri" w:hAnsi="Times New Roman"/>
          <w:color w:val="000000"/>
          <w:szCs w:val="24"/>
          <w:lang w:eastAsia="en-US"/>
        </w:rPr>
        <w:t>julho</w:t>
      </w:r>
      <w:r w:rsidRPr="000E5487">
        <w:rPr>
          <w:rFonts w:ascii="Times New Roman" w:eastAsia="Calibri" w:hAnsi="Times New Roman"/>
          <w:color w:val="000000"/>
          <w:szCs w:val="24"/>
          <w:lang w:eastAsia="en-US"/>
        </w:rPr>
        <w:t xml:space="preserve"> de 2017.</w:t>
      </w:r>
      <w:r w:rsidR="00301072" w:rsidRPr="000E5487">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Após o primeiro envio</w:t>
      </w:r>
      <w:r w:rsidR="00301072"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foram realizadas </w:t>
      </w:r>
      <w:r w:rsidR="007725FE">
        <w:rPr>
          <w:rFonts w:ascii="Times New Roman" w:eastAsia="Calibri" w:hAnsi="Times New Roman"/>
          <w:color w:val="000000"/>
          <w:szCs w:val="24"/>
          <w:lang w:eastAsia="en-US"/>
        </w:rPr>
        <w:t xml:space="preserve">três </w:t>
      </w:r>
      <w:r w:rsidRPr="000E5487">
        <w:rPr>
          <w:rFonts w:ascii="Times New Roman" w:eastAsia="Calibri" w:hAnsi="Times New Roman"/>
          <w:color w:val="000000"/>
          <w:szCs w:val="24"/>
          <w:lang w:eastAsia="en-US"/>
        </w:rPr>
        <w:t>tentativas via e-mail e telefone</w:t>
      </w:r>
      <w:r w:rsidR="00030CD3">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w:t>
      </w:r>
      <w:r w:rsidR="007725FE">
        <w:rPr>
          <w:rFonts w:ascii="Times New Roman" w:eastAsia="Calibri" w:hAnsi="Times New Roman"/>
          <w:color w:val="000000"/>
          <w:szCs w:val="24"/>
          <w:lang w:eastAsia="en-US"/>
        </w:rPr>
        <w:t xml:space="preserve">resultando em </w:t>
      </w:r>
      <w:r w:rsidR="00712720">
        <w:rPr>
          <w:rFonts w:ascii="Times New Roman" w:eastAsia="Calibri" w:hAnsi="Times New Roman"/>
          <w:color w:val="000000"/>
          <w:szCs w:val="24"/>
          <w:lang w:eastAsia="en-US"/>
        </w:rPr>
        <w:t>54</w:t>
      </w:r>
      <w:r w:rsidR="00030CD3" w:rsidRPr="00030CD3">
        <w:rPr>
          <w:rFonts w:ascii="Times New Roman" w:eastAsia="Calibri" w:hAnsi="Times New Roman"/>
          <w:color w:val="000000"/>
          <w:szCs w:val="24"/>
          <w:lang w:eastAsia="en-US"/>
        </w:rPr>
        <w:t xml:space="preserve"> </w:t>
      </w:r>
      <w:r w:rsidR="00030CD3">
        <w:rPr>
          <w:rFonts w:ascii="Times New Roman" w:eastAsia="Calibri" w:hAnsi="Times New Roman"/>
          <w:color w:val="000000"/>
          <w:szCs w:val="24"/>
          <w:lang w:eastAsia="en-US"/>
        </w:rPr>
        <w:t>respostas.</w:t>
      </w:r>
      <w:r w:rsidR="00030CD3" w:rsidRPr="00030CD3">
        <w:t xml:space="preserve"> </w:t>
      </w:r>
      <w:r w:rsidR="00290DC7" w:rsidRPr="000E5487">
        <w:rPr>
          <w:rFonts w:ascii="Times New Roman" w:eastAsia="Calibri" w:hAnsi="Times New Roman"/>
          <w:color w:val="000000"/>
          <w:szCs w:val="24"/>
          <w:lang w:eastAsia="en-US"/>
        </w:rPr>
        <w:t>Desse total</w:t>
      </w:r>
      <w:r w:rsidR="00301072" w:rsidRPr="000E5487">
        <w:rPr>
          <w:rFonts w:ascii="Times New Roman" w:eastAsia="Calibri" w:hAnsi="Times New Roman"/>
          <w:color w:val="000000"/>
          <w:szCs w:val="24"/>
          <w:lang w:eastAsia="en-US"/>
        </w:rPr>
        <w:t>, foram excluídos os q</w:t>
      </w:r>
      <w:r w:rsidR="007725FE">
        <w:rPr>
          <w:rFonts w:ascii="Times New Roman" w:eastAsia="Calibri" w:hAnsi="Times New Roman"/>
          <w:color w:val="000000"/>
          <w:szCs w:val="24"/>
          <w:lang w:eastAsia="en-US"/>
        </w:rPr>
        <w:t>uestionários incompletos, totalizando</w:t>
      </w:r>
      <w:r w:rsidR="00301072" w:rsidRPr="000E5487">
        <w:rPr>
          <w:rFonts w:ascii="Times New Roman" w:eastAsia="Calibri" w:hAnsi="Times New Roman"/>
          <w:color w:val="000000"/>
          <w:szCs w:val="24"/>
          <w:lang w:eastAsia="en-US"/>
        </w:rPr>
        <w:t xml:space="preserve"> 32 respostas </w:t>
      </w:r>
      <w:r w:rsidR="00712720">
        <w:rPr>
          <w:rFonts w:ascii="Times New Roman" w:eastAsia="Calibri" w:hAnsi="Times New Roman"/>
          <w:color w:val="000000"/>
          <w:szCs w:val="24"/>
          <w:lang w:eastAsia="en-US"/>
        </w:rPr>
        <w:t xml:space="preserve">válidas </w:t>
      </w:r>
      <w:r w:rsidR="00301072" w:rsidRPr="000E5487">
        <w:rPr>
          <w:rFonts w:ascii="Times New Roman" w:eastAsia="Calibri" w:hAnsi="Times New Roman"/>
          <w:color w:val="000000"/>
          <w:szCs w:val="24"/>
          <w:lang w:eastAsia="en-US"/>
        </w:rPr>
        <w:t xml:space="preserve">de </w:t>
      </w:r>
      <w:r w:rsidR="00301072" w:rsidRPr="000E5487">
        <w:rPr>
          <w:rFonts w:ascii="Times New Roman" w:eastAsia="Calibri" w:hAnsi="Times New Roman"/>
          <w:i/>
          <w:color w:val="000000"/>
          <w:szCs w:val="24"/>
          <w:lang w:eastAsia="en-US"/>
        </w:rPr>
        <w:t>controllers</w:t>
      </w:r>
      <w:r w:rsidR="00301072" w:rsidRPr="000E5487">
        <w:rPr>
          <w:rFonts w:ascii="Times New Roman" w:eastAsia="Calibri" w:hAnsi="Times New Roman"/>
          <w:color w:val="000000"/>
          <w:szCs w:val="24"/>
          <w:lang w:eastAsia="en-US"/>
        </w:rPr>
        <w:t xml:space="preserve">, contadores, gerentes de controladoria e </w:t>
      </w:r>
      <w:r w:rsidR="00301072" w:rsidRPr="000E5487">
        <w:rPr>
          <w:rFonts w:ascii="Times New Roman" w:eastAsia="Calibri" w:hAnsi="Times New Roman"/>
          <w:i/>
          <w:color w:val="000000"/>
          <w:szCs w:val="24"/>
          <w:lang w:eastAsia="en-US"/>
        </w:rPr>
        <w:t>Chief Financial Officer</w:t>
      </w:r>
      <w:r w:rsidR="00301072" w:rsidRPr="000E5487">
        <w:rPr>
          <w:rFonts w:ascii="Times New Roman" w:eastAsia="Calibri" w:hAnsi="Times New Roman"/>
          <w:color w:val="000000"/>
          <w:szCs w:val="24"/>
          <w:lang w:eastAsia="en-US"/>
        </w:rPr>
        <w:t xml:space="preserve"> (CFO), sendo essa a base de análise do estudo.</w:t>
      </w:r>
    </w:p>
    <w:p w:rsidR="005C20AE" w:rsidRDefault="00344F61" w:rsidP="00B747D7">
      <w:pPr>
        <w:spacing w:after="0" w:line="240" w:lineRule="auto"/>
        <w:ind w:firstLine="709"/>
        <w:jc w:val="both"/>
      </w:pPr>
      <w:r w:rsidRPr="000E5487">
        <w:rPr>
          <w:rFonts w:ascii="Times New Roman" w:hAnsi="Times New Roman"/>
          <w:color w:val="000000"/>
          <w:szCs w:val="24"/>
        </w:rPr>
        <w:t>Os</w:t>
      </w:r>
      <w:r w:rsidR="00B809FB" w:rsidRPr="000E5487">
        <w:rPr>
          <w:rFonts w:ascii="Times New Roman" w:hAnsi="Times New Roman"/>
          <w:color w:val="000000"/>
          <w:szCs w:val="24"/>
        </w:rPr>
        <w:t xml:space="preserve"> dados</w:t>
      </w:r>
      <w:r w:rsidRPr="000E5487">
        <w:rPr>
          <w:rFonts w:ascii="Times New Roman" w:hAnsi="Times New Roman"/>
          <w:color w:val="000000"/>
          <w:szCs w:val="24"/>
        </w:rPr>
        <w:t xml:space="preserve"> coletados</w:t>
      </w:r>
      <w:r w:rsidR="00B809FB" w:rsidRPr="000E5487">
        <w:rPr>
          <w:rFonts w:ascii="Times New Roman" w:hAnsi="Times New Roman"/>
          <w:color w:val="000000"/>
          <w:szCs w:val="24"/>
        </w:rPr>
        <w:t xml:space="preserve"> fo</w:t>
      </w:r>
      <w:r w:rsidRPr="000E5487">
        <w:rPr>
          <w:rFonts w:ascii="Times New Roman" w:hAnsi="Times New Roman"/>
          <w:color w:val="000000"/>
          <w:szCs w:val="24"/>
        </w:rPr>
        <w:t>ram</w:t>
      </w:r>
      <w:r w:rsidR="00B809FB" w:rsidRPr="000E5487">
        <w:rPr>
          <w:rFonts w:ascii="Times New Roman" w:hAnsi="Times New Roman"/>
          <w:color w:val="000000"/>
          <w:szCs w:val="24"/>
        </w:rPr>
        <w:t xml:space="preserve"> an</w:t>
      </w:r>
      <w:r w:rsidR="007725FE">
        <w:rPr>
          <w:rFonts w:ascii="Times New Roman" w:hAnsi="Times New Roman"/>
          <w:color w:val="000000"/>
          <w:szCs w:val="24"/>
        </w:rPr>
        <w:t>a</w:t>
      </w:r>
      <w:r w:rsidR="00B809FB" w:rsidRPr="000E5487">
        <w:rPr>
          <w:rFonts w:ascii="Times New Roman" w:hAnsi="Times New Roman"/>
          <w:color w:val="000000"/>
          <w:szCs w:val="24"/>
        </w:rPr>
        <w:t>lis</w:t>
      </w:r>
      <w:r w:rsidRPr="000E5487">
        <w:rPr>
          <w:rFonts w:ascii="Times New Roman" w:hAnsi="Times New Roman"/>
          <w:color w:val="000000"/>
          <w:szCs w:val="24"/>
        </w:rPr>
        <w:t>ados</w:t>
      </w:r>
      <w:r w:rsidR="00B809FB" w:rsidRPr="000E5487">
        <w:rPr>
          <w:rFonts w:ascii="Times New Roman" w:hAnsi="Times New Roman"/>
          <w:color w:val="000000"/>
          <w:szCs w:val="24"/>
        </w:rPr>
        <w:t xml:space="preserve"> descritiva</w:t>
      </w:r>
      <w:r w:rsidRPr="000E5487">
        <w:rPr>
          <w:rFonts w:ascii="Times New Roman" w:hAnsi="Times New Roman"/>
          <w:color w:val="000000"/>
          <w:szCs w:val="24"/>
        </w:rPr>
        <w:t>mente</w:t>
      </w:r>
      <w:r w:rsidR="00B809FB" w:rsidRPr="000E5487">
        <w:rPr>
          <w:rFonts w:ascii="Times New Roman" w:hAnsi="Times New Roman"/>
          <w:color w:val="000000"/>
          <w:szCs w:val="24"/>
        </w:rPr>
        <w:t xml:space="preserve">, </w:t>
      </w:r>
      <w:r w:rsidRPr="000E5487">
        <w:rPr>
          <w:rFonts w:ascii="Times New Roman" w:hAnsi="Times New Roman"/>
          <w:color w:val="000000"/>
          <w:szCs w:val="24"/>
        </w:rPr>
        <w:t xml:space="preserve">através da frequência absoluta e a relativa, </w:t>
      </w:r>
      <w:r w:rsidR="00B809FB" w:rsidRPr="000E5487">
        <w:rPr>
          <w:rFonts w:ascii="Times New Roman" w:hAnsi="Times New Roman"/>
          <w:color w:val="000000"/>
          <w:szCs w:val="24"/>
        </w:rPr>
        <w:t>com o intuito de caracterizar os indivíduos</w:t>
      </w:r>
      <w:r w:rsidR="00DF1D6F" w:rsidRPr="000E5487">
        <w:rPr>
          <w:rFonts w:ascii="Times New Roman" w:hAnsi="Times New Roman"/>
          <w:color w:val="000000"/>
          <w:szCs w:val="24"/>
        </w:rPr>
        <w:t xml:space="preserve"> e as múltiplas escolhas contábeis adotadas na mensuração de ativos biológicos</w:t>
      </w:r>
      <w:r w:rsidR="00B809FB" w:rsidRPr="000E5487">
        <w:rPr>
          <w:rFonts w:ascii="Times New Roman" w:hAnsi="Times New Roman"/>
          <w:color w:val="000000"/>
          <w:szCs w:val="24"/>
        </w:rPr>
        <w:t>.</w:t>
      </w:r>
      <w:r w:rsidRPr="000E5487">
        <w:rPr>
          <w:rFonts w:ascii="Times New Roman" w:hAnsi="Times New Roman"/>
          <w:color w:val="000000"/>
          <w:szCs w:val="24"/>
        </w:rPr>
        <w:t xml:space="preserve"> </w:t>
      </w:r>
      <w:r w:rsidR="00B809FB" w:rsidRPr="000E5487">
        <w:rPr>
          <w:rFonts w:ascii="Times New Roman" w:hAnsi="Times New Roman"/>
          <w:color w:val="000000"/>
          <w:szCs w:val="24"/>
        </w:rPr>
        <w:t xml:space="preserve">Para </w:t>
      </w:r>
      <w:r w:rsidR="00DF1D6F" w:rsidRPr="000E5487">
        <w:rPr>
          <w:rFonts w:ascii="Times New Roman" w:hAnsi="Times New Roman"/>
          <w:color w:val="000000"/>
          <w:szCs w:val="24"/>
        </w:rPr>
        <w:t>verificar</w:t>
      </w:r>
      <w:r w:rsidR="00B809FB" w:rsidRPr="000E5487">
        <w:rPr>
          <w:rFonts w:ascii="Times New Roman" w:hAnsi="Times New Roman"/>
          <w:color w:val="000000"/>
          <w:szCs w:val="24"/>
        </w:rPr>
        <w:t xml:space="preserve"> a possível associação entre as variáveis de perfil </w:t>
      </w:r>
      <w:r w:rsidR="004B4864" w:rsidRPr="000E5487">
        <w:rPr>
          <w:rFonts w:ascii="Times New Roman" w:hAnsi="Times New Roman"/>
          <w:color w:val="000000"/>
          <w:szCs w:val="24"/>
        </w:rPr>
        <w:t xml:space="preserve">do profissional </w:t>
      </w:r>
      <w:r w:rsidR="00B809FB" w:rsidRPr="000E5487">
        <w:rPr>
          <w:rFonts w:ascii="Times New Roman" w:hAnsi="Times New Roman"/>
          <w:color w:val="000000"/>
          <w:szCs w:val="24"/>
        </w:rPr>
        <w:t>com a</w:t>
      </w:r>
      <w:r w:rsidR="00DF1D6F" w:rsidRPr="000E5487">
        <w:rPr>
          <w:rFonts w:ascii="Times New Roman" w:hAnsi="Times New Roman"/>
          <w:color w:val="000000"/>
          <w:szCs w:val="24"/>
        </w:rPr>
        <w:t>s</w:t>
      </w:r>
      <w:r w:rsidR="00B809FB" w:rsidRPr="000E5487">
        <w:rPr>
          <w:rFonts w:ascii="Times New Roman" w:hAnsi="Times New Roman"/>
          <w:color w:val="000000"/>
          <w:szCs w:val="24"/>
        </w:rPr>
        <w:t xml:space="preserve"> </w:t>
      </w:r>
      <w:r w:rsidR="00DF1D6F" w:rsidRPr="000E5487">
        <w:rPr>
          <w:rFonts w:ascii="Times New Roman" w:hAnsi="Times New Roman"/>
          <w:color w:val="000000"/>
          <w:szCs w:val="24"/>
        </w:rPr>
        <w:t>escolhas contábeis n</w:t>
      </w:r>
      <w:r w:rsidR="00B809FB" w:rsidRPr="000E5487">
        <w:rPr>
          <w:rFonts w:ascii="Times New Roman" w:hAnsi="Times New Roman"/>
          <w:color w:val="000000"/>
          <w:szCs w:val="24"/>
        </w:rPr>
        <w:t>a mensuração de ativos biológicos</w:t>
      </w:r>
      <w:r w:rsidR="00F22C52" w:rsidRPr="000E5487">
        <w:rPr>
          <w:rFonts w:ascii="Times New Roman" w:hAnsi="Times New Roman"/>
          <w:color w:val="000000"/>
          <w:szCs w:val="24"/>
        </w:rPr>
        <w:t>,</w:t>
      </w:r>
      <w:r w:rsidR="00B809FB" w:rsidRPr="000E5487">
        <w:rPr>
          <w:rFonts w:ascii="Times New Roman" w:hAnsi="Times New Roman"/>
          <w:color w:val="000000"/>
          <w:szCs w:val="24"/>
        </w:rPr>
        <w:t xml:space="preserve"> foi utilizado o teste exato de </w:t>
      </w:r>
      <w:r w:rsidR="00B809FB" w:rsidRPr="000E5487">
        <w:rPr>
          <w:rFonts w:ascii="Times New Roman" w:hAnsi="Times New Roman"/>
          <w:i/>
          <w:color w:val="000000"/>
          <w:szCs w:val="24"/>
        </w:rPr>
        <w:t>Fisher</w:t>
      </w:r>
      <w:r w:rsidR="003A0590" w:rsidRPr="000E5487">
        <w:rPr>
          <w:rFonts w:ascii="Times New Roman" w:hAnsi="Times New Roman"/>
          <w:i/>
          <w:color w:val="000000"/>
          <w:szCs w:val="24"/>
        </w:rPr>
        <w:t xml:space="preserve"> </w:t>
      </w:r>
      <w:r w:rsidR="003A0590" w:rsidRPr="000E5487">
        <w:rPr>
          <w:rFonts w:ascii="Times New Roman" w:hAnsi="Times New Roman"/>
          <w:bCs/>
          <w:szCs w:val="24"/>
        </w:rPr>
        <w:t xml:space="preserve">(valor </w:t>
      </w:r>
      <w:r w:rsidR="003A0590" w:rsidRPr="000E5487">
        <w:rPr>
          <w:rFonts w:ascii="Times New Roman" w:hAnsi="Times New Roman"/>
          <w:bCs/>
          <w:i/>
          <w:szCs w:val="24"/>
        </w:rPr>
        <w:t>p</w:t>
      </w:r>
      <w:r w:rsidR="003A0590" w:rsidRPr="000E5487">
        <w:rPr>
          <w:rFonts w:ascii="Times New Roman" w:hAnsi="Times New Roman"/>
          <w:bCs/>
          <w:szCs w:val="24"/>
        </w:rPr>
        <w:t>)</w:t>
      </w:r>
      <w:r w:rsidR="00B809FB" w:rsidRPr="000E5487">
        <w:rPr>
          <w:rFonts w:ascii="Times New Roman" w:hAnsi="Times New Roman"/>
          <w:color w:val="000000"/>
          <w:szCs w:val="24"/>
        </w:rPr>
        <w:t>. O nível de significância foi fixado em 5% e todas as análises foram realizadas com o auxílio do ambiente estatístico R, versão 3.3.1</w:t>
      </w:r>
      <w:r w:rsidR="00910EFA" w:rsidRPr="000E5487">
        <w:rPr>
          <w:rFonts w:ascii="Times New Roman" w:hAnsi="Times New Roman"/>
          <w:color w:val="000000"/>
          <w:szCs w:val="24"/>
        </w:rPr>
        <w:t>.</w:t>
      </w:r>
      <w:r w:rsidR="005C20AE" w:rsidRPr="005C20AE">
        <w:t xml:space="preserve"> </w:t>
      </w:r>
    </w:p>
    <w:p w:rsidR="00030CD3" w:rsidRDefault="004312A7" w:rsidP="00B747D7">
      <w:pPr>
        <w:spacing w:after="0" w:line="240" w:lineRule="auto"/>
        <w:ind w:firstLine="709"/>
        <w:jc w:val="both"/>
        <w:rPr>
          <w:rFonts w:ascii="Times New Roman" w:hAnsi="Times New Roman"/>
          <w:color w:val="000000"/>
          <w:szCs w:val="24"/>
        </w:rPr>
      </w:pPr>
      <w:r w:rsidRPr="004312A7">
        <w:rPr>
          <w:rFonts w:ascii="Times New Roman" w:hAnsi="Times New Roman"/>
          <w:color w:val="000000"/>
          <w:szCs w:val="24"/>
        </w:rPr>
        <w:t xml:space="preserve">O teste exato de </w:t>
      </w:r>
      <w:r w:rsidR="00443433">
        <w:rPr>
          <w:rFonts w:ascii="Times New Roman" w:hAnsi="Times New Roman"/>
          <w:color w:val="000000"/>
          <w:szCs w:val="24"/>
        </w:rPr>
        <w:fldChar w:fldCharType="begin" w:fldLock="1"/>
      </w:r>
      <w:r w:rsidR="00443433">
        <w:rPr>
          <w:rFonts w:ascii="Times New Roman" w:hAnsi="Times New Roman"/>
          <w:color w:val="000000"/>
          <w:szCs w:val="24"/>
        </w:rPr>
        <w:instrText>ADDIN CSL_CITATION {"citationItems":[{"id":"ITEM-1","itemData":{"author":[{"dropping-particle":"","family":"Fisher","given":"R. A.","non-dropping-particle":"","parse-names":false,"suffix":""}],"container-title":"Biological Monographs And Manuals","edition":"5","editor":[{"dropping-particle":"","family":"Crew","given":"F. A. E.","non-dropping-particle":"","parse-names":false,"suffix":""},{"dropping-particle":"","family":"Cutler","given":"D. W.","non-dropping-particle":"","parse-names":false,"suffix":""}],"id":"ITEM-1","issued":{"date-parts":[["1934"]]},"page":"316","publisher":"Oliver &amp; Boyd","publisher-place":"Londres","title":"Statistical Methods for Research Workers","type":"chapter"},"uris":["http://www.mendeley.com/documents/?uuid=82688702-98d3-48a6-9d56-59a269cd20a7"]}],"mendeley":{"formattedCitation":"(FISHER, 1934)","manualFormatting":"Fisher (1934)","plainTextFormattedCitation":"(FISHER, 1934)","previouslyFormattedCitation":"(FISHER, 1934)"},"properties":{"noteIndex":0},"schema":"https://github.com/citation-style-language/schema/raw/master/csl-citation.json"}</w:instrText>
      </w:r>
      <w:r w:rsidR="00443433">
        <w:rPr>
          <w:rFonts w:ascii="Times New Roman" w:hAnsi="Times New Roman"/>
          <w:color w:val="000000"/>
          <w:szCs w:val="24"/>
        </w:rPr>
        <w:fldChar w:fldCharType="separate"/>
      </w:r>
      <w:r w:rsidR="00443433" w:rsidRPr="00443433">
        <w:rPr>
          <w:rFonts w:ascii="Times New Roman" w:hAnsi="Times New Roman"/>
          <w:noProof/>
          <w:color w:val="000000"/>
          <w:szCs w:val="24"/>
        </w:rPr>
        <w:t xml:space="preserve">Fisher </w:t>
      </w:r>
      <w:r w:rsidR="00443433">
        <w:rPr>
          <w:rFonts w:ascii="Times New Roman" w:hAnsi="Times New Roman"/>
          <w:noProof/>
          <w:color w:val="000000"/>
          <w:szCs w:val="24"/>
        </w:rPr>
        <w:t>(</w:t>
      </w:r>
      <w:r w:rsidR="00443433" w:rsidRPr="00443433">
        <w:rPr>
          <w:rFonts w:ascii="Times New Roman" w:hAnsi="Times New Roman"/>
          <w:noProof/>
          <w:color w:val="000000"/>
          <w:szCs w:val="24"/>
        </w:rPr>
        <w:t>1934)</w:t>
      </w:r>
      <w:r w:rsidR="00443433">
        <w:rPr>
          <w:rFonts w:ascii="Times New Roman" w:hAnsi="Times New Roman"/>
          <w:color w:val="000000"/>
          <w:szCs w:val="24"/>
        </w:rPr>
        <w:fldChar w:fldCharType="end"/>
      </w:r>
      <w:r w:rsidRPr="004312A7">
        <w:rPr>
          <w:rFonts w:ascii="Times New Roman" w:hAnsi="Times New Roman"/>
          <w:color w:val="000000"/>
          <w:szCs w:val="24"/>
        </w:rPr>
        <w:t xml:space="preserve"> </w:t>
      </w:r>
      <w:r w:rsidR="007725FE">
        <w:rPr>
          <w:rFonts w:ascii="Times New Roman" w:hAnsi="Times New Roman"/>
          <w:color w:val="000000"/>
          <w:szCs w:val="24"/>
        </w:rPr>
        <w:t>foi escolhido</w:t>
      </w:r>
      <w:r w:rsidRPr="004312A7">
        <w:rPr>
          <w:rFonts w:ascii="Times New Roman" w:hAnsi="Times New Roman"/>
          <w:color w:val="000000"/>
          <w:szCs w:val="24"/>
        </w:rPr>
        <w:t xml:space="preserve"> </w:t>
      </w:r>
      <w:r>
        <w:rPr>
          <w:rFonts w:ascii="Times New Roman" w:hAnsi="Times New Roman"/>
          <w:color w:val="000000"/>
          <w:szCs w:val="24"/>
        </w:rPr>
        <w:t>por</w:t>
      </w:r>
      <w:r w:rsidRPr="004312A7">
        <w:rPr>
          <w:rFonts w:ascii="Times New Roman" w:hAnsi="Times New Roman"/>
          <w:color w:val="000000"/>
          <w:szCs w:val="24"/>
        </w:rPr>
        <w:t xml:space="preserve"> </w:t>
      </w:r>
      <w:r>
        <w:rPr>
          <w:rFonts w:ascii="Times New Roman" w:hAnsi="Times New Roman"/>
          <w:color w:val="000000"/>
          <w:szCs w:val="24"/>
        </w:rPr>
        <w:t>ser</w:t>
      </w:r>
      <w:r w:rsidRPr="004312A7">
        <w:t xml:space="preserve"> </w:t>
      </w:r>
      <w:r>
        <w:rPr>
          <w:rFonts w:ascii="Times New Roman" w:hAnsi="Times New Roman"/>
          <w:color w:val="000000"/>
          <w:szCs w:val="24"/>
        </w:rPr>
        <w:t>recomendado</w:t>
      </w:r>
      <w:r w:rsidRPr="004312A7">
        <w:rPr>
          <w:rFonts w:ascii="Times New Roman" w:hAnsi="Times New Roman"/>
          <w:color w:val="000000"/>
          <w:szCs w:val="24"/>
        </w:rPr>
        <w:t xml:space="preserve"> para amostras pequenas e para tabelas de contingência em que existem valores </w:t>
      </w:r>
      <w:r>
        <w:rPr>
          <w:rFonts w:ascii="Times New Roman" w:hAnsi="Times New Roman"/>
          <w:color w:val="000000"/>
          <w:szCs w:val="24"/>
        </w:rPr>
        <w:t>esperados menores que cinco</w:t>
      </w:r>
      <w:r w:rsidRPr="004312A7">
        <w:rPr>
          <w:rFonts w:ascii="Times New Roman" w:hAnsi="Times New Roman"/>
          <w:color w:val="000000"/>
          <w:szCs w:val="24"/>
        </w:rPr>
        <w:t xml:space="preserve">. </w:t>
      </w:r>
      <w:r w:rsidR="007725FE">
        <w:rPr>
          <w:rFonts w:ascii="Times New Roman" w:hAnsi="Times New Roman"/>
          <w:color w:val="000000"/>
          <w:szCs w:val="24"/>
        </w:rPr>
        <w:t xml:space="preserve">Esse teste </w:t>
      </w:r>
      <w:r w:rsidR="007725FE" w:rsidRPr="007725FE">
        <w:rPr>
          <w:rFonts w:ascii="Times New Roman" w:hAnsi="Times New Roman"/>
          <w:color w:val="000000"/>
          <w:szCs w:val="24"/>
        </w:rPr>
        <w:t>se baseia na distribuição de probabilidade das freq</w:t>
      </w:r>
      <w:r w:rsidR="007725FE">
        <w:rPr>
          <w:rFonts w:ascii="Times New Roman" w:hAnsi="Times New Roman"/>
          <w:color w:val="000000"/>
          <w:szCs w:val="24"/>
        </w:rPr>
        <w:t>uências da tabela cruzada (2x2)</w:t>
      </w:r>
      <w:r w:rsidR="00443433">
        <w:rPr>
          <w:rFonts w:ascii="Times New Roman" w:hAnsi="Times New Roman"/>
          <w:color w:val="000000"/>
          <w:szCs w:val="24"/>
        </w:rPr>
        <w:t xml:space="preserve"> e </w:t>
      </w:r>
      <w:r w:rsidR="00443433" w:rsidRPr="00443433">
        <w:rPr>
          <w:rFonts w:ascii="Times New Roman" w:hAnsi="Times New Roman"/>
          <w:color w:val="000000"/>
          <w:szCs w:val="24"/>
        </w:rPr>
        <w:t>é considerado uma alternativa ao teste qui-quadrado de Pearson</w:t>
      </w:r>
      <w:r w:rsidR="00443433">
        <w:rPr>
          <w:rFonts w:ascii="Times New Roman" w:hAnsi="Times New Roman"/>
          <w:color w:val="000000"/>
          <w:szCs w:val="24"/>
        </w:rPr>
        <w:t xml:space="preserve"> </w:t>
      </w:r>
      <w:r w:rsidR="00443433">
        <w:rPr>
          <w:rFonts w:ascii="Times New Roman" w:hAnsi="Times New Roman"/>
          <w:color w:val="000000"/>
          <w:szCs w:val="24"/>
        </w:rPr>
        <w:fldChar w:fldCharType="begin" w:fldLock="1"/>
      </w:r>
      <w:r w:rsidR="009B00E2">
        <w:rPr>
          <w:rFonts w:ascii="Times New Roman" w:hAnsi="Times New Roman"/>
          <w:color w:val="000000"/>
          <w:szCs w:val="24"/>
        </w:rPr>
        <w:instrText>ADDIN CSL_CITATION {"citationItems":[{"id":"ITEM-1","itemData":{"DOI":"10.2307/2288652","ISSN":"01621459","author":[{"dropping-particle":"","family":"Mehta","given":"Cyrus R.","non-dropping-particle":"","parse-names":false,"suffix":""},{"dropping-particle":"","family":"Patel","given":"Nitin R.","non-dropping-particle":"","parse-names":false,"suffix":""}],"container-title":"Journal of the American Statistical Association","id":"ITEM-1","issue":"382","issued":{"date-parts":[["1983","6"]]},"page":"427","title":"A Network Algorithm for Performing Fisher's Exact Test in r × c Contingency Tables","type":"article-journal","volume":"78"},"uris":["http://www.mendeley.com/documents/?uuid=97f9c499-ac8c-4702-a2a6-defcac1e4732"]}],"mendeley":{"formattedCitation":"(MEHTA; PATEL, 1983)","plainTextFormattedCitation":"(MEHTA; PATEL, 1983)","previouslyFormattedCitation":"(MEHTA; PATEL, 1983)"},"properties":{"noteIndex":0},"schema":"https://github.com/citation-style-language/schema/raw/master/csl-citation.json"}</w:instrText>
      </w:r>
      <w:r w:rsidR="00443433">
        <w:rPr>
          <w:rFonts w:ascii="Times New Roman" w:hAnsi="Times New Roman"/>
          <w:color w:val="000000"/>
          <w:szCs w:val="24"/>
        </w:rPr>
        <w:fldChar w:fldCharType="separate"/>
      </w:r>
      <w:r w:rsidR="00443433" w:rsidRPr="00443433">
        <w:rPr>
          <w:rFonts w:ascii="Times New Roman" w:hAnsi="Times New Roman"/>
          <w:noProof/>
          <w:color w:val="000000"/>
          <w:szCs w:val="24"/>
        </w:rPr>
        <w:t>(MEHTA; PATEL, 1983)</w:t>
      </w:r>
      <w:r w:rsidR="00443433">
        <w:rPr>
          <w:rFonts w:ascii="Times New Roman" w:hAnsi="Times New Roman"/>
          <w:color w:val="000000"/>
          <w:szCs w:val="24"/>
        </w:rPr>
        <w:fldChar w:fldCharType="end"/>
      </w:r>
      <w:r w:rsidR="007725FE">
        <w:rPr>
          <w:rFonts w:ascii="Times New Roman" w:hAnsi="Times New Roman"/>
          <w:color w:val="000000"/>
          <w:szCs w:val="24"/>
        </w:rPr>
        <w:t>.</w:t>
      </w:r>
      <w:r w:rsidR="007725FE" w:rsidRPr="007725FE">
        <w:rPr>
          <w:rFonts w:ascii="Times New Roman" w:hAnsi="Times New Roman"/>
          <w:color w:val="000000"/>
          <w:szCs w:val="24"/>
        </w:rPr>
        <w:t xml:space="preserve"> </w:t>
      </w:r>
      <w:r w:rsidR="0080434E">
        <w:rPr>
          <w:rFonts w:ascii="Times New Roman" w:hAnsi="Times New Roman"/>
          <w:color w:val="000000"/>
          <w:szCs w:val="24"/>
        </w:rPr>
        <w:t>Posteriormente, foram construída</w:t>
      </w:r>
      <w:r w:rsidRPr="004312A7">
        <w:rPr>
          <w:rFonts w:ascii="Times New Roman" w:hAnsi="Times New Roman"/>
          <w:color w:val="000000"/>
          <w:szCs w:val="24"/>
        </w:rPr>
        <w:t>s figuras de barras empilhadas para as variáveis que apresentaram significância estatística, visando demonstrar as associações entre as escolhas contábeis e as variáveis que caracterizam o perfil dos respondentes.</w:t>
      </w:r>
    </w:p>
    <w:p w:rsidR="0080434E" w:rsidRPr="000E5487" w:rsidRDefault="0080434E" w:rsidP="00B747D7">
      <w:pPr>
        <w:spacing w:after="0" w:line="240" w:lineRule="auto"/>
        <w:ind w:firstLine="709"/>
        <w:jc w:val="both"/>
        <w:rPr>
          <w:rFonts w:ascii="Times New Roman" w:hAnsi="Times New Roman"/>
          <w:color w:val="000000"/>
          <w:szCs w:val="24"/>
        </w:rPr>
      </w:pPr>
    </w:p>
    <w:p w:rsidR="00C64A63" w:rsidRPr="000E5487" w:rsidRDefault="004B4864" w:rsidP="0080434E">
      <w:pPr>
        <w:spacing w:after="120" w:line="240" w:lineRule="auto"/>
        <w:jc w:val="both"/>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4</w:t>
      </w:r>
      <w:r w:rsidR="00D33781" w:rsidRPr="000E5487">
        <w:rPr>
          <w:rFonts w:ascii="Times New Roman" w:eastAsia="Calibri" w:hAnsi="Times New Roman"/>
          <w:b/>
          <w:color w:val="000000"/>
          <w:szCs w:val="24"/>
          <w:lang w:eastAsia="en-US"/>
        </w:rPr>
        <w:t xml:space="preserve"> </w:t>
      </w:r>
      <w:r w:rsidR="000A1C89" w:rsidRPr="000E5487">
        <w:rPr>
          <w:rFonts w:ascii="Times New Roman" w:eastAsia="Calibri" w:hAnsi="Times New Roman"/>
          <w:b/>
          <w:color w:val="000000"/>
          <w:szCs w:val="24"/>
          <w:lang w:eastAsia="en-US"/>
        </w:rPr>
        <w:t>R</w:t>
      </w:r>
      <w:r w:rsidR="0080434E" w:rsidRPr="000E5487">
        <w:rPr>
          <w:rFonts w:ascii="Times New Roman" w:eastAsia="Calibri" w:hAnsi="Times New Roman"/>
          <w:b/>
          <w:color w:val="000000"/>
          <w:szCs w:val="24"/>
          <w:lang w:eastAsia="en-US"/>
        </w:rPr>
        <w:t>esultados</w:t>
      </w:r>
    </w:p>
    <w:p w:rsidR="00D33781" w:rsidRPr="000E5487" w:rsidRDefault="00D33781"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Inicialmente é apresentado o perfil dos respondentes e posteriormente são detalhadas as escolhas contábeis adotadas na </w:t>
      </w:r>
      <w:r w:rsidR="00AB4B3F" w:rsidRPr="000E5487">
        <w:rPr>
          <w:rFonts w:ascii="Times New Roman" w:eastAsia="Calibri" w:hAnsi="Times New Roman"/>
          <w:color w:val="000000"/>
          <w:szCs w:val="24"/>
          <w:lang w:eastAsia="en-US"/>
        </w:rPr>
        <w:t>mensuração de ativos biológicos e o teste de associação das variáveis d</w:t>
      </w:r>
      <w:r w:rsidR="00945D1C" w:rsidRPr="000E5487">
        <w:rPr>
          <w:rFonts w:ascii="Times New Roman" w:eastAsia="Calibri" w:hAnsi="Times New Roman"/>
          <w:color w:val="000000"/>
          <w:szCs w:val="24"/>
          <w:lang w:eastAsia="en-US"/>
        </w:rPr>
        <w:t>o</w:t>
      </w:r>
      <w:r w:rsidR="00AB4B3F" w:rsidRPr="000E5487">
        <w:rPr>
          <w:rFonts w:ascii="Times New Roman" w:eastAsia="Calibri" w:hAnsi="Times New Roman"/>
          <w:color w:val="000000"/>
          <w:szCs w:val="24"/>
          <w:lang w:eastAsia="en-US"/>
        </w:rPr>
        <w:t xml:space="preserve"> perfil </w:t>
      </w:r>
      <w:r w:rsidR="00945D1C" w:rsidRPr="000E5487">
        <w:rPr>
          <w:rFonts w:ascii="Times New Roman" w:eastAsia="Calibri" w:hAnsi="Times New Roman"/>
          <w:color w:val="000000"/>
          <w:szCs w:val="24"/>
          <w:lang w:eastAsia="en-US"/>
        </w:rPr>
        <w:t xml:space="preserve">dos </w:t>
      </w:r>
      <w:r w:rsidR="00503862">
        <w:rPr>
          <w:rFonts w:ascii="Times New Roman" w:eastAsia="Calibri" w:hAnsi="Times New Roman"/>
          <w:color w:val="000000"/>
          <w:szCs w:val="24"/>
          <w:lang w:eastAsia="en-US"/>
        </w:rPr>
        <w:t>profissionais</w:t>
      </w:r>
      <w:r w:rsidR="00945D1C" w:rsidRPr="000E5487">
        <w:rPr>
          <w:rFonts w:ascii="Times New Roman" w:eastAsia="Calibri" w:hAnsi="Times New Roman"/>
          <w:color w:val="000000"/>
          <w:szCs w:val="24"/>
          <w:lang w:eastAsia="en-US"/>
        </w:rPr>
        <w:t xml:space="preserve"> </w:t>
      </w:r>
      <w:r w:rsidR="00AB4B3F" w:rsidRPr="000E5487">
        <w:rPr>
          <w:rFonts w:ascii="Times New Roman" w:eastAsia="Calibri" w:hAnsi="Times New Roman"/>
          <w:color w:val="000000"/>
          <w:szCs w:val="24"/>
          <w:lang w:eastAsia="en-US"/>
        </w:rPr>
        <w:t xml:space="preserve">com as </w:t>
      </w:r>
      <w:r w:rsidR="0076661E" w:rsidRPr="000E5487">
        <w:rPr>
          <w:rFonts w:ascii="Times New Roman" w:eastAsia="Calibri" w:hAnsi="Times New Roman"/>
          <w:color w:val="000000"/>
          <w:szCs w:val="24"/>
          <w:lang w:eastAsia="en-US"/>
        </w:rPr>
        <w:t xml:space="preserve">suas respectivas </w:t>
      </w:r>
      <w:r w:rsidR="00AB4B3F" w:rsidRPr="000E5487">
        <w:rPr>
          <w:rFonts w:ascii="Times New Roman" w:eastAsia="Calibri" w:hAnsi="Times New Roman"/>
          <w:color w:val="000000"/>
          <w:szCs w:val="24"/>
          <w:lang w:eastAsia="en-US"/>
        </w:rPr>
        <w:t xml:space="preserve">escolhas contábeis.  </w:t>
      </w:r>
    </w:p>
    <w:p w:rsidR="0080434E" w:rsidRDefault="0080434E" w:rsidP="00B747D7">
      <w:pPr>
        <w:spacing w:after="0" w:line="240" w:lineRule="auto"/>
        <w:ind w:firstLine="709"/>
        <w:jc w:val="both"/>
        <w:rPr>
          <w:rFonts w:ascii="Times New Roman" w:eastAsia="Calibri" w:hAnsi="Times New Roman"/>
          <w:b/>
          <w:color w:val="000000"/>
          <w:szCs w:val="24"/>
          <w:lang w:eastAsia="en-US"/>
        </w:rPr>
      </w:pPr>
    </w:p>
    <w:p w:rsidR="00D33781" w:rsidRPr="000E5487" w:rsidRDefault="00391CB2" w:rsidP="0080434E">
      <w:pPr>
        <w:spacing w:after="120" w:line="240" w:lineRule="auto"/>
        <w:jc w:val="both"/>
        <w:rPr>
          <w:rFonts w:ascii="Times New Roman" w:eastAsia="Calibri" w:hAnsi="Times New Roman"/>
          <w:b/>
          <w:color w:val="000000"/>
          <w:szCs w:val="24"/>
          <w:lang w:eastAsia="en-US"/>
        </w:rPr>
      </w:pPr>
      <w:r w:rsidRPr="000E5487">
        <w:rPr>
          <w:rFonts w:ascii="Times New Roman" w:eastAsia="Calibri" w:hAnsi="Times New Roman"/>
          <w:b/>
          <w:color w:val="000000"/>
          <w:szCs w:val="24"/>
          <w:lang w:eastAsia="en-US"/>
        </w:rPr>
        <w:t>4</w:t>
      </w:r>
      <w:r w:rsidR="00024595" w:rsidRPr="000E5487">
        <w:rPr>
          <w:rFonts w:ascii="Times New Roman" w:eastAsia="Calibri" w:hAnsi="Times New Roman"/>
          <w:b/>
          <w:color w:val="000000"/>
          <w:szCs w:val="24"/>
          <w:lang w:eastAsia="en-US"/>
        </w:rPr>
        <w:t>.1 Perfil dos Profissionais Contábeis do Setor Sucroenergético</w:t>
      </w:r>
    </w:p>
    <w:p w:rsidR="00D33781" w:rsidRDefault="001166EF"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Foram levantadas variáveis de perfil </w:t>
      </w:r>
      <w:r w:rsidR="00AF2617" w:rsidRPr="000E5487">
        <w:rPr>
          <w:rFonts w:ascii="Times New Roman" w:eastAsia="Calibri" w:hAnsi="Times New Roman"/>
          <w:color w:val="000000"/>
          <w:szCs w:val="24"/>
          <w:lang w:eastAsia="en-US"/>
        </w:rPr>
        <w:t>dos respondentes</w:t>
      </w:r>
      <w:r w:rsidR="008C0E84" w:rsidRPr="000E5487">
        <w:rPr>
          <w:rFonts w:ascii="Times New Roman" w:eastAsia="Calibri" w:hAnsi="Times New Roman"/>
          <w:color w:val="000000"/>
          <w:szCs w:val="24"/>
          <w:lang w:eastAsia="en-US"/>
        </w:rPr>
        <w:t xml:space="preserve">, tais como </w:t>
      </w:r>
      <w:r w:rsidR="00503862">
        <w:rPr>
          <w:rFonts w:ascii="Times New Roman" w:eastAsia="Calibri" w:hAnsi="Times New Roman"/>
          <w:color w:val="000000"/>
          <w:szCs w:val="24"/>
          <w:lang w:eastAsia="en-US"/>
        </w:rPr>
        <w:t xml:space="preserve">gênero, faixa etária, localização, </w:t>
      </w:r>
      <w:r w:rsidR="004C0828">
        <w:rPr>
          <w:rFonts w:ascii="Times New Roman" w:eastAsia="Calibri" w:hAnsi="Times New Roman"/>
          <w:color w:val="000000"/>
          <w:szCs w:val="24"/>
          <w:lang w:eastAsia="en-US"/>
        </w:rPr>
        <w:t xml:space="preserve">nível de qualificação, </w:t>
      </w:r>
      <w:r w:rsidRPr="000E5487">
        <w:rPr>
          <w:rFonts w:ascii="Times New Roman" w:eastAsia="Calibri" w:hAnsi="Times New Roman"/>
          <w:color w:val="000000"/>
          <w:szCs w:val="24"/>
          <w:lang w:eastAsia="en-US"/>
        </w:rPr>
        <w:t>tempo de experiência na área contábil</w:t>
      </w:r>
      <w:r w:rsidR="00CD703A" w:rsidRPr="000E5487">
        <w:rPr>
          <w:rFonts w:ascii="Times New Roman" w:eastAsia="Calibri" w:hAnsi="Times New Roman"/>
          <w:color w:val="000000"/>
          <w:szCs w:val="24"/>
          <w:lang w:eastAsia="en-US"/>
        </w:rPr>
        <w:t xml:space="preserve"> e</w:t>
      </w:r>
      <w:r w:rsidRPr="000E5487">
        <w:rPr>
          <w:rFonts w:ascii="Times New Roman" w:eastAsia="Calibri" w:hAnsi="Times New Roman"/>
          <w:color w:val="000000"/>
          <w:szCs w:val="24"/>
          <w:lang w:eastAsia="en-US"/>
        </w:rPr>
        <w:t xml:space="preserve"> </w:t>
      </w:r>
      <w:r w:rsidR="004C0828">
        <w:rPr>
          <w:rFonts w:ascii="Times New Roman" w:eastAsia="Calibri" w:hAnsi="Times New Roman"/>
          <w:color w:val="000000"/>
          <w:szCs w:val="24"/>
          <w:lang w:eastAsia="en-US"/>
        </w:rPr>
        <w:t xml:space="preserve">tempo de experiência </w:t>
      </w:r>
      <w:r w:rsidRPr="000E5487">
        <w:rPr>
          <w:rFonts w:ascii="Times New Roman" w:eastAsia="Calibri" w:hAnsi="Times New Roman"/>
          <w:color w:val="000000"/>
          <w:szCs w:val="24"/>
          <w:lang w:eastAsia="en-US"/>
        </w:rPr>
        <w:t xml:space="preserve">na </w:t>
      </w:r>
      <w:r w:rsidR="004C0828">
        <w:rPr>
          <w:rFonts w:ascii="Times New Roman" w:eastAsia="Calibri" w:hAnsi="Times New Roman"/>
          <w:color w:val="000000"/>
          <w:szCs w:val="24"/>
          <w:lang w:eastAsia="en-US"/>
        </w:rPr>
        <w:t>mensuração de ativos biológicos</w:t>
      </w:r>
      <w:r w:rsidRPr="000E5487">
        <w:rPr>
          <w:rFonts w:ascii="Times New Roman" w:eastAsia="Calibri" w:hAnsi="Times New Roman"/>
          <w:color w:val="000000"/>
          <w:szCs w:val="24"/>
          <w:lang w:eastAsia="en-US"/>
        </w:rPr>
        <w:t>. O</w:t>
      </w:r>
      <w:r w:rsidR="001E2B29" w:rsidRPr="000E5487">
        <w:rPr>
          <w:rFonts w:ascii="Times New Roman" w:eastAsia="Calibri" w:hAnsi="Times New Roman"/>
          <w:color w:val="000000"/>
          <w:szCs w:val="24"/>
          <w:lang w:eastAsia="en-US"/>
        </w:rPr>
        <w:t>s result</w:t>
      </w:r>
      <w:r w:rsidR="00660841" w:rsidRPr="000E5487">
        <w:rPr>
          <w:rFonts w:ascii="Times New Roman" w:eastAsia="Calibri" w:hAnsi="Times New Roman"/>
          <w:color w:val="000000"/>
          <w:szCs w:val="24"/>
          <w:lang w:eastAsia="en-US"/>
        </w:rPr>
        <w:t xml:space="preserve">ados são apresentados </w:t>
      </w:r>
      <w:r w:rsidR="00024595" w:rsidRPr="000E5487">
        <w:rPr>
          <w:rFonts w:ascii="Times New Roman" w:eastAsia="Calibri" w:hAnsi="Times New Roman"/>
          <w:color w:val="000000"/>
          <w:szCs w:val="24"/>
          <w:lang w:eastAsia="en-US"/>
        </w:rPr>
        <w:t>na</w:t>
      </w:r>
      <w:r w:rsidR="000722E6" w:rsidRPr="000E5487">
        <w:rPr>
          <w:rFonts w:ascii="Times New Roman" w:eastAsia="Calibri" w:hAnsi="Times New Roman"/>
          <w:color w:val="000000"/>
          <w:szCs w:val="24"/>
          <w:lang w:eastAsia="en-US"/>
        </w:rPr>
        <w:t xml:space="preserve"> </w:t>
      </w:r>
      <w:r w:rsidR="004C26CE">
        <w:rPr>
          <w:rFonts w:ascii="Times New Roman" w:eastAsia="Calibri" w:hAnsi="Times New Roman"/>
          <w:color w:val="000000"/>
          <w:szCs w:val="24"/>
          <w:lang w:eastAsia="en-US"/>
        </w:rPr>
        <w:t>Tabela</w:t>
      </w:r>
      <w:r w:rsidR="000722E6" w:rsidRPr="000E5487">
        <w:rPr>
          <w:rFonts w:ascii="Times New Roman" w:eastAsia="Calibri" w:hAnsi="Times New Roman"/>
          <w:color w:val="000000"/>
          <w:szCs w:val="24"/>
          <w:lang w:eastAsia="en-US"/>
        </w:rPr>
        <w:t xml:space="preserve"> 1.</w:t>
      </w:r>
    </w:p>
    <w:p w:rsidR="004C26CE" w:rsidRDefault="004C26CE" w:rsidP="004C26CE">
      <w:pPr>
        <w:spacing w:after="0" w:line="240" w:lineRule="auto"/>
        <w:jc w:val="both"/>
        <w:rPr>
          <w:rFonts w:ascii="Times New Roman" w:eastAsia="Calibri" w:hAnsi="Times New Roman"/>
          <w:color w:val="000000"/>
          <w:szCs w:val="24"/>
          <w:lang w:eastAsia="en-US"/>
        </w:rPr>
      </w:pPr>
    </w:p>
    <w:p w:rsidR="004C26CE" w:rsidRPr="00BD39F7" w:rsidRDefault="004C26CE" w:rsidP="00BD39F7">
      <w:pPr>
        <w:spacing w:after="0" w:line="240" w:lineRule="auto"/>
        <w:jc w:val="center"/>
        <w:rPr>
          <w:rFonts w:ascii="Times New Roman" w:eastAsia="Calibri" w:hAnsi="Times New Roman"/>
          <w:color w:val="000000"/>
          <w:sz w:val="20"/>
          <w:szCs w:val="24"/>
          <w:lang w:eastAsia="en-US"/>
        </w:rPr>
      </w:pPr>
      <w:r w:rsidRPr="00BD39F7">
        <w:rPr>
          <w:rFonts w:ascii="Times New Roman" w:eastAsia="Calibri" w:hAnsi="Times New Roman"/>
          <w:color w:val="000000"/>
          <w:sz w:val="20"/>
          <w:szCs w:val="24"/>
          <w:lang w:eastAsia="en-US"/>
        </w:rPr>
        <w:t>Tabela 1 - Perfil dos respondentes</w:t>
      </w:r>
    </w:p>
    <w:tbl>
      <w:tblPr>
        <w:tblW w:w="5000" w:type="pct"/>
        <w:tblLayout w:type="fixed"/>
        <w:tblCellMar>
          <w:left w:w="70" w:type="dxa"/>
          <w:right w:w="70" w:type="dxa"/>
        </w:tblCellMar>
        <w:tblLook w:val="04A0" w:firstRow="1" w:lastRow="0" w:firstColumn="1" w:lastColumn="0" w:noHBand="0" w:noVBand="1"/>
      </w:tblPr>
      <w:tblGrid>
        <w:gridCol w:w="1844"/>
        <w:gridCol w:w="1275"/>
        <w:gridCol w:w="1119"/>
        <w:gridCol w:w="2400"/>
        <w:gridCol w:w="1250"/>
        <w:gridCol w:w="1183"/>
      </w:tblGrid>
      <w:tr w:rsidR="004937EF" w:rsidRPr="004937EF" w:rsidTr="004937EF">
        <w:trPr>
          <w:trHeight w:val="510"/>
        </w:trPr>
        <w:tc>
          <w:tcPr>
            <w:tcW w:w="1016" w:type="pct"/>
            <w:tcBorders>
              <w:top w:val="single" w:sz="4" w:space="0" w:color="auto"/>
              <w:left w:val="nil"/>
              <w:bottom w:val="single" w:sz="4" w:space="0" w:color="auto"/>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Característica</w:t>
            </w:r>
          </w:p>
        </w:tc>
        <w:tc>
          <w:tcPr>
            <w:tcW w:w="703" w:type="pct"/>
            <w:tcBorders>
              <w:top w:val="single" w:sz="4" w:space="0" w:color="auto"/>
              <w:left w:val="nil"/>
              <w:bottom w:val="single" w:sz="4" w:space="0" w:color="auto"/>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Frequência absoluta</w:t>
            </w:r>
          </w:p>
        </w:tc>
        <w:tc>
          <w:tcPr>
            <w:tcW w:w="617" w:type="pct"/>
            <w:tcBorders>
              <w:top w:val="single" w:sz="4" w:space="0" w:color="auto"/>
              <w:left w:val="nil"/>
              <w:bottom w:val="single" w:sz="4" w:space="0" w:color="auto"/>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Frequência relativa</w:t>
            </w:r>
          </w:p>
        </w:tc>
        <w:tc>
          <w:tcPr>
            <w:tcW w:w="1323" w:type="pct"/>
            <w:tcBorders>
              <w:top w:val="single" w:sz="4" w:space="0" w:color="auto"/>
              <w:left w:val="single" w:sz="4" w:space="0" w:color="auto"/>
              <w:bottom w:val="single" w:sz="4" w:space="0" w:color="auto"/>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Característica</w:t>
            </w:r>
          </w:p>
        </w:tc>
        <w:tc>
          <w:tcPr>
            <w:tcW w:w="689" w:type="pct"/>
            <w:tcBorders>
              <w:top w:val="single" w:sz="4" w:space="0" w:color="auto"/>
              <w:left w:val="nil"/>
              <w:bottom w:val="single" w:sz="4" w:space="0" w:color="auto"/>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Frequência absoluta</w:t>
            </w:r>
          </w:p>
        </w:tc>
        <w:tc>
          <w:tcPr>
            <w:tcW w:w="652" w:type="pct"/>
            <w:tcBorders>
              <w:top w:val="single" w:sz="4" w:space="0" w:color="auto"/>
              <w:left w:val="nil"/>
              <w:bottom w:val="single" w:sz="4" w:space="0" w:color="auto"/>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Frequência relativa</w:t>
            </w:r>
          </w:p>
        </w:tc>
      </w:tr>
      <w:tr w:rsidR="004937EF" w:rsidRPr="004937EF" w:rsidTr="004937EF">
        <w:trPr>
          <w:trHeight w:val="300"/>
        </w:trPr>
        <w:tc>
          <w:tcPr>
            <w:tcW w:w="1016"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Gênero</w:t>
            </w:r>
          </w:p>
        </w:tc>
        <w:tc>
          <w:tcPr>
            <w:tcW w:w="703"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cs="Arial"/>
                <w:color w:val="000000"/>
                <w:sz w:val="20"/>
                <w:szCs w:val="20"/>
              </w:rPr>
            </w:pPr>
            <w:r w:rsidRPr="004937EF">
              <w:rPr>
                <w:rFonts w:cs="Arial"/>
                <w:color w:val="000000"/>
                <w:sz w:val="20"/>
                <w:szCs w:val="20"/>
              </w:rPr>
              <w:t> </w:t>
            </w:r>
          </w:p>
        </w:tc>
        <w:tc>
          <w:tcPr>
            <w:tcW w:w="617"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cs="Arial"/>
                <w:color w:val="000000"/>
                <w:sz w:val="20"/>
                <w:szCs w:val="20"/>
              </w:rPr>
            </w:pPr>
            <w:r w:rsidRPr="004937EF">
              <w:rPr>
                <w:rFonts w:cs="Arial"/>
                <w:color w:val="000000"/>
                <w:sz w:val="20"/>
                <w:szCs w:val="20"/>
              </w:rPr>
              <w:t> </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Nível de qualificação</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 </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 </w:t>
            </w:r>
          </w:p>
        </w:tc>
      </w:tr>
      <w:tr w:rsidR="004937EF" w:rsidRPr="004937EF" w:rsidTr="004937EF">
        <w:trPr>
          <w:trHeight w:val="300"/>
        </w:trPr>
        <w:tc>
          <w:tcPr>
            <w:tcW w:w="1016" w:type="pct"/>
            <w:tcBorders>
              <w:top w:val="nil"/>
              <w:left w:val="nil"/>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Masculino</w:t>
            </w:r>
          </w:p>
        </w:tc>
        <w:tc>
          <w:tcPr>
            <w:tcW w:w="703"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26</w:t>
            </w:r>
          </w:p>
        </w:tc>
        <w:tc>
          <w:tcPr>
            <w:tcW w:w="617"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81,25%</w:t>
            </w: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Graduação</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6</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18,75%</w:t>
            </w:r>
          </w:p>
        </w:tc>
      </w:tr>
      <w:tr w:rsidR="004937EF" w:rsidRPr="004937EF" w:rsidTr="004937EF">
        <w:trPr>
          <w:trHeight w:val="300"/>
        </w:trPr>
        <w:tc>
          <w:tcPr>
            <w:tcW w:w="1016"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Feminino</w:t>
            </w:r>
          </w:p>
        </w:tc>
        <w:tc>
          <w:tcPr>
            <w:tcW w:w="703"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6</w:t>
            </w:r>
          </w:p>
        </w:tc>
        <w:tc>
          <w:tcPr>
            <w:tcW w:w="617"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18,75%</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Especialização/MBA</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18</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56,25%</w:t>
            </w:r>
          </w:p>
        </w:tc>
      </w:tr>
      <w:tr w:rsidR="004937EF" w:rsidRPr="004937EF" w:rsidTr="004937EF">
        <w:trPr>
          <w:trHeight w:val="300"/>
        </w:trPr>
        <w:tc>
          <w:tcPr>
            <w:tcW w:w="1016" w:type="pct"/>
            <w:tcBorders>
              <w:top w:val="nil"/>
              <w:left w:val="nil"/>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Total</w:t>
            </w:r>
          </w:p>
        </w:tc>
        <w:tc>
          <w:tcPr>
            <w:tcW w:w="703"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32</w:t>
            </w:r>
          </w:p>
        </w:tc>
        <w:tc>
          <w:tcPr>
            <w:tcW w:w="617"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100,00%</w:t>
            </w: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Mestrado</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5</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15,63%</w:t>
            </w:r>
          </w:p>
        </w:tc>
      </w:tr>
      <w:tr w:rsidR="004937EF" w:rsidRPr="004937EF" w:rsidTr="004937EF">
        <w:trPr>
          <w:trHeight w:val="300"/>
        </w:trPr>
        <w:tc>
          <w:tcPr>
            <w:tcW w:w="1016"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cs="Arial"/>
                <w:color w:val="000000"/>
                <w:sz w:val="20"/>
                <w:szCs w:val="20"/>
              </w:rPr>
            </w:pPr>
            <w:r w:rsidRPr="004937EF">
              <w:rPr>
                <w:rFonts w:cs="Arial"/>
                <w:color w:val="000000"/>
                <w:sz w:val="20"/>
                <w:szCs w:val="20"/>
              </w:rPr>
              <w:t> </w:t>
            </w:r>
          </w:p>
        </w:tc>
        <w:tc>
          <w:tcPr>
            <w:tcW w:w="703"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cs="Arial"/>
                <w:color w:val="000000"/>
                <w:sz w:val="20"/>
                <w:szCs w:val="20"/>
              </w:rPr>
            </w:pPr>
            <w:r w:rsidRPr="004937EF">
              <w:rPr>
                <w:rFonts w:cs="Arial"/>
                <w:color w:val="000000"/>
                <w:sz w:val="20"/>
                <w:szCs w:val="20"/>
              </w:rPr>
              <w:t> </w:t>
            </w:r>
          </w:p>
        </w:tc>
        <w:tc>
          <w:tcPr>
            <w:tcW w:w="617"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cs="Arial"/>
                <w:color w:val="000000"/>
                <w:sz w:val="20"/>
                <w:szCs w:val="20"/>
              </w:rPr>
            </w:pPr>
            <w:r w:rsidRPr="004937EF">
              <w:rPr>
                <w:rFonts w:cs="Arial"/>
                <w:color w:val="000000"/>
                <w:sz w:val="20"/>
                <w:szCs w:val="20"/>
              </w:rPr>
              <w:t> </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Doutorado</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9,38%</w:t>
            </w:r>
          </w:p>
        </w:tc>
      </w:tr>
      <w:tr w:rsidR="004937EF" w:rsidRPr="004937EF" w:rsidTr="004937EF">
        <w:trPr>
          <w:trHeight w:val="300"/>
        </w:trPr>
        <w:tc>
          <w:tcPr>
            <w:tcW w:w="1016"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Faixa etária</w:t>
            </w:r>
          </w:p>
        </w:tc>
        <w:tc>
          <w:tcPr>
            <w:tcW w:w="703"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rPr>
                <w:rFonts w:ascii="Times New Roman" w:hAnsi="Times New Roman"/>
                <w:b/>
                <w:bCs/>
                <w:color w:val="000000"/>
                <w:sz w:val="20"/>
                <w:szCs w:val="20"/>
              </w:rPr>
            </w:pPr>
          </w:p>
        </w:tc>
        <w:tc>
          <w:tcPr>
            <w:tcW w:w="617"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jc w:val="center"/>
              <w:rPr>
                <w:rFonts w:ascii="Times New Roman" w:hAnsi="Times New Roman"/>
                <w:sz w:val="20"/>
                <w:szCs w:val="20"/>
              </w:rPr>
            </w:pP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Total</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32</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100,00%</w:t>
            </w:r>
          </w:p>
        </w:tc>
      </w:tr>
      <w:tr w:rsidR="004937EF" w:rsidRPr="004937EF" w:rsidTr="004937EF">
        <w:trPr>
          <w:trHeight w:val="300"/>
        </w:trPr>
        <w:tc>
          <w:tcPr>
            <w:tcW w:w="1016"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Até 30 anos</w:t>
            </w:r>
          </w:p>
        </w:tc>
        <w:tc>
          <w:tcPr>
            <w:tcW w:w="703"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7</w:t>
            </w:r>
          </w:p>
        </w:tc>
        <w:tc>
          <w:tcPr>
            <w:tcW w:w="617"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21,88%</w:t>
            </w:r>
          </w:p>
        </w:tc>
        <w:tc>
          <w:tcPr>
            <w:tcW w:w="1323" w:type="pct"/>
            <w:tcBorders>
              <w:top w:val="nil"/>
              <w:left w:val="single" w:sz="4" w:space="0" w:color="auto"/>
              <w:bottom w:val="nil"/>
              <w:right w:val="nil"/>
            </w:tcBorders>
            <w:shd w:val="clear" w:color="000000" w:fill="F2F2F2"/>
            <w:noWrap/>
            <w:vAlign w:val="center"/>
            <w:hideMark/>
          </w:tcPr>
          <w:p w:rsidR="004937EF" w:rsidRPr="004937EF" w:rsidRDefault="004937EF" w:rsidP="004C26CE">
            <w:pPr>
              <w:spacing w:after="0" w:line="240" w:lineRule="auto"/>
              <w:rPr>
                <w:rFonts w:ascii="Calibri" w:hAnsi="Calibri"/>
                <w:color w:val="000000"/>
                <w:sz w:val="22"/>
              </w:rPr>
            </w:pPr>
            <w:r w:rsidRPr="004937EF">
              <w:rPr>
                <w:rFonts w:ascii="Calibri" w:hAnsi="Calibri"/>
                <w:color w:val="000000"/>
                <w:sz w:val="22"/>
              </w:rPr>
              <w:t> </w:t>
            </w:r>
          </w:p>
        </w:tc>
        <w:tc>
          <w:tcPr>
            <w:tcW w:w="689"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Calibri" w:hAnsi="Calibri"/>
                <w:color w:val="000000"/>
                <w:sz w:val="22"/>
              </w:rPr>
            </w:pPr>
            <w:r w:rsidRPr="004937EF">
              <w:rPr>
                <w:rFonts w:ascii="Calibri" w:hAnsi="Calibri"/>
                <w:color w:val="000000"/>
                <w:sz w:val="22"/>
              </w:rPr>
              <w:t> </w:t>
            </w:r>
          </w:p>
        </w:tc>
        <w:tc>
          <w:tcPr>
            <w:tcW w:w="652"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Calibri" w:hAnsi="Calibri"/>
                <w:color w:val="000000"/>
                <w:sz w:val="22"/>
              </w:rPr>
            </w:pPr>
            <w:r w:rsidRPr="004937EF">
              <w:rPr>
                <w:rFonts w:ascii="Calibri" w:hAnsi="Calibri"/>
                <w:color w:val="000000"/>
                <w:sz w:val="22"/>
              </w:rPr>
              <w:t> </w:t>
            </w:r>
          </w:p>
        </w:tc>
      </w:tr>
      <w:tr w:rsidR="004937EF" w:rsidRPr="004937EF" w:rsidTr="004937EF">
        <w:trPr>
          <w:trHeight w:val="300"/>
        </w:trPr>
        <w:tc>
          <w:tcPr>
            <w:tcW w:w="1016"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Entre 31 e 40 anos</w:t>
            </w:r>
          </w:p>
        </w:tc>
        <w:tc>
          <w:tcPr>
            <w:tcW w:w="703"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12</w:t>
            </w:r>
          </w:p>
        </w:tc>
        <w:tc>
          <w:tcPr>
            <w:tcW w:w="617"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37,50%</w:t>
            </w:r>
          </w:p>
        </w:tc>
        <w:tc>
          <w:tcPr>
            <w:tcW w:w="2012" w:type="pct"/>
            <w:gridSpan w:val="2"/>
            <w:tcBorders>
              <w:top w:val="nil"/>
              <w:left w:val="single" w:sz="4" w:space="0" w:color="auto"/>
              <w:bottom w:val="nil"/>
              <w:right w:val="nil"/>
            </w:tcBorders>
            <w:shd w:val="clear" w:color="auto" w:fill="auto"/>
            <w:noWrap/>
            <w:vAlign w:val="center"/>
            <w:hideMark/>
          </w:tcPr>
          <w:p w:rsidR="004937EF" w:rsidRPr="004937EF" w:rsidRDefault="004937EF" w:rsidP="004C0828">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 xml:space="preserve">Tempo de </w:t>
            </w:r>
            <w:r w:rsidR="004C0828">
              <w:rPr>
                <w:rFonts w:ascii="Times New Roman" w:hAnsi="Times New Roman"/>
                <w:b/>
                <w:bCs/>
                <w:color w:val="000000"/>
                <w:sz w:val="20"/>
                <w:szCs w:val="20"/>
              </w:rPr>
              <w:t>Experiência</w:t>
            </w:r>
            <w:r w:rsidRPr="004937EF">
              <w:rPr>
                <w:rFonts w:ascii="Times New Roman" w:hAnsi="Times New Roman"/>
                <w:b/>
                <w:bCs/>
                <w:color w:val="000000"/>
                <w:sz w:val="20"/>
                <w:szCs w:val="20"/>
              </w:rPr>
              <w:t xml:space="preserve"> Profissional</w:t>
            </w:r>
          </w:p>
        </w:tc>
        <w:tc>
          <w:tcPr>
            <w:tcW w:w="652"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rPr>
                <w:rFonts w:ascii="Times New Roman" w:hAnsi="Times New Roman"/>
                <w:b/>
                <w:bCs/>
                <w:color w:val="000000"/>
                <w:sz w:val="20"/>
                <w:szCs w:val="20"/>
              </w:rPr>
            </w:pPr>
          </w:p>
        </w:tc>
      </w:tr>
      <w:tr w:rsidR="004937EF" w:rsidRPr="004937EF" w:rsidTr="004937EF">
        <w:trPr>
          <w:trHeight w:val="300"/>
        </w:trPr>
        <w:tc>
          <w:tcPr>
            <w:tcW w:w="1016"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Entre 41 e 50 anos</w:t>
            </w:r>
          </w:p>
        </w:tc>
        <w:tc>
          <w:tcPr>
            <w:tcW w:w="703"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9</w:t>
            </w:r>
          </w:p>
        </w:tc>
        <w:tc>
          <w:tcPr>
            <w:tcW w:w="617"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28,13%</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Até 5 anos</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3,13%</w:t>
            </w:r>
          </w:p>
        </w:tc>
      </w:tr>
      <w:tr w:rsidR="004937EF" w:rsidRPr="004937EF" w:rsidTr="004937EF">
        <w:trPr>
          <w:trHeight w:val="300"/>
        </w:trPr>
        <w:tc>
          <w:tcPr>
            <w:tcW w:w="1016"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Acima de 50 anos</w:t>
            </w:r>
          </w:p>
        </w:tc>
        <w:tc>
          <w:tcPr>
            <w:tcW w:w="703"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4</w:t>
            </w:r>
          </w:p>
        </w:tc>
        <w:tc>
          <w:tcPr>
            <w:tcW w:w="617"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12,50%</w:t>
            </w: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Entre 6 e 10 anos</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14</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43,75%</w:t>
            </w:r>
          </w:p>
        </w:tc>
      </w:tr>
      <w:tr w:rsidR="004937EF" w:rsidRPr="004937EF" w:rsidTr="004937EF">
        <w:trPr>
          <w:trHeight w:val="300"/>
        </w:trPr>
        <w:tc>
          <w:tcPr>
            <w:tcW w:w="1016"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Total</w:t>
            </w:r>
          </w:p>
        </w:tc>
        <w:tc>
          <w:tcPr>
            <w:tcW w:w="703"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32</w:t>
            </w:r>
          </w:p>
        </w:tc>
        <w:tc>
          <w:tcPr>
            <w:tcW w:w="617"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100,00%</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Entre 11 e 15 anos</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6</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18,75%</w:t>
            </w:r>
          </w:p>
        </w:tc>
      </w:tr>
      <w:tr w:rsidR="004937EF" w:rsidRPr="004937EF" w:rsidTr="004937EF">
        <w:trPr>
          <w:trHeight w:val="300"/>
        </w:trPr>
        <w:tc>
          <w:tcPr>
            <w:tcW w:w="1016"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jc w:val="center"/>
              <w:rPr>
                <w:rFonts w:ascii="Times New Roman" w:hAnsi="Times New Roman"/>
                <w:color w:val="000000"/>
                <w:sz w:val="20"/>
                <w:szCs w:val="20"/>
              </w:rPr>
            </w:pPr>
          </w:p>
        </w:tc>
        <w:tc>
          <w:tcPr>
            <w:tcW w:w="703"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rPr>
                <w:rFonts w:ascii="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937EF" w:rsidRPr="004937EF" w:rsidRDefault="004937EF" w:rsidP="004C26CE">
            <w:pPr>
              <w:spacing w:after="0" w:line="240" w:lineRule="auto"/>
              <w:jc w:val="center"/>
              <w:rPr>
                <w:rFonts w:ascii="Times New Roman" w:hAnsi="Times New Roman"/>
                <w:sz w:val="20"/>
                <w:szCs w:val="20"/>
              </w:rPr>
            </w:pP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Entre 16 e 20 anos</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9,38%</w:t>
            </w:r>
          </w:p>
        </w:tc>
      </w:tr>
      <w:tr w:rsidR="004937EF" w:rsidRPr="004937EF" w:rsidTr="004937EF">
        <w:trPr>
          <w:trHeight w:val="300"/>
        </w:trPr>
        <w:tc>
          <w:tcPr>
            <w:tcW w:w="2336" w:type="pct"/>
            <w:gridSpan w:val="3"/>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Unidade da Federação</w:t>
            </w:r>
            <w:r w:rsidRPr="004937EF">
              <w:rPr>
                <w:rFonts w:ascii="Times New Roman" w:hAnsi="Times New Roman"/>
                <w:b/>
                <w:bCs/>
                <w:color w:val="000000"/>
                <w:sz w:val="20"/>
                <w:szCs w:val="20"/>
              </w:rPr>
              <w:t> </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Acima de 20 anos</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8</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25,00%</w:t>
            </w:r>
          </w:p>
        </w:tc>
      </w:tr>
      <w:tr w:rsidR="004937EF" w:rsidRPr="004937EF" w:rsidTr="004937EF">
        <w:trPr>
          <w:trHeight w:val="300"/>
        </w:trPr>
        <w:tc>
          <w:tcPr>
            <w:tcW w:w="1016" w:type="pct"/>
            <w:tcBorders>
              <w:top w:val="nil"/>
              <w:left w:val="nil"/>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Alagoas</w:t>
            </w:r>
          </w:p>
        </w:tc>
        <w:tc>
          <w:tcPr>
            <w:tcW w:w="703"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2</w:t>
            </w:r>
          </w:p>
        </w:tc>
        <w:tc>
          <w:tcPr>
            <w:tcW w:w="617"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6,25%</w:t>
            </w: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Total</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32</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100,00%</w:t>
            </w:r>
          </w:p>
        </w:tc>
      </w:tr>
      <w:tr w:rsidR="004937EF" w:rsidRPr="004937EF" w:rsidTr="004937EF">
        <w:trPr>
          <w:trHeight w:val="300"/>
        </w:trPr>
        <w:tc>
          <w:tcPr>
            <w:tcW w:w="1016"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Mato Grosso</w:t>
            </w:r>
          </w:p>
        </w:tc>
        <w:tc>
          <w:tcPr>
            <w:tcW w:w="703"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w:t>
            </w:r>
          </w:p>
        </w:tc>
        <w:tc>
          <w:tcPr>
            <w:tcW w:w="617"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3,13%</w:t>
            </w:r>
          </w:p>
        </w:tc>
        <w:tc>
          <w:tcPr>
            <w:tcW w:w="1323" w:type="pct"/>
            <w:tcBorders>
              <w:top w:val="nil"/>
              <w:left w:val="single" w:sz="4" w:space="0" w:color="auto"/>
              <w:bottom w:val="nil"/>
              <w:right w:val="nil"/>
            </w:tcBorders>
            <w:shd w:val="clear" w:color="000000" w:fill="F2F2F2"/>
            <w:noWrap/>
            <w:vAlign w:val="center"/>
            <w:hideMark/>
          </w:tcPr>
          <w:p w:rsidR="004937EF" w:rsidRPr="004937EF" w:rsidRDefault="004937EF" w:rsidP="004C26CE">
            <w:pPr>
              <w:spacing w:after="0" w:line="240" w:lineRule="auto"/>
              <w:rPr>
                <w:rFonts w:ascii="Calibri" w:hAnsi="Calibri"/>
                <w:color w:val="000000"/>
                <w:sz w:val="22"/>
              </w:rPr>
            </w:pPr>
            <w:r w:rsidRPr="004937EF">
              <w:rPr>
                <w:rFonts w:ascii="Calibri" w:hAnsi="Calibri"/>
                <w:color w:val="000000"/>
                <w:sz w:val="22"/>
              </w:rPr>
              <w:t> </w:t>
            </w:r>
          </w:p>
        </w:tc>
        <w:tc>
          <w:tcPr>
            <w:tcW w:w="689"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Calibri" w:hAnsi="Calibri"/>
                <w:color w:val="000000"/>
                <w:sz w:val="22"/>
              </w:rPr>
            </w:pPr>
            <w:r w:rsidRPr="004937EF">
              <w:rPr>
                <w:rFonts w:ascii="Calibri" w:hAnsi="Calibri"/>
                <w:color w:val="000000"/>
                <w:sz w:val="22"/>
              </w:rPr>
              <w:t> </w:t>
            </w:r>
          </w:p>
        </w:tc>
        <w:tc>
          <w:tcPr>
            <w:tcW w:w="652" w:type="pct"/>
            <w:tcBorders>
              <w:top w:val="nil"/>
              <w:left w:val="nil"/>
              <w:bottom w:val="nil"/>
              <w:right w:val="nil"/>
            </w:tcBorders>
            <w:shd w:val="clear" w:color="000000" w:fill="F2F2F2"/>
            <w:noWrap/>
            <w:vAlign w:val="center"/>
            <w:hideMark/>
          </w:tcPr>
          <w:p w:rsidR="004937EF" w:rsidRPr="004937EF" w:rsidRDefault="004937EF" w:rsidP="004C26CE">
            <w:pPr>
              <w:spacing w:after="0" w:line="240" w:lineRule="auto"/>
              <w:jc w:val="center"/>
              <w:rPr>
                <w:rFonts w:ascii="Calibri" w:hAnsi="Calibri"/>
                <w:color w:val="000000"/>
                <w:sz w:val="22"/>
              </w:rPr>
            </w:pPr>
            <w:r w:rsidRPr="004937EF">
              <w:rPr>
                <w:rFonts w:ascii="Calibri" w:hAnsi="Calibri"/>
                <w:color w:val="000000"/>
                <w:sz w:val="22"/>
              </w:rPr>
              <w:t> </w:t>
            </w:r>
          </w:p>
        </w:tc>
      </w:tr>
      <w:tr w:rsidR="004937EF" w:rsidRPr="004937EF" w:rsidTr="004937EF">
        <w:trPr>
          <w:trHeight w:val="300"/>
        </w:trPr>
        <w:tc>
          <w:tcPr>
            <w:tcW w:w="1016" w:type="pct"/>
            <w:tcBorders>
              <w:top w:val="nil"/>
              <w:left w:val="nil"/>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Mato Grosso do Sul</w:t>
            </w:r>
          </w:p>
        </w:tc>
        <w:tc>
          <w:tcPr>
            <w:tcW w:w="703"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5</w:t>
            </w:r>
          </w:p>
        </w:tc>
        <w:tc>
          <w:tcPr>
            <w:tcW w:w="617"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15,63%</w:t>
            </w:r>
          </w:p>
        </w:tc>
        <w:tc>
          <w:tcPr>
            <w:tcW w:w="2664" w:type="pct"/>
            <w:gridSpan w:val="3"/>
            <w:tcBorders>
              <w:top w:val="nil"/>
              <w:left w:val="single" w:sz="4" w:space="0" w:color="auto"/>
              <w:bottom w:val="nil"/>
              <w:right w:val="nil"/>
            </w:tcBorders>
            <w:shd w:val="clear" w:color="auto" w:fill="auto"/>
            <w:noWrap/>
            <w:vAlign w:val="center"/>
            <w:hideMark/>
          </w:tcPr>
          <w:p w:rsidR="004937EF" w:rsidRPr="004937EF" w:rsidRDefault="004C0828" w:rsidP="004C26C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Tempo de Experiência</w:t>
            </w:r>
            <w:r w:rsidR="004937EF" w:rsidRPr="004937EF">
              <w:rPr>
                <w:rFonts w:ascii="Times New Roman" w:hAnsi="Times New Roman"/>
                <w:b/>
                <w:bCs/>
                <w:color w:val="000000"/>
                <w:sz w:val="20"/>
                <w:szCs w:val="20"/>
              </w:rPr>
              <w:t xml:space="preserve"> na Mensuração de Ativos Biológicos</w:t>
            </w:r>
          </w:p>
        </w:tc>
      </w:tr>
      <w:tr w:rsidR="004937EF" w:rsidRPr="004937EF" w:rsidTr="004937EF">
        <w:trPr>
          <w:trHeight w:val="300"/>
        </w:trPr>
        <w:tc>
          <w:tcPr>
            <w:tcW w:w="1016"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Paraná</w:t>
            </w:r>
          </w:p>
        </w:tc>
        <w:tc>
          <w:tcPr>
            <w:tcW w:w="703"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10</w:t>
            </w:r>
          </w:p>
        </w:tc>
        <w:tc>
          <w:tcPr>
            <w:tcW w:w="617"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31,25%</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Até 2 anos</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9</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28,13%</w:t>
            </w:r>
          </w:p>
        </w:tc>
      </w:tr>
      <w:tr w:rsidR="004937EF" w:rsidRPr="004937EF" w:rsidTr="004937EF">
        <w:trPr>
          <w:trHeight w:val="300"/>
        </w:trPr>
        <w:tc>
          <w:tcPr>
            <w:tcW w:w="1016" w:type="pct"/>
            <w:tcBorders>
              <w:top w:val="nil"/>
              <w:left w:val="nil"/>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Pernambuco</w:t>
            </w:r>
          </w:p>
        </w:tc>
        <w:tc>
          <w:tcPr>
            <w:tcW w:w="703"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w:t>
            </w:r>
          </w:p>
        </w:tc>
        <w:tc>
          <w:tcPr>
            <w:tcW w:w="617"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3,13%</w:t>
            </w: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Entre 3 e 4 anos</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11</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34,38%</w:t>
            </w:r>
          </w:p>
        </w:tc>
      </w:tr>
      <w:tr w:rsidR="004937EF" w:rsidRPr="004937EF" w:rsidTr="004937EF">
        <w:trPr>
          <w:trHeight w:val="300"/>
        </w:trPr>
        <w:tc>
          <w:tcPr>
            <w:tcW w:w="1016"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São Paulo</w:t>
            </w:r>
          </w:p>
        </w:tc>
        <w:tc>
          <w:tcPr>
            <w:tcW w:w="703"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12</w:t>
            </w:r>
          </w:p>
        </w:tc>
        <w:tc>
          <w:tcPr>
            <w:tcW w:w="617"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37,50%</w:t>
            </w:r>
          </w:p>
        </w:tc>
        <w:tc>
          <w:tcPr>
            <w:tcW w:w="1323" w:type="pct"/>
            <w:tcBorders>
              <w:top w:val="nil"/>
              <w:left w:val="single" w:sz="4" w:space="0" w:color="auto"/>
              <w:bottom w:val="nil"/>
              <w:right w:val="nil"/>
            </w:tcBorders>
            <w:shd w:val="clear" w:color="000000" w:fill="F2F2F2"/>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Entre 5 e 7 anos</w:t>
            </w:r>
          </w:p>
        </w:tc>
        <w:tc>
          <w:tcPr>
            <w:tcW w:w="689"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10</w:t>
            </w:r>
          </w:p>
        </w:tc>
        <w:tc>
          <w:tcPr>
            <w:tcW w:w="652" w:type="pct"/>
            <w:tcBorders>
              <w:top w:val="nil"/>
              <w:left w:val="nil"/>
              <w:bottom w:val="nil"/>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31,25%</w:t>
            </w:r>
          </w:p>
        </w:tc>
      </w:tr>
      <w:tr w:rsidR="004937EF" w:rsidRPr="004937EF" w:rsidTr="004937EF">
        <w:trPr>
          <w:trHeight w:val="300"/>
        </w:trPr>
        <w:tc>
          <w:tcPr>
            <w:tcW w:w="1016" w:type="pct"/>
            <w:tcBorders>
              <w:top w:val="nil"/>
              <w:left w:val="nil"/>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Tocantins</w:t>
            </w:r>
          </w:p>
        </w:tc>
        <w:tc>
          <w:tcPr>
            <w:tcW w:w="703"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1</w:t>
            </w:r>
          </w:p>
        </w:tc>
        <w:tc>
          <w:tcPr>
            <w:tcW w:w="617"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3,13%</w:t>
            </w:r>
          </w:p>
        </w:tc>
        <w:tc>
          <w:tcPr>
            <w:tcW w:w="1323" w:type="pct"/>
            <w:tcBorders>
              <w:top w:val="nil"/>
              <w:left w:val="single" w:sz="4" w:space="0" w:color="auto"/>
              <w:bottom w:val="nil"/>
              <w:right w:val="nil"/>
            </w:tcBorders>
            <w:shd w:val="clear" w:color="auto" w:fill="auto"/>
            <w:vAlign w:val="center"/>
            <w:hideMark/>
          </w:tcPr>
          <w:p w:rsidR="004937EF" w:rsidRPr="004937EF" w:rsidRDefault="004937EF" w:rsidP="004C26CE">
            <w:pPr>
              <w:spacing w:after="0" w:line="240" w:lineRule="auto"/>
              <w:rPr>
                <w:rFonts w:ascii="Times New Roman" w:hAnsi="Times New Roman"/>
                <w:color w:val="000000"/>
                <w:sz w:val="20"/>
                <w:szCs w:val="20"/>
              </w:rPr>
            </w:pPr>
            <w:r w:rsidRPr="004937EF">
              <w:rPr>
                <w:rFonts w:ascii="Times New Roman" w:hAnsi="Times New Roman"/>
                <w:color w:val="000000"/>
                <w:sz w:val="20"/>
                <w:szCs w:val="20"/>
              </w:rPr>
              <w:t>Acima de 7 anos</w:t>
            </w:r>
          </w:p>
        </w:tc>
        <w:tc>
          <w:tcPr>
            <w:tcW w:w="689"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2</w:t>
            </w:r>
          </w:p>
        </w:tc>
        <w:tc>
          <w:tcPr>
            <w:tcW w:w="652" w:type="pct"/>
            <w:tcBorders>
              <w:top w:val="nil"/>
              <w:left w:val="nil"/>
              <w:bottom w:val="nil"/>
              <w:right w:val="nil"/>
            </w:tcBorders>
            <w:shd w:val="clear" w:color="auto" w:fill="auto"/>
            <w:vAlign w:val="center"/>
            <w:hideMark/>
          </w:tcPr>
          <w:p w:rsidR="004937EF" w:rsidRPr="004937EF" w:rsidRDefault="004937EF" w:rsidP="004C26CE">
            <w:pPr>
              <w:spacing w:after="0" w:line="240" w:lineRule="auto"/>
              <w:jc w:val="center"/>
              <w:rPr>
                <w:rFonts w:ascii="Times New Roman" w:hAnsi="Times New Roman"/>
                <w:color w:val="000000"/>
                <w:sz w:val="20"/>
                <w:szCs w:val="20"/>
              </w:rPr>
            </w:pPr>
            <w:r w:rsidRPr="004937EF">
              <w:rPr>
                <w:rFonts w:ascii="Times New Roman" w:hAnsi="Times New Roman"/>
                <w:color w:val="000000"/>
                <w:sz w:val="20"/>
                <w:szCs w:val="20"/>
              </w:rPr>
              <w:t>6,25%</w:t>
            </w:r>
          </w:p>
        </w:tc>
      </w:tr>
      <w:tr w:rsidR="004937EF" w:rsidRPr="004937EF" w:rsidTr="004937EF">
        <w:trPr>
          <w:trHeight w:val="300"/>
        </w:trPr>
        <w:tc>
          <w:tcPr>
            <w:tcW w:w="1016" w:type="pct"/>
            <w:tcBorders>
              <w:top w:val="nil"/>
              <w:left w:val="nil"/>
              <w:bottom w:val="single" w:sz="4" w:space="0" w:color="auto"/>
              <w:right w:val="nil"/>
            </w:tcBorders>
            <w:shd w:val="clear" w:color="000000" w:fill="F2F2F2"/>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Total</w:t>
            </w:r>
          </w:p>
        </w:tc>
        <w:tc>
          <w:tcPr>
            <w:tcW w:w="703" w:type="pct"/>
            <w:tcBorders>
              <w:top w:val="nil"/>
              <w:left w:val="nil"/>
              <w:bottom w:val="single" w:sz="4" w:space="0" w:color="auto"/>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32</w:t>
            </w:r>
          </w:p>
        </w:tc>
        <w:tc>
          <w:tcPr>
            <w:tcW w:w="617" w:type="pct"/>
            <w:tcBorders>
              <w:top w:val="nil"/>
              <w:left w:val="nil"/>
              <w:bottom w:val="single" w:sz="4" w:space="0" w:color="auto"/>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100,00%</w:t>
            </w:r>
          </w:p>
        </w:tc>
        <w:tc>
          <w:tcPr>
            <w:tcW w:w="1323" w:type="pct"/>
            <w:tcBorders>
              <w:top w:val="nil"/>
              <w:left w:val="single" w:sz="4" w:space="0" w:color="auto"/>
              <w:bottom w:val="single" w:sz="4" w:space="0" w:color="auto"/>
              <w:right w:val="nil"/>
            </w:tcBorders>
            <w:shd w:val="clear" w:color="000000" w:fill="F2F2F2"/>
            <w:vAlign w:val="center"/>
            <w:hideMark/>
          </w:tcPr>
          <w:p w:rsidR="004937EF" w:rsidRPr="004937EF" w:rsidRDefault="004937EF" w:rsidP="004C26CE">
            <w:pPr>
              <w:spacing w:after="0" w:line="240" w:lineRule="auto"/>
              <w:rPr>
                <w:rFonts w:ascii="Times New Roman" w:hAnsi="Times New Roman"/>
                <w:b/>
                <w:bCs/>
                <w:color w:val="000000"/>
                <w:sz w:val="20"/>
                <w:szCs w:val="20"/>
              </w:rPr>
            </w:pPr>
            <w:r w:rsidRPr="004937EF">
              <w:rPr>
                <w:rFonts w:ascii="Times New Roman" w:hAnsi="Times New Roman"/>
                <w:b/>
                <w:bCs/>
                <w:color w:val="000000"/>
                <w:sz w:val="20"/>
                <w:szCs w:val="20"/>
              </w:rPr>
              <w:t>Total</w:t>
            </w:r>
          </w:p>
        </w:tc>
        <w:tc>
          <w:tcPr>
            <w:tcW w:w="689" w:type="pct"/>
            <w:tcBorders>
              <w:top w:val="nil"/>
              <w:left w:val="nil"/>
              <w:bottom w:val="single" w:sz="4" w:space="0" w:color="auto"/>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32</w:t>
            </w:r>
          </w:p>
        </w:tc>
        <w:tc>
          <w:tcPr>
            <w:tcW w:w="652" w:type="pct"/>
            <w:tcBorders>
              <w:top w:val="nil"/>
              <w:left w:val="nil"/>
              <w:bottom w:val="single" w:sz="4" w:space="0" w:color="auto"/>
              <w:right w:val="nil"/>
            </w:tcBorders>
            <w:shd w:val="clear" w:color="000000" w:fill="F2F2F2"/>
            <w:vAlign w:val="center"/>
            <w:hideMark/>
          </w:tcPr>
          <w:p w:rsidR="004937EF" w:rsidRPr="004937EF" w:rsidRDefault="004937EF" w:rsidP="004C26CE">
            <w:pPr>
              <w:spacing w:after="0" w:line="240" w:lineRule="auto"/>
              <w:jc w:val="center"/>
              <w:rPr>
                <w:rFonts w:ascii="Times New Roman" w:hAnsi="Times New Roman"/>
                <w:b/>
                <w:bCs/>
                <w:color w:val="000000"/>
                <w:sz w:val="20"/>
                <w:szCs w:val="20"/>
              </w:rPr>
            </w:pPr>
            <w:r w:rsidRPr="004937EF">
              <w:rPr>
                <w:rFonts w:ascii="Times New Roman" w:hAnsi="Times New Roman"/>
                <w:b/>
                <w:bCs/>
                <w:color w:val="000000"/>
                <w:sz w:val="20"/>
                <w:szCs w:val="20"/>
              </w:rPr>
              <w:t>100,00%</w:t>
            </w:r>
          </w:p>
        </w:tc>
      </w:tr>
    </w:tbl>
    <w:p w:rsidR="00CD703A" w:rsidRPr="000E5487" w:rsidRDefault="00CD703A" w:rsidP="00B747D7">
      <w:pPr>
        <w:spacing w:after="0" w:line="240" w:lineRule="auto"/>
        <w:ind w:firstLine="709"/>
        <w:jc w:val="both"/>
        <w:rPr>
          <w:rFonts w:ascii="Times New Roman" w:eastAsia="Calibri" w:hAnsi="Times New Roman"/>
          <w:color w:val="000000"/>
          <w:szCs w:val="24"/>
          <w:lang w:eastAsia="en-US"/>
        </w:rPr>
      </w:pPr>
    </w:p>
    <w:p w:rsidR="006F09CD" w:rsidRDefault="00660841"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O perfil preponderante dos respondentes </w:t>
      </w:r>
      <w:r w:rsidR="002B64CB" w:rsidRPr="000E5487">
        <w:rPr>
          <w:rFonts w:ascii="Times New Roman" w:eastAsia="Calibri" w:hAnsi="Times New Roman"/>
          <w:color w:val="000000"/>
          <w:szCs w:val="24"/>
          <w:lang w:eastAsia="en-US"/>
        </w:rPr>
        <w:t>possui idade entre 31 e 50 anos,</w:t>
      </w:r>
      <w:r w:rsidR="00864936">
        <w:rPr>
          <w:rFonts w:ascii="Times New Roman" w:eastAsia="Calibri" w:hAnsi="Times New Roman"/>
          <w:color w:val="000000"/>
          <w:szCs w:val="24"/>
          <w:lang w:eastAsia="en-US"/>
        </w:rPr>
        <w:t xml:space="preserve"> atuantes</w:t>
      </w:r>
      <w:r w:rsidR="00864936" w:rsidRPr="00864936">
        <w:rPr>
          <w:rFonts w:ascii="Times New Roman" w:eastAsia="Calibri" w:hAnsi="Times New Roman"/>
          <w:color w:val="000000"/>
          <w:szCs w:val="24"/>
          <w:lang w:eastAsia="en-US"/>
        </w:rPr>
        <w:t xml:space="preserve"> principalmente nos estados de São Paulo, Paraná e Mato Grosso do Sul</w:t>
      </w:r>
      <w:r w:rsidR="00864936">
        <w:rPr>
          <w:rFonts w:ascii="Times New Roman" w:eastAsia="Calibri" w:hAnsi="Times New Roman"/>
          <w:color w:val="000000"/>
          <w:szCs w:val="24"/>
          <w:lang w:eastAsia="en-US"/>
        </w:rPr>
        <w:t>,</w:t>
      </w:r>
      <w:r w:rsidR="002B64CB" w:rsidRPr="000E5487">
        <w:rPr>
          <w:rFonts w:ascii="Times New Roman" w:eastAsia="Calibri" w:hAnsi="Times New Roman"/>
          <w:color w:val="000000"/>
          <w:szCs w:val="24"/>
          <w:lang w:eastAsia="en-US"/>
        </w:rPr>
        <w:t xml:space="preserve"> com nível de qualificação </w:t>
      </w:r>
      <w:r w:rsidR="001E0058" w:rsidRPr="000E5487">
        <w:rPr>
          <w:rFonts w:ascii="Times New Roman" w:eastAsia="Calibri" w:hAnsi="Times New Roman"/>
          <w:color w:val="000000"/>
          <w:szCs w:val="24"/>
          <w:lang w:eastAsia="en-US"/>
        </w:rPr>
        <w:t xml:space="preserve">equivalente a </w:t>
      </w:r>
      <w:r w:rsidR="002B64CB" w:rsidRPr="000E5487">
        <w:rPr>
          <w:rFonts w:ascii="Times New Roman" w:eastAsia="Calibri" w:hAnsi="Times New Roman"/>
          <w:color w:val="000000"/>
          <w:szCs w:val="24"/>
          <w:lang w:eastAsia="en-US"/>
        </w:rPr>
        <w:t xml:space="preserve">especialização, tempo de experiência </w:t>
      </w:r>
      <w:r w:rsidR="00CA6A6B" w:rsidRPr="000E5487">
        <w:rPr>
          <w:rFonts w:ascii="Times New Roman" w:eastAsia="Calibri" w:hAnsi="Times New Roman"/>
          <w:color w:val="000000"/>
          <w:szCs w:val="24"/>
          <w:lang w:eastAsia="en-US"/>
        </w:rPr>
        <w:t>na área contábil</w:t>
      </w:r>
      <w:r w:rsidR="00E91FB0" w:rsidRPr="000E5487">
        <w:rPr>
          <w:rFonts w:ascii="Times New Roman" w:eastAsia="Calibri" w:hAnsi="Times New Roman"/>
          <w:color w:val="000000"/>
          <w:szCs w:val="24"/>
          <w:lang w:eastAsia="en-US"/>
        </w:rPr>
        <w:t xml:space="preserve"> </w:t>
      </w:r>
      <w:r w:rsidR="002B64CB" w:rsidRPr="000E5487">
        <w:rPr>
          <w:rFonts w:ascii="Times New Roman" w:eastAsia="Calibri" w:hAnsi="Times New Roman"/>
          <w:color w:val="000000"/>
          <w:szCs w:val="24"/>
          <w:lang w:eastAsia="en-US"/>
        </w:rPr>
        <w:t>acima de seis anos</w:t>
      </w:r>
      <w:r w:rsidR="001A72AC" w:rsidRPr="000E5487">
        <w:rPr>
          <w:rFonts w:ascii="Times New Roman" w:eastAsia="Calibri" w:hAnsi="Times New Roman"/>
          <w:color w:val="000000"/>
          <w:szCs w:val="24"/>
          <w:lang w:eastAsia="en-US"/>
        </w:rPr>
        <w:t>,</w:t>
      </w:r>
      <w:r w:rsidR="002B64CB" w:rsidRPr="000E5487">
        <w:rPr>
          <w:rFonts w:ascii="Times New Roman" w:eastAsia="Calibri" w:hAnsi="Times New Roman"/>
          <w:color w:val="000000"/>
          <w:szCs w:val="24"/>
          <w:lang w:eastAsia="en-US"/>
        </w:rPr>
        <w:t xml:space="preserve"> </w:t>
      </w:r>
      <w:r w:rsidR="001E0058" w:rsidRPr="000E5487">
        <w:rPr>
          <w:rFonts w:ascii="Times New Roman" w:eastAsia="Calibri" w:hAnsi="Times New Roman"/>
          <w:color w:val="000000"/>
          <w:szCs w:val="24"/>
          <w:lang w:eastAsia="en-US"/>
        </w:rPr>
        <w:t xml:space="preserve">com mais </w:t>
      </w:r>
      <w:r w:rsidR="002B64CB" w:rsidRPr="000E5487">
        <w:rPr>
          <w:rFonts w:ascii="Times New Roman" w:eastAsia="Calibri" w:hAnsi="Times New Roman"/>
          <w:color w:val="000000"/>
          <w:szCs w:val="24"/>
          <w:lang w:eastAsia="en-US"/>
        </w:rPr>
        <w:t xml:space="preserve">de três anos </w:t>
      </w:r>
      <w:r w:rsidR="00CA6A6B" w:rsidRPr="000E5487">
        <w:rPr>
          <w:rFonts w:ascii="Times New Roman" w:eastAsia="Calibri" w:hAnsi="Times New Roman"/>
          <w:color w:val="000000"/>
          <w:szCs w:val="24"/>
          <w:lang w:eastAsia="en-US"/>
        </w:rPr>
        <w:t xml:space="preserve">de experiência </w:t>
      </w:r>
      <w:r w:rsidR="002B64CB" w:rsidRPr="000E5487">
        <w:rPr>
          <w:rFonts w:ascii="Times New Roman" w:eastAsia="Calibri" w:hAnsi="Times New Roman"/>
          <w:color w:val="000000"/>
          <w:szCs w:val="24"/>
          <w:lang w:eastAsia="en-US"/>
        </w:rPr>
        <w:t xml:space="preserve">na </w:t>
      </w:r>
      <w:r w:rsidR="00CA6A6B" w:rsidRPr="000E5487">
        <w:rPr>
          <w:rFonts w:ascii="Times New Roman" w:eastAsia="Calibri" w:hAnsi="Times New Roman"/>
          <w:color w:val="000000"/>
          <w:szCs w:val="24"/>
          <w:lang w:eastAsia="en-US"/>
        </w:rPr>
        <w:t>mensuração de ativos biológicos</w:t>
      </w:r>
      <w:r w:rsidR="00864936">
        <w:rPr>
          <w:rFonts w:ascii="Times New Roman" w:eastAsia="Calibri" w:hAnsi="Times New Roman"/>
          <w:color w:val="000000"/>
          <w:szCs w:val="24"/>
          <w:lang w:eastAsia="en-US"/>
        </w:rPr>
        <w:t>.</w:t>
      </w:r>
    </w:p>
    <w:p w:rsidR="00C4669C" w:rsidRDefault="00C4669C" w:rsidP="006F09CD">
      <w:pPr>
        <w:spacing w:after="120" w:line="240" w:lineRule="auto"/>
        <w:jc w:val="both"/>
        <w:rPr>
          <w:rFonts w:ascii="Times New Roman" w:eastAsia="Calibri" w:hAnsi="Times New Roman"/>
          <w:b/>
          <w:color w:val="000000"/>
          <w:szCs w:val="24"/>
          <w:lang w:eastAsia="en-US"/>
        </w:rPr>
      </w:pPr>
    </w:p>
    <w:p w:rsidR="00E840BD" w:rsidRPr="000E5487" w:rsidRDefault="00B84C8D" w:rsidP="006F09CD">
      <w:pPr>
        <w:spacing w:after="120" w:line="240" w:lineRule="auto"/>
        <w:jc w:val="both"/>
        <w:rPr>
          <w:rFonts w:ascii="Times New Roman" w:hAnsi="Times New Roman"/>
          <w:b/>
          <w:szCs w:val="24"/>
        </w:rPr>
      </w:pPr>
      <w:r w:rsidRPr="000E5487">
        <w:rPr>
          <w:rFonts w:ascii="Times New Roman" w:eastAsia="Calibri" w:hAnsi="Times New Roman"/>
          <w:b/>
          <w:color w:val="000000"/>
          <w:szCs w:val="24"/>
          <w:lang w:eastAsia="en-US"/>
        </w:rPr>
        <w:t>4</w:t>
      </w:r>
      <w:r w:rsidR="009607DA" w:rsidRPr="000E5487">
        <w:rPr>
          <w:rFonts w:ascii="Times New Roman" w:eastAsia="Calibri" w:hAnsi="Times New Roman"/>
          <w:b/>
          <w:color w:val="000000"/>
          <w:szCs w:val="24"/>
          <w:lang w:eastAsia="en-US"/>
        </w:rPr>
        <w:t>.2</w:t>
      </w:r>
      <w:r w:rsidR="009607DA" w:rsidRPr="000E5487">
        <w:rPr>
          <w:rFonts w:ascii="Times New Roman" w:hAnsi="Times New Roman"/>
          <w:b/>
          <w:szCs w:val="24"/>
        </w:rPr>
        <w:t xml:space="preserve"> Escolhas Contábeis na Mensuração de Ativos Biológicos</w:t>
      </w:r>
    </w:p>
    <w:p w:rsidR="00D95716" w:rsidRPr="000E5487" w:rsidRDefault="00D95716"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A escolha do método de mensuração de ativos biológicos </w:t>
      </w:r>
      <w:r w:rsidR="00BA5DA3" w:rsidRPr="000E5487">
        <w:rPr>
          <w:rFonts w:ascii="Times New Roman" w:eastAsia="Calibri" w:hAnsi="Times New Roman"/>
          <w:color w:val="000000"/>
          <w:szCs w:val="24"/>
          <w:lang w:eastAsia="en-US"/>
        </w:rPr>
        <w:t>produz diferença</w:t>
      </w:r>
      <w:r w:rsidRPr="000E5487">
        <w:rPr>
          <w:rFonts w:ascii="Times New Roman" w:eastAsia="Calibri" w:hAnsi="Times New Roman"/>
          <w:color w:val="000000"/>
          <w:szCs w:val="24"/>
          <w:lang w:eastAsia="en-US"/>
        </w:rPr>
        <w:t xml:space="preserve"> significativa </w:t>
      </w:r>
      <w:r w:rsidR="001A72AC" w:rsidRPr="000E5487">
        <w:rPr>
          <w:rFonts w:ascii="Times New Roman" w:eastAsia="Calibri" w:hAnsi="Times New Roman"/>
          <w:color w:val="000000"/>
          <w:szCs w:val="24"/>
          <w:lang w:eastAsia="en-US"/>
        </w:rPr>
        <w:t>em seu valor</w:t>
      </w:r>
      <w:r w:rsidR="00BA5DA3" w:rsidRPr="000E5487">
        <w:rPr>
          <w:rFonts w:ascii="Times New Roman" w:eastAsia="Calibri" w:hAnsi="Times New Roman"/>
          <w:color w:val="000000"/>
          <w:szCs w:val="24"/>
          <w:lang w:eastAsia="en-US"/>
        </w:rPr>
        <w:t xml:space="preserve">, quando </w:t>
      </w:r>
      <w:r w:rsidRPr="000E5487">
        <w:rPr>
          <w:rFonts w:ascii="Times New Roman" w:eastAsia="Calibri" w:hAnsi="Times New Roman"/>
          <w:color w:val="000000"/>
          <w:szCs w:val="24"/>
          <w:lang w:eastAsia="en-US"/>
        </w:rPr>
        <w:t xml:space="preserve">reconhecido nas demonstrações financeiras. </w:t>
      </w:r>
      <w:r w:rsidR="00DC1B79">
        <w:rPr>
          <w:rFonts w:ascii="Times New Roman" w:eastAsia="Calibri" w:hAnsi="Times New Roman"/>
          <w:color w:val="000000"/>
          <w:szCs w:val="24"/>
          <w:lang w:eastAsia="en-US"/>
        </w:rPr>
        <w:fldChar w:fldCharType="begin" w:fldLock="1"/>
      </w:r>
      <w:r w:rsidR="0080040C">
        <w:rPr>
          <w:rFonts w:ascii="Times New Roman" w:eastAsia="Calibri" w:hAnsi="Times New Roman"/>
          <w:color w:val="000000"/>
          <w:szCs w:val="24"/>
          <w:lang w:eastAsia="en-US"/>
        </w:rPr>
        <w:instrText>ADDIN CSL_CITATION {"citationItems":[{"id":"ITEM-1","itemData":{"ISSN":"1808-2882","abstract":"Resumo A mensuração contábil pelo valor justo (fair value) tem sido, cada vez mais, exigida por órgãos reguladores em várias partes do mundo. No Brasil, o Pronunciamento Técnico – Ativos Biológicos e Produtos Agrícolas (CPC 29) emitiu regras que introduzem o valor justo para avaliação dos ativos biológicos, em detrimento do custo histórico. Assim, o foco deste trabalho é verificar, por meio de análise de regressão (pooling), se a mudança na base de mensuração dos ativos biológicos trouxe conteúdo informacional para o mercado de capitais brasileiro. Para tanto, analisou-se a questão do value-relevance dos ativos biológicos mensurados a Valor Justo (ABVJ) e a Custo Histórico (ABCH), para os exercícios de 2008 e 2009, das empresas brasileiras de capital aberto que exploram ativos biológicos. Os resultados empíricos suportam que a substituição do custo histórico pelo valor justo, na mensuração dos ativos biológicos, não se mostrou relevante para os usuários da informação contábil. Uma justificativa para esse achado é o fato de que a mensuração a Custo Histórico é mais verificável, objetiva e de fácil compreensão. Por outro lado, a valor justo, geralmente calculado com base em estimativas, principalmente através do Fluxo de Caixa Futuro Descontado, a mensuração se torna mais difícil de ser entendida e, consequentemente, pode ser menos relevante para os usuários das informações contábeis.","author":[{"dropping-particle":"","family":"Silva Filho","given":"Augusto Cezar da Cunha E","non-dropping-particle":"","parse-names":false,"suffix":""},{"dropping-particle":"","family":"Machado","given":"Márcio André Veras","non-dropping-particle":"","parse-names":false,"suffix":""},{"dropping-particle":"","family":"Machado","given":"Márcia Reis","non-dropping-particle":"","parse-names":false,"suffix":""}],"container-title":"Custos e @gronegócio on line","id":"ITEM-1","issue":"2","issued":{"date-parts":[["2013"]]},"page":"27-50","title":"Custo histórico X valor justo: qual informação é mais value relevant na mensuração dos ativos biológicos?","type":"article-journal","volume":"9"},"uris":["http://www.mendeley.com/documents/?uuid=a1fc4e2e-48a3-3cac-a10c-190e39ef369a"]}],"mendeley":{"formattedCitation":"(SILVA FILHO; MACHADO; MACHADO, 2013)","manualFormatting":"Silva Filho, Machado e Machado (2013)","plainTextFormattedCitation":"(SILVA FILHO; MACHADO; MACHADO, 2013)","previouslyFormattedCitation":"(SILVA FILHO; MACHADO; MACHADO, 2013)"},"properties":{"noteIndex":0},"schema":"https://github.com/citation-style-language/schema/raw/master/csl-citation.json"}</w:instrText>
      </w:r>
      <w:r w:rsidR="00DC1B79">
        <w:rPr>
          <w:rFonts w:ascii="Times New Roman" w:eastAsia="Calibri" w:hAnsi="Times New Roman"/>
          <w:color w:val="000000"/>
          <w:szCs w:val="24"/>
          <w:lang w:eastAsia="en-US"/>
        </w:rPr>
        <w:fldChar w:fldCharType="separate"/>
      </w:r>
      <w:r w:rsidR="00DC1B79" w:rsidRPr="00DC1B79">
        <w:rPr>
          <w:rFonts w:ascii="Times New Roman" w:eastAsia="Calibri" w:hAnsi="Times New Roman"/>
          <w:noProof/>
          <w:color w:val="000000"/>
          <w:szCs w:val="24"/>
          <w:lang w:eastAsia="en-US"/>
        </w:rPr>
        <w:t>Silva Filho</w:t>
      </w:r>
      <w:r w:rsidR="00DC1B79">
        <w:rPr>
          <w:rFonts w:ascii="Times New Roman" w:eastAsia="Calibri" w:hAnsi="Times New Roman"/>
          <w:noProof/>
          <w:color w:val="000000"/>
          <w:szCs w:val="24"/>
          <w:lang w:eastAsia="en-US"/>
        </w:rPr>
        <w:t>,</w:t>
      </w:r>
      <w:r w:rsidR="00DC1B79" w:rsidRPr="00DC1B79">
        <w:rPr>
          <w:rFonts w:ascii="Times New Roman" w:eastAsia="Calibri" w:hAnsi="Times New Roman"/>
          <w:noProof/>
          <w:color w:val="000000"/>
          <w:szCs w:val="24"/>
          <w:lang w:eastAsia="en-US"/>
        </w:rPr>
        <w:t xml:space="preserve"> Machado</w:t>
      </w:r>
      <w:r w:rsidR="00DC1B79">
        <w:rPr>
          <w:rFonts w:ascii="Times New Roman" w:eastAsia="Calibri" w:hAnsi="Times New Roman"/>
          <w:noProof/>
          <w:color w:val="000000"/>
          <w:szCs w:val="24"/>
          <w:lang w:eastAsia="en-US"/>
        </w:rPr>
        <w:t xml:space="preserve"> e</w:t>
      </w:r>
      <w:r w:rsidR="00DC1B79" w:rsidRPr="00DC1B79">
        <w:rPr>
          <w:rFonts w:ascii="Times New Roman" w:eastAsia="Calibri" w:hAnsi="Times New Roman"/>
          <w:noProof/>
          <w:color w:val="000000"/>
          <w:szCs w:val="24"/>
          <w:lang w:eastAsia="en-US"/>
        </w:rPr>
        <w:t xml:space="preserve"> Machado </w:t>
      </w:r>
      <w:r w:rsidR="00DC1B79">
        <w:rPr>
          <w:rFonts w:ascii="Times New Roman" w:eastAsia="Calibri" w:hAnsi="Times New Roman"/>
          <w:noProof/>
          <w:color w:val="000000"/>
          <w:szCs w:val="24"/>
          <w:lang w:eastAsia="en-US"/>
        </w:rPr>
        <w:t>(</w:t>
      </w:r>
      <w:r w:rsidR="00DC1B79" w:rsidRPr="00DC1B79">
        <w:rPr>
          <w:rFonts w:ascii="Times New Roman" w:eastAsia="Calibri" w:hAnsi="Times New Roman"/>
          <w:noProof/>
          <w:color w:val="000000"/>
          <w:szCs w:val="24"/>
          <w:lang w:eastAsia="en-US"/>
        </w:rPr>
        <w:t>2013)</w:t>
      </w:r>
      <w:r w:rsidR="00DC1B79">
        <w:rPr>
          <w:rFonts w:ascii="Times New Roman" w:eastAsia="Calibri" w:hAnsi="Times New Roman"/>
          <w:color w:val="000000"/>
          <w:szCs w:val="24"/>
          <w:lang w:eastAsia="en-US"/>
        </w:rPr>
        <w:fldChar w:fldCharType="end"/>
      </w:r>
      <w:r w:rsidRPr="000E5487">
        <w:rPr>
          <w:rFonts w:ascii="Times New Roman" w:eastAsia="Calibri" w:hAnsi="Times New Roman"/>
          <w:color w:val="000000"/>
          <w:szCs w:val="24"/>
          <w:lang w:eastAsia="en-US"/>
        </w:rPr>
        <w:t xml:space="preserve"> identificaram </w:t>
      </w:r>
      <w:r w:rsidR="00BA5DA3" w:rsidRPr="000E5487">
        <w:rPr>
          <w:rFonts w:ascii="Times New Roman" w:eastAsia="Calibri" w:hAnsi="Times New Roman"/>
          <w:color w:val="000000"/>
          <w:szCs w:val="24"/>
          <w:lang w:eastAsia="en-US"/>
        </w:rPr>
        <w:t xml:space="preserve">esta diferença, </w:t>
      </w:r>
      <w:r w:rsidRPr="000E5487">
        <w:rPr>
          <w:rFonts w:ascii="Times New Roman" w:eastAsia="Calibri" w:hAnsi="Times New Roman"/>
          <w:color w:val="000000"/>
          <w:szCs w:val="24"/>
          <w:lang w:eastAsia="en-US"/>
        </w:rPr>
        <w:t>quando tais ativos são avaliados pelo custo histórico</w:t>
      </w:r>
      <w:r w:rsidR="00BA5DA3" w:rsidRPr="000E5487">
        <w:rPr>
          <w:rFonts w:ascii="Times New Roman" w:eastAsia="Calibri" w:hAnsi="Times New Roman"/>
          <w:color w:val="000000"/>
          <w:szCs w:val="24"/>
          <w:lang w:eastAsia="en-US"/>
        </w:rPr>
        <w:t xml:space="preserve"> e pelo </w:t>
      </w:r>
      <w:r w:rsidR="00903C66" w:rsidRPr="00903C66">
        <w:rPr>
          <w:rFonts w:ascii="Times New Roman" w:eastAsia="Calibri" w:hAnsi="Times New Roman"/>
          <w:i/>
          <w:color w:val="000000"/>
          <w:szCs w:val="24"/>
          <w:lang w:eastAsia="en-US"/>
        </w:rPr>
        <w:t>fair value</w:t>
      </w:r>
      <w:r w:rsidR="00BA5DA3" w:rsidRPr="000E5487">
        <w:rPr>
          <w:rFonts w:ascii="Times New Roman" w:eastAsia="Calibri" w:hAnsi="Times New Roman"/>
          <w:color w:val="000000"/>
          <w:szCs w:val="24"/>
          <w:lang w:eastAsia="en-US"/>
        </w:rPr>
        <w:t>. No caso do custo histórico</w:t>
      </w:r>
      <w:r w:rsidR="00CD703A" w:rsidRPr="000E5487">
        <w:rPr>
          <w:rFonts w:ascii="Times New Roman" w:eastAsia="Calibri" w:hAnsi="Times New Roman"/>
          <w:color w:val="000000"/>
          <w:szCs w:val="24"/>
          <w:lang w:eastAsia="en-US"/>
        </w:rPr>
        <w:t>,</w:t>
      </w:r>
      <w:r w:rsidR="00BA5DA3" w:rsidRPr="000E5487">
        <w:rPr>
          <w:rFonts w:ascii="Times New Roman" w:eastAsia="Calibri" w:hAnsi="Times New Roman"/>
          <w:color w:val="000000"/>
          <w:szCs w:val="24"/>
          <w:lang w:eastAsia="en-US"/>
        </w:rPr>
        <w:t xml:space="preserve"> o </w:t>
      </w:r>
      <w:r w:rsidRPr="000E5487">
        <w:rPr>
          <w:rFonts w:ascii="Times New Roman" w:eastAsia="Calibri" w:hAnsi="Times New Roman"/>
          <w:color w:val="000000"/>
          <w:szCs w:val="24"/>
          <w:lang w:eastAsia="en-US"/>
        </w:rPr>
        <w:t>valor</w:t>
      </w:r>
      <w:r w:rsidR="00BA5DA3" w:rsidRPr="000E5487">
        <w:rPr>
          <w:rFonts w:ascii="Times New Roman" w:eastAsia="Calibri" w:hAnsi="Times New Roman"/>
          <w:color w:val="000000"/>
          <w:szCs w:val="24"/>
          <w:lang w:eastAsia="en-US"/>
        </w:rPr>
        <w:t xml:space="preserve"> do ativo biológivo </w:t>
      </w:r>
      <w:r w:rsidRPr="000E5487">
        <w:rPr>
          <w:rFonts w:ascii="Times New Roman" w:eastAsia="Calibri" w:hAnsi="Times New Roman"/>
          <w:color w:val="000000"/>
          <w:szCs w:val="24"/>
          <w:lang w:eastAsia="en-US"/>
        </w:rPr>
        <w:t xml:space="preserve">é subestimado, já </w:t>
      </w:r>
      <w:r w:rsidR="00BA5DA3" w:rsidRPr="000E5487">
        <w:rPr>
          <w:rFonts w:ascii="Times New Roman" w:eastAsia="Calibri" w:hAnsi="Times New Roman"/>
          <w:color w:val="000000"/>
          <w:szCs w:val="24"/>
          <w:lang w:eastAsia="en-US"/>
        </w:rPr>
        <w:t xml:space="preserve">pelo </w:t>
      </w:r>
      <w:r w:rsidR="001D52C3" w:rsidRPr="000E5487">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xml:space="preserve"> </w:t>
      </w:r>
      <w:r w:rsidR="00BA5DA3" w:rsidRPr="000E5487">
        <w:rPr>
          <w:rFonts w:ascii="Times New Roman" w:eastAsia="Calibri" w:hAnsi="Times New Roman"/>
          <w:color w:val="000000"/>
          <w:szCs w:val="24"/>
          <w:lang w:eastAsia="en-US"/>
        </w:rPr>
        <w:t xml:space="preserve">ele é </w:t>
      </w:r>
      <w:r w:rsidR="003B23BF" w:rsidRPr="000E5487">
        <w:rPr>
          <w:rFonts w:ascii="Times New Roman" w:eastAsia="Calibri" w:hAnsi="Times New Roman"/>
          <w:color w:val="000000"/>
          <w:szCs w:val="24"/>
          <w:lang w:eastAsia="en-US"/>
        </w:rPr>
        <w:t xml:space="preserve">sobrestimado, ou seja, </w:t>
      </w:r>
      <w:r w:rsidRPr="000E5487">
        <w:rPr>
          <w:rFonts w:ascii="Times New Roman" w:eastAsia="Calibri" w:hAnsi="Times New Roman"/>
          <w:color w:val="000000"/>
          <w:szCs w:val="24"/>
          <w:lang w:eastAsia="en-US"/>
        </w:rPr>
        <w:t xml:space="preserve">apresenta </w:t>
      </w:r>
      <w:r w:rsidR="00CD703A" w:rsidRPr="000E5487">
        <w:rPr>
          <w:rFonts w:ascii="Times New Roman" w:eastAsia="Calibri" w:hAnsi="Times New Roman"/>
          <w:color w:val="000000"/>
          <w:szCs w:val="24"/>
          <w:lang w:eastAsia="en-US"/>
        </w:rPr>
        <w:t>benefícios</w:t>
      </w:r>
      <w:r w:rsidRPr="000E5487">
        <w:rPr>
          <w:rFonts w:ascii="Times New Roman" w:eastAsia="Calibri" w:hAnsi="Times New Roman"/>
          <w:color w:val="000000"/>
          <w:szCs w:val="24"/>
          <w:lang w:eastAsia="en-US"/>
        </w:rPr>
        <w:t>, por ser mais próxima da estimativa d</w:t>
      </w:r>
      <w:r w:rsidR="00BA5DA3" w:rsidRPr="000E5487">
        <w:rPr>
          <w:rFonts w:ascii="Times New Roman" w:eastAsia="Calibri" w:hAnsi="Times New Roman"/>
          <w:color w:val="000000"/>
          <w:szCs w:val="24"/>
          <w:lang w:eastAsia="en-US"/>
        </w:rPr>
        <w:t>e</w:t>
      </w:r>
      <w:r w:rsidRPr="000E5487">
        <w:rPr>
          <w:rFonts w:ascii="Times New Roman" w:eastAsia="Calibri" w:hAnsi="Times New Roman"/>
          <w:color w:val="000000"/>
          <w:szCs w:val="24"/>
          <w:lang w:eastAsia="en-US"/>
        </w:rPr>
        <w:t xml:space="preserve"> mercado. </w:t>
      </w:r>
    </w:p>
    <w:p w:rsidR="00792148" w:rsidRDefault="00D95716" w:rsidP="00B747D7">
      <w:pP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Dada a importância e implicações das escolhas contábeis relativas ao </w:t>
      </w:r>
      <w:r w:rsidR="00792148" w:rsidRPr="000E5487">
        <w:rPr>
          <w:rFonts w:ascii="Times New Roman" w:eastAsia="Calibri" w:hAnsi="Times New Roman"/>
          <w:color w:val="000000"/>
          <w:szCs w:val="24"/>
          <w:lang w:eastAsia="en-US"/>
        </w:rPr>
        <w:t xml:space="preserve">método </w:t>
      </w:r>
      <w:r w:rsidRPr="000E5487">
        <w:rPr>
          <w:rFonts w:ascii="Times New Roman" w:eastAsia="Calibri" w:hAnsi="Times New Roman"/>
          <w:color w:val="000000"/>
          <w:szCs w:val="24"/>
          <w:lang w:eastAsia="en-US"/>
        </w:rPr>
        <w:t>de mensuração d</w:t>
      </w:r>
      <w:r w:rsidR="00792148" w:rsidRPr="000E5487">
        <w:rPr>
          <w:rFonts w:ascii="Times New Roman" w:eastAsia="Calibri" w:hAnsi="Times New Roman"/>
          <w:color w:val="000000"/>
          <w:szCs w:val="24"/>
          <w:lang w:eastAsia="en-US"/>
        </w:rPr>
        <w:t>os ativos biológicos, foi verificado qual</w:t>
      </w:r>
      <w:r w:rsidRPr="000E5487">
        <w:rPr>
          <w:rFonts w:ascii="Times New Roman" w:eastAsia="Calibri" w:hAnsi="Times New Roman"/>
          <w:color w:val="000000"/>
          <w:szCs w:val="24"/>
          <w:lang w:eastAsia="en-US"/>
        </w:rPr>
        <w:t xml:space="preserve"> é a prática do setor sucro</w:t>
      </w:r>
      <w:r w:rsidR="00C4669C">
        <w:rPr>
          <w:rFonts w:ascii="Times New Roman" w:eastAsia="Calibri" w:hAnsi="Times New Roman"/>
          <w:color w:val="000000"/>
          <w:szCs w:val="24"/>
          <w:lang w:eastAsia="en-US"/>
        </w:rPr>
        <w:t>energético</w:t>
      </w:r>
      <w:r w:rsidRPr="000E5487">
        <w:rPr>
          <w:rFonts w:ascii="Times New Roman" w:eastAsia="Calibri" w:hAnsi="Times New Roman"/>
          <w:color w:val="000000"/>
          <w:szCs w:val="24"/>
          <w:lang w:eastAsia="en-US"/>
        </w:rPr>
        <w:t>,</w:t>
      </w:r>
      <w:r w:rsidR="00792148" w:rsidRPr="000E5487">
        <w:rPr>
          <w:rFonts w:ascii="Times New Roman" w:eastAsia="Calibri" w:hAnsi="Times New Roman"/>
          <w:color w:val="000000"/>
          <w:szCs w:val="24"/>
          <w:lang w:eastAsia="en-US"/>
        </w:rPr>
        <w:t xml:space="preserve"> </w:t>
      </w:r>
      <w:r w:rsidR="00D2166B" w:rsidRPr="000E5487">
        <w:rPr>
          <w:rFonts w:ascii="Times New Roman" w:eastAsia="Calibri" w:hAnsi="Times New Roman"/>
          <w:color w:val="000000"/>
          <w:szCs w:val="24"/>
          <w:lang w:eastAsia="en-US"/>
        </w:rPr>
        <w:t xml:space="preserve">cujos </w:t>
      </w:r>
      <w:r w:rsidR="00792148" w:rsidRPr="000E5487">
        <w:rPr>
          <w:rFonts w:ascii="Times New Roman" w:eastAsia="Calibri" w:hAnsi="Times New Roman"/>
          <w:color w:val="000000"/>
          <w:szCs w:val="24"/>
          <w:lang w:eastAsia="en-US"/>
        </w:rPr>
        <w:t>resultad</w:t>
      </w:r>
      <w:r w:rsidR="00080C06" w:rsidRPr="000E5487">
        <w:rPr>
          <w:rFonts w:ascii="Times New Roman" w:eastAsia="Calibri" w:hAnsi="Times New Roman"/>
          <w:color w:val="000000"/>
          <w:szCs w:val="24"/>
          <w:lang w:eastAsia="en-US"/>
        </w:rPr>
        <w:t xml:space="preserve">os são apresentados no </w:t>
      </w:r>
      <w:r w:rsidR="00024595" w:rsidRPr="000E5487">
        <w:rPr>
          <w:rFonts w:ascii="Times New Roman" w:eastAsia="Calibri" w:hAnsi="Times New Roman"/>
          <w:color w:val="000000"/>
          <w:szCs w:val="24"/>
          <w:lang w:eastAsia="en-US"/>
        </w:rPr>
        <w:t>Figura</w:t>
      </w:r>
      <w:r w:rsidR="00677C93">
        <w:rPr>
          <w:rFonts w:ascii="Times New Roman" w:eastAsia="Calibri" w:hAnsi="Times New Roman"/>
          <w:color w:val="000000"/>
          <w:szCs w:val="24"/>
          <w:lang w:eastAsia="en-US"/>
        </w:rPr>
        <w:t xml:space="preserve"> 1</w:t>
      </w:r>
      <w:r w:rsidR="00792148" w:rsidRPr="000E5487">
        <w:rPr>
          <w:rFonts w:ascii="Times New Roman" w:eastAsia="Calibri" w:hAnsi="Times New Roman"/>
          <w:color w:val="000000"/>
          <w:szCs w:val="24"/>
          <w:lang w:eastAsia="en-US"/>
        </w:rPr>
        <w:t>.</w:t>
      </w:r>
    </w:p>
    <w:p w:rsidR="002606A7" w:rsidRPr="000E5487" w:rsidRDefault="002606A7" w:rsidP="008C129D">
      <w:pPr>
        <w:spacing w:after="0" w:line="240" w:lineRule="auto"/>
        <w:ind w:firstLine="709"/>
        <w:jc w:val="center"/>
        <w:rPr>
          <w:rFonts w:ascii="Times New Roman" w:eastAsia="Calibri" w:hAnsi="Times New Roman"/>
          <w:color w:val="000000"/>
          <w:szCs w:val="24"/>
          <w:lang w:eastAsia="en-US"/>
        </w:rPr>
      </w:pPr>
    </w:p>
    <w:p w:rsidR="00F424EA" w:rsidRPr="000E5487" w:rsidRDefault="009C5821" w:rsidP="008C129D">
      <w:pPr>
        <w:spacing w:after="0" w:line="240" w:lineRule="auto"/>
        <w:jc w:val="center"/>
        <w:rPr>
          <w:rFonts w:ascii="Times New Roman" w:eastAsia="Calibri" w:hAnsi="Times New Roman"/>
          <w:color w:val="000000"/>
          <w:szCs w:val="24"/>
          <w:lang w:eastAsia="en-US"/>
        </w:rPr>
      </w:pPr>
      <w:r w:rsidRPr="000E5487">
        <w:rPr>
          <w:rFonts w:ascii="Times New Roman" w:hAnsi="Times New Roman"/>
          <w:noProof/>
          <w:color w:val="FFFFFF" w:themeColor="background1"/>
        </w:rPr>
        <w:drawing>
          <wp:inline distT="0" distB="0" distL="0" distR="0" wp14:anchorId="1DC9B7A8" wp14:editId="5E975CEE">
            <wp:extent cx="5753100" cy="1685925"/>
            <wp:effectExtent l="0" t="0" r="0" b="952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11B2" w:rsidRPr="008C129D" w:rsidRDefault="00024595" w:rsidP="008C129D">
      <w:pPr>
        <w:spacing w:after="0" w:line="240" w:lineRule="auto"/>
        <w:jc w:val="center"/>
        <w:rPr>
          <w:rFonts w:ascii="Times New Roman" w:eastAsia="Calibri" w:hAnsi="Times New Roman"/>
          <w:color w:val="000000"/>
          <w:sz w:val="20"/>
          <w:szCs w:val="24"/>
          <w:lang w:eastAsia="en-US"/>
        </w:rPr>
      </w:pPr>
      <w:r w:rsidRPr="008C129D">
        <w:rPr>
          <w:rFonts w:ascii="Times New Roman" w:eastAsia="Calibri" w:hAnsi="Times New Roman"/>
          <w:color w:val="000000"/>
          <w:sz w:val="20"/>
          <w:szCs w:val="24"/>
          <w:lang w:eastAsia="en-US"/>
        </w:rPr>
        <w:t>Figura</w:t>
      </w:r>
      <w:r w:rsidR="00F011B2" w:rsidRPr="008C129D">
        <w:rPr>
          <w:rFonts w:ascii="Times New Roman" w:eastAsia="Calibri" w:hAnsi="Times New Roman"/>
          <w:color w:val="000000"/>
          <w:sz w:val="20"/>
          <w:szCs w:val="24"/>
          <w:lang w:eastAsia="en-US"/>
        </w:rPr>
        <w:t xml:space="preserve"> </w:t>
      </w:r>
      <w:r w:rsidR="00677C93" w:rsidRPr="008C129D">
        <w:rPr>
          <w:rFonts w:ascii="Times New Roman" w:eastAsia="Calibri" w:hAnsi="Times New Roman"/>
          <w:color w:val="000000"/>
          <w:sz w:val="20"/>
          <w:szCs w:val="24"/>
          <w:lang w:eastAsia="en-US"/>
        </w:rPr>
        <w:t>1</w:t>
      </w:r>
      <w:r w:rsidR="00F011B2" w:rsidRPr="008C129D">
        <w:rPr>
          <w:rFonts w:ascii="Times New Roman" w:eastAsia="Calibri" w:hAnsi="Times New Roman"/>
          <w:color w:val="000000"/>
          <w:sz w:val="20"/>
          <w:szCs w:val="24"/>
          <w:lang w:eastAsia="en-US"/>
        </w:rPr>
        <w:t xml:space="preserve"> – Método</w:t>
      </w:r>
      <w:r w:rsidR="007B3A33" w:rsidRPr="008C129D">
        <w:rPr>
          <w:rFonts w:ascii="Times New Roman" w:eastAsia="Calibri" w:hAnsi="Times New Roman"/>
          <w:color w:val="000000"/>
          <w:sz w:val="20"/>
          <w:szCs w:val="24"/>
          <w:lang w:eastAsia="en-US"/>
        </w:rPr>
        <w:t xml:space="preserve"> </w:t>
      </w:r>
      <w:r w:rsidR="00F011B2" w:rsidRPr="008C129D">
        <w:rPr>
          <w:rFonts w:ascii="Times New Roman" w:eastAsia="Calibri" w:hAnsi="Times New Roman"/>
          <w:color w:val="000000"/>
          <w:sz w:val="20"/>
          <w:szCs w:val="24"/>
          <w:lang w:eastAsia="en-US"/>
        </w:rPr>
        <w:t>de mensuração de ativos biológicos</w:t>
      </w:r>
    </w:p>
    <w:p w:rsidR="004A53A2" w:rsidRPr="000E5487" w:rsidRDefault="004A53A2" w:rsidP="004A53A2">
      <w:pPr>
        <w:spacing w:after="0" w:line="240" w:lineRule="auto"/>
        <w:rPr>
          <w:rFonts w:ascii="Times New Roman" w:eastAsia="Calibri" w:hAnsi="Times New Roman"/>
          <w:color w:val="000000"/>
          <w:szCs w:val="24"/>
          <w:lang w:eastAsia="en-US"/>
        </w:rPr>
      </w:pPr>
    </w:p>
    <w:p w:rsidR="00FE736B" w:rsidRDefault="00792148" w:rsidP="00FE736B">
      <w:pPr>
        <w:spacing w:after="0" w:line="240" w:lineRule="auto"/>
        <w:ind w:firstLine="709"/>
        <w:jc w:val="both"/>
        <w:rPr>
          <w:rFonts w:ascii="Times New Roman" w:hAnsi="Times New Roman"/>
          <w:noProof/>
          <w:szCs w:val="24"/>
        </w:rPr>
      </w:pPr>
      <w:r w:rsidRPr="000E5487">
        <w:rPr>
          <w:rFonts w:ascii="Times New Roman" w:eastAsia="Calibri" w:hAnsi="Times New Roman"/>
          <w:color w:val="000000"/>
          <w:szCs w:val="24"/>
          <w:lang w:eastAsia="en-US"/>
        </w:rPr>
        <w:t>Conforme apresentado</w:t>
      </w:r>
      <w:r w:rsidR="00D2166B" w:rsidRPr="000E5487">
        <w:rPr>
          <w:rFonts w:ascii="Times New Roman" w:eastAsia="Calibri" w:hAnsi="Times New Roman"/>
          <w:color w:val="000000"/>
          <w:szCs w:val="24"/>
          <w:lang w:eastAsia="en-US"/>
        </w:rPr>
        <w:t xml:space="preserve"> no </w:t>
      </w:r>
      <w:r w:rsidR="00024595" w:rsidRPr="000E5487">
        <w:rPr>
          <w:rFonts w:ascii="Times New Roman" w:eastAsia="Calibri" w:hAnsi="Times New Roman"/>
          <w:color w:val="000000"/>
          <w:szCs w:val="24"/>
          <w:lang w:eastAsia="en-US"/>
        </w:rPr>
        <w:t>Figura</w:t>
      </w:r>
      <w:r w:rsidR="00D2166B" w:rsidRPr="000E5487">
        <w:rPr>
          <w:rFonts w:ascii="Times New Roman" w:eastAsia="Calibri" w:hAnsi="Times New Roman"/>
          <w:color w:val="000000"/>
          <w:szCs w:val="24"/>
          <w:lang w:eastAsia="en-US"/>
        </w:rPr>
        <w:t xml:space="preserve"> </w:t>
      </w:r>
      <w:r w:rsidR="00677C93">
        <w:rPr>
          <w:rFonts w:ascii="Times New Roman" w:eastAsia="Calibri" w:hAnsi="Times New Roman"/>
          <w:color w:val="000000"/>
          <w:szCs w:val="24"/>
          <w:lang w:eastAsia="en-US"/>
        </w:rPr>
        <w:t>1</w:t>
      </w:r>
      <w:r w:rsidRPr="000E5487">
        <w:rPr>
          <w:rFonts w:ascii="Times New Roman" w:eastAsia="Calibri" w:hAnsi="Times New Roman"/>
          <w:color w:val="000000"/>
          <w:szCs w:val="24"/>
          <w:lang w:eastAsia="en-US"/>
        </w:rPr>
        <w:t xml:space="preserve">, a maioria dos respondentes mensuram os ativos biológicos a </w:t>
      </w:r>
      <w:r w:rsidRPr="000E5487">
        <w:rPr>
          <w:rFonts w:ascii="Times New Roman" w:eastAsia="Calibri" w:hAnsi="Times New Roman"/>
          <w:i/>
          <w:color w:val="000000"/>
          <w:szCs w:val="24"/>
          <w:lang w:eastAsia="en-US"/>
        </w:rPr>
        <w:t>fair value</w:t>
      </w:r>
      <w:r w:rsidRPr="000E5487">
        <w:rPr>
          <w:rFonts w:ascii="Times New Roman" w:eastAsia="Calibri" w:hAnsi="Times New Roman"/>
          <w:color w:val="000000"/>
          <w:szCs w:val="24"/>
          <w:lang w:eastAsia="en-US"/>
        </w:rPr>
        <w:t xml:space="preserve"> e utilizam como método de avaliação o Fluxo de Caixa Descontado (FCD)</w:t>
      </w:r>
      <w:r w:rsidR="00FE736B">
        <w:rPr>
          <w:rFonts w:ascii="Times New Roman" w:eastAsia="Calibri" w:hAnsi="Times New Roman"/>
          <w:color w:val="000000"/>
          <w:szCs w:val="24"/>
          <w:lang w:eastAsia="en-US"/>
        </w:rPr>
        <w:t xml:space="preserve">. </w:t>
      </w:r>
      <w:r w:rsidR="00FE736B" w:rsidRPr="000E5487">
        <w:rPr>
          <w:rFonts w:ascii="Times New Roman" w:hAnsi="Times New Roman"/>
          <w:noProof/>
          <w:szCs w:val="24"/>
        </w:rPr>
        <w:t xml:space="preserve">A mensuração de ativos biológicos a </w:t>
      </w:r>
      <w:r w:rsidR="00FE736B" w:rsidRPr="000E5487">
        <w:rPr>
          <w:rFonts w:ascii="Times New Roman" w:hAnsi="Times New Roman"/>
          <w:i/>
          <w:noProof/>
          <w:szCs w:val="24"/>
        </w:rPr>
        <w:t xml:space="preserve">fair value </w:t>
      </w:r>
      <w:r w:rsidR="00FE736B" w:rsidRPr="000E5487">
        <w:rPr>
          <w:rFonts w:ascii="Times New Roman" w:hAnsi="Times New Roman"/>
          <w:noProof/>
          <w:szCs w:val="24"/>
        </w:rPr>
        <w:t xml:space="preserve">no setor sucroenergético é, em sua maioria, feita no nível 3 da hierarquia de valor da IFRS 13, ou seja, são utilizados dados internos e não observáveis. Esse nível exige certo grau de julgamento por parte do profissional que elabora as demonstrações financeiras e pode impactar na confiabilidade e relevância da informação gerada </w:t>
      </w:r>
      <w:r w:rsidR="00FE736B" w:rsidRPr="000E5487">
        <w:rPr>
          <w:rFonts w:ascii="Times New Roman" w:hAnsi="Times New Roman"/>
          <w:noProof/>
          <w:szCs w:val="24"/>
        </w:rPr>
        <w:fldChar w:fldCharType="begin" w:fldLock="1"/>
      </w:r>
      <w:r w:rsidR="00FE736B">
        <w:rPr>
          <w:rFonts w:ascii="Times New Roman" w:hAnsi="Times New Roman"/>
          <w:noProof/>
          <w:szCs w:val="24"/>
        </w:rPr>
        <w:instrText>ADDIN CSL_CITATION {"citationItems":[{"id":"ITEM-1","itemData":{"DOI":"10.1111/j.1467-646X.2005.00117.x","ISBN":"09541314","ISSN":"0954-1314","PMID":"206676078","author":[{"dropping-particle":"","family":"Yang","given":"Ziyun","non-dropping-particle":"","parse-names":false,"suffix":""},{"dropping-particle":"","family":"Rohrbach","given":"Kermit","non-dropping-particle":"","parse-names":false,"suffix":""},{"dropping-particle":"","family":"Chen","given":"Shimin","non-dropping-particle":"","parse-names":false,"suffix":""}],"container-title":"Journal of International Financial Management and Accounting","id":"ITEM-1","issue":"3","issued":{"date-parts":[["2005","10"]]},"page":"194-228","title":"The Impact of Standard Setting on Relevance and Reliability of Accounting Information: Lower of Cost or Market Accounting Reforms in China","type":"article-journal","volume":"16"},"uris":["http://www.mendeley.com/documents/?uuid=2031ae40-1539-4a52-aa26-1a22ef3094d9"]}],"mendeley":{"formattedCitation":"(YANG; ROHRBACH; CHEN, 2005)","plainTextFormattedCitation":"(YANG; ROHRBACH; CHEN, 2005)","previouslyFormattedCitation":"(YANG; ROHRBACH; CHEN, 2005)"},"properties":{"noteIndex":0},"schema":"https://github.com/citation-style-language/schema/raw/master/csl-citation.json"}</w:instrText>
      </w:r>
      <w:r w:rsidR="00FE736B" w:rsidRPr="000E5487">
        <w:rPr>
          <w:rFonts w:ascii="Times New Roman" w:hAnsi="Times New Roman"/>
          <w:noProof/>
          <w:szCs w:val="24"/>
        </w:rPr>
        <w:fldChar w:fldCharType="separate"/>
      </w:r>
      <w:r w:rsidR="00FE736B" w:rsidRPr="00DE4E1B">
        <w:rPr>
          <w:rFonts w:ascii="Times New Roman" w:hAnsi="Times New Roman"/>
          <w:noProof/>
          <w:szCs w:val="24"/>
        </w:rPr>
        <w:t>(YANG; ROHRBACH; CHEN, 2005)</w:t>
      </w:r>
      <w:r w:rsidR="00FE736B" w:rsidRPr="000E5487">
        <w:rPr>
          <w:rFonts w:ascii="Times New Roman" w:hAnsi="Times New Roman"/>
          <w:noProof/>
          <w:szCs w:val="24"/>
        </w:rPr>
        <w:fldChar w:fldCharType="end"/>
      </w:r>
      <w:r w:rsidR="00FE736B" w:rsidRPr="000E5487">
        <w:rPr>
          <w:rFonts w:ascii="Times New Roman" w:hAnsi="Times New Roman"/>
          <w:noProof/>
          <w:szCs w:val="24"/>
        </w:rPr>
        <w:t xml:space="preserve">. </w:t>
      </w:r>
    </w:p>
    <w:p w:rsidR="00FE736B" w:rsidRPr="000E5487" w:rsidRDefault="00FE736B" w:rsidP="00FE736B">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Contudo, como não há um mercado ativo para a cana-de-açúcar em desenvolvimento biológico, a utilização de </w:t>
      </w:r>
      <w:r w:rsidRPr="000E5487">
        <w:rPr>
          <w:rFonts w:ascii="Times New Roman" w:hAnsi="Times New Roman"/>
          <w:i/>
          <w:noProof/>
          <w:szCs w:val="24"/>
        </w:rPr>
        <w:t>inputs</w:t>
      </w:r>
      <w:r w:rsidRPr="000E5487">
        <w:rPr>
          <w:rFonts w:ascii="Times New Roman" w:hAnsi="Times New Roman"/>
          <w:noProof/>
          <w:szCs w:val="24"/>
        </w:rPr>
        <w:t xml:space="preserve"> internos e de dados não observáveis, desde que desenvolvidos em conformidade com as orientações do Comitê de Pronunciamentos Contábeis (CPC), são considerados premissas válidas para a determinação do </w:t>
      </w:r>
      <w:r w:rsidRPr="000E5487">
        <w:rPr>
          <w:rFonts w:ascii="Times New Roman" w:hAnsi="Times New Roman"/>
          <w:i/>
          <w:iCs/>
          <w:noProof/>
          <w:szCs w:val="24"/>
        </w:rPr>
        <w:t xml:space="preserve">fair value </w:t>
      </w:r>
      <w:r w:rsidRPr="000E5487">
        <w:rPr>
          <w:rFonts w:ascii="Times New Roman" w:hAnsi="Times New Roman"/>
          <w:noProof/>
          <w:szCs w:val="24"/>
        </w:rPr>
        <w:t>e</w:t>
      </w:r>
      <w:r w:rsidRPr="000E5487">
        <w:rPr>
          <w:rFonts w:ascii="Times New Roman" w:hAnsi="Times New Roman"/>
          <w:i/>
          <w:iCs/>
          <w:noProof/>
          <w:szCs w:val="24"/>
        </w:rPr>
        <w:t xml:space="preserve"> </w:t>
      </w:r>
      <w:r w:rsidRPr="000E5487">
        <w:rPr>
          <w:rFonts w:ascii="Times New Roman" w:hAnsi="Times New Roman"/>
          <w:noProof/>
          <w:szCs w:val="24"/>
        </w:rPr>
        <w:t xml:space="preserve">cumprem o objetivo para sua mensuração </w:t>
      </w:r>
      <w:r w:rsidRPr="000E5487">
        <w:rPr>
          <w:rFonts w:ascii="Times New Roman" w:hAnsi="Times New Roman"/>
          <w:noProof/>
          <w:szCs w:val="24"/>
        </w:rPr>
        <w:fldChar w:fldCharType="begin" w:fldLock="1"/>
      </w:r>
      <w:r w:rsidRPr="000E5487">
        <w:rPr>
          <w:rFonts w:ascii="Times New Roman" w:hAnsi="Times New Roman"/>
          <w:noProof/>
          <w:szCs w:val="24"/>
        </w:rPr>
        <w:instrText>ADDIN CSL_CITATION {"citationItems":[{"id":"ITEM-1","itemData":{"URL":"http://www.cpc.org.br/CPC/Documentos-Emitidos/Pronunciamentos/Pronunciamento?Id=60","accessed":{"date-parts":[["2016","12","10"]]},"author":[{"dropping-particle":"","family":"CPC","given":"Comitê de Pronunciamentos Contábeis","non-dropping-particle":"","parse-names":false,"suffix":""}],"id":"ITEM-1","issued":{"date-parts":[["2009"]]},"page":"1-17","title":"CPC 29 - Ativo Biológico e Produto Agrícola","type":"webpage"},"uris":["http://www.mendeley.com/documents/?uuid=9c485e23-6d14-450f-93d4-df4e334c3473"]}],"mendeley":{"formattedCitation":"(CPC, 2009)","plainTextFormattedCitation":"(CPC, 2009)","previouslyFormattedCitation":"(CPC, 2009)"},"properties":{"noteIndex":0},"schema":"https://github.com/citation-style-language/schema/raw/master/csl-citation.json"}</w:instrText>
      </w:r>
      <w:r w:rsidRPr="000E5487">
        <w:rPr>
          <w:rFonts w:ascii="Times New Roman" w:hAnsi="Times New Roman"/>
          <w:noProof/>
          <w:szCs w:val="24"/>
        </w:rPr>
        <w:fldChar w:fldCharType="separate"/>
      </w:r>
      <w:r w:rsidRPr="000E5487">
        <w:rPr>
          <w:rFonts w:ascii="Times New Roman" w:hAnsi="Times New Roman"/>
          <w:noProof/>
          <w:szCs w:val="24"/>
        </w:rPr>
        <w:t>(CPC, 2009)</w:t>
      </w:r>
      <w:r w:rsidRPr="000E5487">
        <w:rPr>
          <w:rFonts w:ascii="Times New Roman" w:hAnsi="Times New Roman"/>
          <w:noProof/>
          <w:szCs w:val="24"/>
        </w:rPr>
        <w:fldChar w:fldCharType="end"/>
      </w:r>
      <w:r w:rsidRPr="000E5487">
        <w:rPr>
          <w:rFonts w:ascii="Times New Roman" w:hAnsi="Times New Roman"/>
          <w:noProof/>
          <w:szCs w:val="24"/>
        </w:rPr>
        <w:t>. Os respondentes que afirmam utilizar um mercado ativo registra</w:t>
      </w:r>
      <w:r>
        <w:rPr>
          <w:rFonts w:ascii="Times New Roman" w:hAnsi="Times New Roman"/>
          <w:noProof/>
          <w:szCs w:val="24"/>
        </w:rPr>
        <w:t>m</w:t>
      </w:r>
      <w:r w:rsidRPr="000E5487">
        <w:rPr>
          <w:rFonts w:ascii="Times New Roman" w:hAnsi="Times New Roman"/>
          <w:noProof/>
          <w:szCs w:val="24"/>
        </w:rPr>
        <w:t xml:space="preserve"> o valor desses ativos ao custo de formação da lavoura e, no momento da colheita,</w:t>
      </w:r>
      <w:r>
        <w:rPr>
          <w:rFonts w:ascii="Times New Roman" w:hAnsi="Times New Roman"/>
          <w:noProof/>
          <w:szCs w:val="24"/>
        </w:rPr>
        <w:t xml:space="preserve"> registram</w:t>
      </w:r>
      <w:r w:rsidRPr="000E5487">
        <w:rPr>
          <w:rFonts w:ascii="Times New Roman" w:hAnsi="Times New Roman"/>
          <w:noProof/>
          <w:szCs w:val="24"/>
        </w:rPr>
        <w:t xml:space="preserve"> o valor justo, conforme orienta a norma.</w:t>
      </w:r>
      <w:r>
        <w:rPr>
          <w:rFonts w:ascii="Times New Roman" w:hAnsi="Times New Roman"/>
          <w:noProof/>
          <w:szCs w:val="24"/>
        </w:rPr>
        <w:t xml:space="preserve"> Por sua vez, os que utilizam o custo histórico, são empresas de capital fechado, que não apuram resultados trimestralmente.</w:t>
      </w:r>
    </w:p>
    <w:p w:rsidR="00FE736B" w:rsidRPr="000E5487" w:rsidRDefault="00FE736B" w:rsidP="00FE736B">
      <w:pPr>
        <w:spacing w:after="0" w:line="240" w:lineRule="auto"/>
        <w:ind w:firstLine="709"/>
        <w:jc w:val="both"/>
        <w:rPr>
          <w:rFonts w:ascii="Times New Roman" w:hAnsi="Times New Roman"/>
          <w:noProof/>
          <w:szCs w:val="24"/>
        </w:rPr>
      </w:pPr>
      <w:r w:rsidRPr="000E5487">
        <w:rPr>
          <w:rFonts w:ascii="Times New Roman" w:hAnsi="Times New Roman"/>
          <w:noProof/>
          <w:szCs w:val="24"/>
        </w:rPr>
        <w:t>Os resultados do presente estudo são relevantes na medida que contribuem para explicitar que no se</w:t>
      </w:r>
      <w:r>
        <w:rPr>
          <w:rFonts w:ascii="Times New Roman" w:hAnsi="Times New Roman"/>
          <w:noProof/>
          <w:szCs w:val="24"/>
        </w:rPr>
        <w:t>tor sucroenergético</w:t>
      </w:r>
      <w:r w:rsidRPr="000E5487">
        <w:rPr>
          <w:rFonts w:ascii="Times New Roman" w:hAnsi="Times New Roman"/>
          <w:noProof/>
          <w:szCs w:val="24"/>
        </w:rPr>
        <w:t xml:space="preserve"> a técnica mais utilizada é a do Fluxo de Caixa Descontado (FCD). Esse resultado demonstra um cenário diferente do verificado por </w:t>
      </w:r>
      <w:r>
        <w:rPr>
          <w:rFonts w:ascii="Times New Roman" w:hAnsi="Times New Roman"/>
          <w:noProof/>
          <w:szCs w:val="24"/>
        </w:rPr>
        <w:fldChar w:fldCharType="begin" w:fldLock="1"/>
      </w:r>
      <w:r>
        <w:rPr>
          <w:rFonts w:ascii="Times New Roman" w:hAnsi="Times New Roman"/>
          <w:noProof/>
          <w:szCs w:val="24"/>
        </w:rPr>
        <w:instrText>ADDIN CSL_CITATION {"citationItems":[{"id":"ITEM-1","itemData":{"abstract":"A América do Sul é uma importante provedora de produtos agrícolas. Cabe à contabilidade reconhecer, mensurar e evidenciar os ativos biológicos das empresas deste continente. Este artigo se propõe fazer um levantamento das bases contábeis mais utilizadas para fins de mensuração de ativos biológicos na América do Sul, partindo do IAS 41. Foram coletadas demonstrações contábeis referentes a junho de 2014 de 309 empresas de capital aberto do Brasil, Chile, Peru e Argentina, das quais 57 divulgam ativos biológicos. Como a mesma empresa pode utilizar diferentes bases, foram identificados 82 usos de técnicas de mensuração, sendo 35% de custo histórico, 34% de Fluxo de Caixa Descontado e 22% tem como base informações de um mercado ativo. As empresas utilizaram essas bases de mensuração principalmente para Lavouras (43%), Florestas (28%), Cardumes (17%) e Rebanhos (9%). Uma minoria de empresas não divulga de maneira clara tanto a espécie de seus ativos biológicos quanto suas bases de mensuração. A contribuição da pesquisa foi fornecer subsídio para discussão sobre as práticas contábeis em questão, abrindo caminho para melhorias nesse processo e eventual redução dos custos de transação.","author":[{"dropping-particle":"","family":"Ganassin","given":"Eduardo Jezini Fernandes","non-dropping-particle":"","parse-names":false,"suffix":""},{"dropping-particle":"","family":"Rodrigues","given":"Fernanda Fernandes","non-dropping-particle":"","parse-names":false,"suffix":""},{"dropping-particle":"","family":"Borges","given":"Tiago Jose Gonzaga","non-dropping-particle":"","parse-names":false,"suffix":""}],"container-title":"Custos e @gronegócio on line","id":"ITEM-1","issue":"2","issued":{"date-parts":[["2016"]]},"page":"333-351","title":"Mensuração de Ativos Biológicos e a observância do IAS 41 na América do Sul","type":"article-journal","volume":"12"},"uris":["http://www.mendeley.com/documents/?uuid=3d631163-7768-4752-af61-971adce7a001"]}],"mendeley":{"formattedCitation":"(GANASSIN; RODRIGUES; BORGES, 2016)","manualFormatting":"Ganassin, Rodrigues e Borges (2016)","plainTextFormattedCitation":"(GANASSIN; RODRIGUES; BORGES, 2016)","previouslyFormattedCitation":"(GANASSIN; RODRIGUES; BORGES, 2016)"},"properties":{"noteIndex":0},"schema":"https://github.com/citation-style-language/schema/raw/master/csl-citation.json"}</w:instrText>
      </w:r>
      <w:r>
        <w:rPr>
          <w:rFonts w:ascii="Times New Roman" w:hAnsi="Times New Roman"/>
          <w:noProof/>
          <w:szCs w:val="24"/>
        </w:rPr>
        <w:fldChar w:fldCharType="separate"/>
      </w:r>
      <w:r w:rsidRPr="0080040C">
        <w:rPr>
          <w:rFonts w:ascii="Times New Roman" w:hAnsi="Times New Roman"/>
          <w:noProof/>
          <w:szCs w:val="24"/>
        </w:rPr>
        <w:t>Ganassin</w:t>
      </w:r>
      <w:r>
        <w:rPr>
          <w:rFonts w:ascii="Times New Roman" w:hAnsi="Times New Roman"/>
          <w:noProof/>
          <w:szCs w:val="24"/>
        </w:rPr>
        <w:t>,</w:t>
      </w:r>
      <w:r w:rsidRPr="0080040C">
        <w:rPr>
          <w:rFonts w:ascii="Times New Roman" w:hAnsi="Times New Roman"/>
          <w:noProof/>
          <w:szCs w:val="24"/>
        </w:rPr>
        <w:t xml:space="preserve"> Rodrigues</w:t>
      </w:r>
      <w:r>
        <w:rPr>
          <w:rFonts w:ascii="Times New Roman" w:hAnsi="Times New Roman"/>
          <w:noProof/>
          <w:szCs w:val="24"/>
        </w:rPr>
        <w:t xml:space="preserve"> e</w:t>
      </w:r>
      <w:r w:rsidRPr="0080040C">
        <w:rPr>
          <w:rFonts w:ascii="Times New Roman" w:hAnsi="Times New Roman"/>
          <w:noProof/>
          <w:szCs w:val="24"/>
        </w:rPr>
        <w:t xml:space="preserve"> Borges </w:t>
      </w:r>
      <w:r>
        <w:rPr>
          <w:rFonts w:ascii="Times New Roman" w:hAnsi="Times New Roman"/>
          <w:noProof/>
          <w:szCs w:val="24"/>
        </w:rPr>
        <w:t>(</w:t>
      </w:r>
      <w:r w:rsidRPr="0080040C">
        <w:rPr>
          <w:rFonts w:ascii="Times New Roman" w:hAnsi="Times New Roman"/>
          <w:noProof/>
          <w:szCs w:val="24"/>
        </w:rPr>
        <w:t>2016)</w:t>
      </w:r>
      <w:r>
        <w:rPr>
          <w:rFonts w:ascii="Times New Roman" w:hAnsi="Times New Roman"/>
          <w:noProof/>
          <w:szCs w:val="24"/>
        </w:rPr>
        <w:fldChar w:fldCharType="end"/>
      </w:r>
      <w:r w:rsidRPr="000E5487">
        <w:rPr>
          <w:rFonts w:ascii="Times New Roman" w:hAnsi="Times New Roman"/>
          <w:noProof/>
          <w:szCs w:val="24"/>
        </w:rPr>
        <w:t>, para empresas participantes do Ibovespa, porém corrobora os resultados verificados pelos mesmos autores na Bolsa de Lima, no Peru.</w:t>
      </w:r>
    </w:p>
    <w:p w:rsidR="00FE736B" w:rsidRPr="00FE736B" w:rsidRDefault="00FE736B" w:rsidP="00FE736B">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Considerando que a maioria dos profissionais opta pela utilização do FCD</w:t>
      </w:r>
      <w:r w:rsidRPr="00FE736B">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torna-se</w:t>
      </w:r>
      <w:r w:rsidRPr="00FE736B">
        <w:rPr>
          <w:rFonts w:ascii="Times New Roman" w:eastAsia="Calibri" w:hAnsi="Times New Roman"/>
          <w:color w:val="000000"/>
          <w:szCs w:val="24"/>
          <w:lang w:eastAsia="en-US"/>
        </w:rPr>
        <w:t xml:space="preserve"> relevante analisar as premissas adotadas para a aplicação deste método, quais sejam, a abordagem realizada na projeção do fluxo de caixa, as escolhas relativas a definição da taxa de desconto, o horizonte de projeção, bem como, as técnicas utilizadas na estimativa de preço e quantidade de cana-de-açúcar (ativo biológico, em questão).</w:t>
      </w:r>
    </w:p>
    <w:p w:rsidR="00792148" w:rsidRDefault="00FE736B" w:rsidP="00FE736B">
      <w:pPr>
        <w:spacing w:after="0" w:line="240" w:lineRule="auto"/>
        <w:ind w:firstLine="709"/>
        <w:jc w:val="both"/>
        <w:rPr>
          <w:rFonts w:ascii="Times New Roman" w:eastAsia="Calibri" w:hAnsi="Times New Roman"/>
          <w:color w:val="000000"/>
          <w:szCs w:val="24"/>
          <w:lang w:eastAsia="en-US"/>
        </w:rPr>
      </w:pPr>
      <w:r w:rsidRPr="00FE736B">
        <w:rPr>
          <w:rFonts w:ascii="Times New Roman" w:eastAsia="Calibri" w:hAnsi="Times New Roman"/>
          <w:color w:val="000000"/>
          <w:szCs w:val="24"/>
          <w:lang w:eastAsia="en-US"/>
        </w:rPr>
        <w:t>Primeiramente, buscou-se identificar qual a abordagem do fluxo de caixa escolhida pelos 23 profissionais contábeis que afirmam utilizar o FCD. Os resultados obtidos revelam que 91,30% utiliza o Fluxo de Caixa Livre para a Empresa (FCLE) e os 8,70% restante adotam o Fluxo de Caixa Livre para o Acionista (FCLA)</w:t>
      </w:r>
      <w:r>
        <w:rPr>
          <w:rFonts w:ascii="Times New Roman" w:eastAsia="Calibri" w:hAnsi="Times New Roman"/>
          <w:color w:val="000000"/>
          <w:szCs w:val="24"/>
          <w:lang w:eastAsia="en-US"/>
        </w:rPr>
        <w:t xml:space="preserve">, </w:t>
      </w:r>
      <w:r w:rsidRPr="000E5487">
        <w:rPr>
          <w:rFonts w:ascii="Times New Roman" w:hAnsi="Times New Roman"/>
          <w:noProof/>
          <w:szCs w:val="24"/>
        </w:rPr>
        <w:t xml:space="preserve">ou seja, </w:t>
      </w:r>
      <w:r>
        <w:rPr>
          <w:rFonts w:ascii="Times New Roman" w:hAnsi="Times New Roman"/>
          <w:noProof/>
          <w:szCs w:val="24"/>
        </w:rPr>
        <w:t xml:space="preserve">a grande maioria, </w:t>
      </w:r>
      <w:r w:rsidRPr="000E5487">
        <w:rPr>
          <w:rFonts w:ascii="Times New Roman" w:hAnsi="Times New Roman"/>
          <w:noProof/>
          <w:szCs w:val="24"/>
        </w:rPr>
        <w:t xml:space="preserve">considera a capacidade de geração de riqueza do ativo, independentemente de suas fontes de financiamento </w:t>
      </w:r>
      <w:r w:rsidRPr="000E5487">
        <w:rPr>
          <w:rFonts w:ascii="Times New Roman" w:hAnsi="Times New Roman"/>
          <w:noProof/>
          <w:szCs w:val="24"/>
        </w:rPr>
        <w:fldChar w:fldCharType="begin" w:fldLock="1"/>
      </w:r>
      <w:r>
        <w:rPr>
          <w:rFonts w:ascii="Times New Roman" w:hAnsi="Times New Roman"/>
          <w:noProof/>
          <w:szCs w:val="24"/>
        </w:rPr>
        <w:instrText>ADDIN CSL_CITATION {"citationItems":[{"id":"ITEM-1","itemData":{"author":[{"dropping-particle":"","family":"Martelanc","given":"R.","non-dropping-particle":"","parse-names":false,"suffix":""},{"dropping-particle":"","family":"Pasin","given":"R.","non-dropping-particle":"","parse-names":false,"suffix":""},{"dropping-particle":"","family":"Pereira","given":"F.","non-dropping-particle":"","parse-names":false,"suffix":""}],"id":"ITEM-1","issued":{"date-parts":[["2010"]]},"number-of-pages":"302","publisher":"Pearson Prentice Hall","publisher-place":"São Paulo","title":"Avaliação de empresas: um guia para fusões &amp; aquisições e private equity","type":"book"},"uris":["http://www.mendeley.com/documents/?uuid=c5554ae1-471f-4b65-b404-25fa43c6f6eb"]}],"mendeley":{"formattedCitation":"(MARTELANC; PASIN; PEREIRA, 2010)","plainTextFormattedCitation":"(MARTELANC; PASIN; PEREIRA, 2010)","previouslyFormattedCitation":"(MARTELANC; PASIN; PEREIRA, 2010)"},"properties":{"noteIndex":0},"schema":"https://github.com/citation-style-language/schema/raw/master/csl-citation.json"}</w:instrText>
      </w:r>
      <w:r w:rsidRPr="000E5487">
        <w:rPr>
          <w:rFonts w:ascii="Times New Roman" w:hAnsi="Times New Roman"/>
          <w:noProof/>
          <w:szCs w:val="24"/>
        </w:rPr>
        <w:fldChar w:fldCharType="separate"/>
      </w:r>
      <w:r w:rsidRPr="00DE4E1B">
        <w:rPr>
          <w:rFonts w:ascii="Times New Roman" w:hAnsi="Times New Roman"/>
          <w:noProof/>
          <w:szCs w:val="24"/>
        </w:rPr>
        <w:t>(MARTELANC; PASIN; PEREIRA, 2010)</w:t>
      </w:r>
      <w:r w:rsidRPr="000E5487">
        <w:rPr>
          <w:rFonts w:ascii="Times New Roman" w:hAnsi="Times New Roman"/>
          <w:noProof/>
          <w:szCs w:val="24"/>
        </w:rPr>
        <w:fldChar w:fldCharType="end"/>
      </w:r>
      <w:r w:rsidRPr="000E5487">
        <w:rPr>
          <w:rFonts w:ascii="Times New Roman" w:hAnsi="Times New Roman"/>
          <w:noProof/>
          <w:szCs w:val="24"/>
        </w:rPr>
        <w:t xml:space="preserve">. </w:t>
      </w:r>
      <w:r w:rsidR="00792148" w:rsidRPr="000E5487">
        <w:rPr>
          <w:rFonts w:ascii="Times New Roman" w:eastAsia="Calibri" w:hAnsi="Times New Roman"/>
          <w:color w:val="000000"/>
          <w:szCs w:val="24"/>
          <w:lang w:eastAsia="en-US"/>
        </w:rPr>
        <w:t xml:space="preserve">Na sequência, foram levantadas as informações relativas </w:t>
      </w:r>
      <w:r w:rsidR="00134F0D" w:rsidRPr="000E5487">
        <w:rPr>
          <w:rFonts w:ascii="Times New Roman" w:eastAsia="Calibri" w:hAnsi="Times New Roman"/>
          <w:color w:val="000000"/>
          <w:szCs w:val="24"/>
          <w:lang w:eastAsia="en-US"/>
        </w:rPr>
        <w:t>à</w:t>
      </w:r>
      <w:r w:rsidR="00792148" w:rsidRPr="000E5487">
        <w:rPr>
          <w:rFonts w:ascii="Times New Roman" w:eastAsia="Calibri" w:hAnsi="Times New Roman"/>
          <w:color w:val="000000"/>
          <w:szCs w:val="24"/>
          <w:lang w:eastAsia="en-US"/>
        </w:rPr>
        <w:t xml:space="preserve"> taxa de desconto, que devido as suas particularidades, são apresentadas no </w:t>
      </w:r>
      <w:r w:rsidR="00292DA1" w:rsidRPr="000E5487">
        <w:rPr>
          <w:rFonts w:ascii="Times New Roman" w:eastAsia="Calibri" w:hAnsi="Times New Roman"/>
          <w:color w:val="000000"/>
          <w:szCs w:val="24"/>
          <w:lang w:eastAsia="en-US"/>
        </w:rPr>
        <w:t xml:space="preserve">próximo </w:t>
      </w:r>
      <w:r w:rsidR="00792148" w:rsidRPr="000E5487">
        <w:rPr>
          <w:rFonts w:ascii="Times New Roman" w:eastAsia="Calibri" w:hAnsi="Times New Roman"/>
          <w:color w:val="000000"/>
          <w:szCs w:val="24"/>
          <w:lang w:eastAsia="en-US"/>
        </w:rPr>
        <w:t>sub tópico.</w:t>
      </w:r>
    </w:p>
    <w:p w:rsidR="00326A07" w:rsidRPr="000E5487" w:rsidRDefault="00326A07" w:rsidP="00B747D7">
      <w:pPr>
        <w:spacing w:after="0" w:line="240" w:lineRule="auto"/>
        <w:ind w:firstLine="709"/>
        <w:jc w:val="both"/>
        <w:rPr>
          <w:rFonts w:ascii="Times New Roman" w:eastAsia="Calibri" w:hAnsi="Times New Roman"/>
          <w:color w:val="000000"/>
          <w:szCs w:val="24"/>
          <w:lang w:eastAsia="en-US"/>
        </w:rPr>
      </w:pPr>
    </w:p>
    <w:p w:rsidR="00792148" w:rsidRPr="000E5487" w:rsidRDefault="008E740C" w:rsidP="00326A07">
      <w:pPr>
        <w:spacing w:after="120" w:line="240" w:lineRule="auto"/>
        <w:rPr>
          <w:rFonts w:ascii="Times New Roman" w:hAnsi="Times New Roman"/>
          <w:b/>
          <w:szCs w:val="24"/>
        </w:rPr>
      </w:pPr>
      <w:r w:rsidRPr="000E5487">
        <w:rPr>
          <w:rFonts w:ascii="Times New Roman" w:hAnsi="Times New Roman"/>
          <w:b/>
          <w:szCs w:val="24"/>
        </w:rPr>
        <w:t>3</w:t>
      </w:r>
      <w:r w:rsidR="00792148" w:rsidRPr="000E5487">
        <w:rPr>
          <w:rFonts w:ascii="Times New Roman" w:hAnsi="Times New Roman"/>
          <w:b/>
          <w:szCs w:val="24"/>
        </w:rPr>
        <w:t>.</w:t>
      </w:r>
      <w:r w:rsidR="008F338F" w:rsidRPr="000E5487">
        <w:rPr>
          <w:rFonts w:ascii="Times New Roman" w:hAnsi="Times New Roman"/>
          <w:b/>
          <w:szCs w:val="24"/>
        </w:rPr>
        <w:t>2</w:t>
      </w:r>
      <w:r w:rsidR="00792148" w:rsidRPr="000E5487">
        <w:rPr>
          <w:rFonts w:ascii="Times New Roman" w:hAnsi="Times New Roman"/>
          <w:b/>
          <w:szCs w:val="24"/>
        </w:rPr>
        <w:t xml:space="preserve">.1 </w:t>
      </w:r>
      <w:r w:rsidR="003A4FF7" w:rsidRPr="000E5487">
        <w:rPr>
          <w:rFonts w:ascii="Times New Roman" w:hAnsi="Times New Roman"/>
          <w:b/>
          <w:szCs w:val="24"/>
        </w:rPr>
        <w:t xml:space="preserve">Escolhas </w:t>
      </w:r>
      <w:r w:rsidR="00147C0E" w:rsidRPr="000E5487">
        <w:rPr>
          <w:rFonts w:ascii="Times New Roman" w:hAnsi="Times New Roman"/>
          <w:b/>
          <w:szCs w:val="24"/>
        </w:rPr>
        <w:t>Contábeis relativas à Taxa de Desconto</w:t>
      </w:r>
    </w:p>
    <w:p w:rsidR="007D11BB" w:rsidRPr="000E5487" w:rsidRDefault="00792148" w:rsidP="00B747D7">
      <w:pPr>
        <w:spacing w:after="0" w:line="240" w:lineRule="auto"/>
        <w:ind w:firstLine="709"/>
        <w:jc w:val="both"/>
        <w:rPr>
          <w:rFonts w:ascii="Times New Roman" w:hAnsi="Times New Roman"/>
          <w:szCs w:val="24"/>
        </w:rPr>
      </w:pPr>
      <w:r w:rsidRPr="000E5487">
        <w:rPr>
          <w:rFonts w:ascii="Times New Roman" w:hAnsi="Times New Roman"/>
          <w:szCs w:val="24"/>
        </w:rPr>
        <w:t xml:space="preserve">As taxas de desconto podem ser obtidas de diversas formas, sendo elas elaboradas com base nos números contábeis, nas teorias de precificação de ativos ou até mesmo obtidas diretamente de organismos externos à empresa. </w:t>
      </w:r>
      <w:r w:rsidR="007D11BB" w:rsidRPr="000E5487">
        <w:rPr>
          <w:rFonts w:ascii="Times New Roman" w:hAnsi="Times New Roman"/>
          <w:szCs w:val="24"/>
        </w:rPr>
        <w:t xml:space="preserve">Contudo, nota-se que não há uma padronização de parâmetros para determinação da taxa de desconto, possibilitando erros e manipulação na mensuração contábil, além de reduzir sua comparabilidade e aumentar o grau de julgamento por parte do </w:t>
      </w:r>
      <w:r w:rsidR="0006404B" w:rsidRPr="000E5487">
        <w:rPr>
          <w:rFonts w:ascii="Times New Roman" w:hAnsi="Times New Roman"/>
          <w:szCs w:val="24"/>
        </w:rPr>
        <w:t xml:space="preserve">profissional que elabora as </w:t>
      </w:r>
      <w:r w:rsidR="007D11BB" w:rsidRPr="000E5487">
        <w:rPr>
          <w:rFonts w:ascii="Times New Roman" w:hAnsi="Times New Roman"/>
          <w:szCs w:val="24"/>
        </w:rPr>
        <w:t xml:space="preserve">demonstrações financeiras </w:t>
      </w:r>
      <w:r w:rsidR="007D11BB" w:rsidRPr="000E5487">
        <w:rPr>
          <w:rFonts w:ascii="Times New Roman" w:hAnsi="Times New Roman"/>
          <w:szCs w:val="24"/>
        </w:rPr>
        <w:fldChar w:fldCharType="begin" w:fldLock="1"/>
      </w:r>
      <w:r w:rsidR="00DE4E1B">
        <w:rPr>
          <w:rFonts w:ascii="Times New Roman" w:hAnsi="Times New Roman"/>
          <w:szCs w:val="24"/>
        </w:rPr>
        <w:instrText>ADDIN CSL_CITATION {"citationItems":[{"id":"ITEM-1","itemData":{"DOI":"10.1016/j.intaccaudtax.2017.10.001","ISSN":"10619518","author":[{"dropping-particle":"","family":"Gonçalves","given":"Rute","non-dropping-particle":"","parse-names":false,"suffix":""},{"dropping-particle":"","family":"Lopes","given":"Patrícia","non-dropping-particle":"","parse-names":false,"suffix":""},{"dropping-particle":"","family":"Craig","given":"Russell","non-dropping-particle":"","parse-names":false,"suffix":""}],"container-title":"Journal of International Accounting, Auditing and Taxation","id":"ITEM-1","issue":"October","issued":{"date-parts":[["2017"]]},"page":"118-126","title":"Value relevance of biological assets under IFRS","type":"article-journal","volume":"29"},"uris":["http://www.mendeley.com/documents/?uuid=98c05584-9f49-42cb-876c-cab38579ca99"]}],"mendeley":{"formattedCitation":"(GONÇALVES; LOPES; CRAIG, 2017)","plainTextFormattedCitation":"(GONÇALVES; LOPES; CRAIG, 2017)","previouslyFormattedCitation":"(GONÇALVES; LOPES; CRAIG, 2017)"},"properties":{"noteIndex":0},"schema":"https://github.com/citation-style-language/schema/raw/master/csl-citation.json"}</w:instrText>
      </w:r>
      <w:r w:rsidR="007D11BB" w:rsidRPr="000E5487">
        <w:rPr>
          <w:rFonts w:ascii="Times New Roman" w:hAnsi="Times New Roman"/>
          <w:szCs w:val="24"/>
        </w:rPr>
        <w:fldChar w:fldCharType="separate"/>
      </w:r>
      <w:r w:rsidR="00DE4E1B" w:rsidRPr="00DE4E1B">
        <w:rPr>
          <w:rFonts w:ascii="Times New Roman" w:hAnsi="Times New Roman"/>
          <w:noProof/>
          <w:szCs w:val="24"/>
        </w:rPr>
        <w:t>(GONÇALVES; LOPES; CRAIG, 2017)</w:t>
      </w:r>
      <w:r w:rsidR="007D11BB" w:rsidRPr="000E5487">
        <w:rPr>
          <w:rFonts w:ascii="Times New Roman" w:hAnsi="Times New Roman"/>
          <w:szCs w:val="24"/>
        </w:rPr>
        <w:fldChar w:fldCharType="end"/>
      </w:r>
      <w:r w:rsidR="007D11BB" w:rsidRPr="000E5487">
        <w:rPr>
          <w:rFonts w:ascii="Times New Roman" w:hAnsi="Times New Roman"/>
          <w:szCs w:val="24"/>
        </w:rPr>
        <w:t>.</w:t>
      </w:r>
    </w:p>
    <w:p w:rsidR="008E63BF" w:rsidRDefault="00792148" w:rsidP="008E63BF">
      <w:pPr>
        <w:spacing w:after="0" w:line="240" w:lineRule="auto"/>
        <w:ind w:firstLine="709"/>
        <w:jc w:val="both"/>
        <w:rPr>
          <w:rFonts w:ascii="Times New Roman" w:hAnsi="Times New Roman"/>
          <w:noProof/>
          <w:szCs w:val="24"/>
        </w:rPr>
      </w:pPr>
      <w:r w:rsidRPr="000E5487">
        <w:rPr>
          <w:rFonts w:ascii="Times New Roman" w:hAnsi="Times New Roman"/>
          <w:szCs w:val="24"/>
        </w:rPr>
        <w:t xml:space="preserve">Neste estudo, evidenciou-se que 60,87% dos respondentes utilizam taxas de desconto obtidas dos números contábeis, pois afirmam utilizar </w:t>
      </w:r>
      <w:r w:rsidR="00901442" w:rsidRPr="000E5487">
        <w:rPr>
          <w:rFonts w:ascii="Times New Roman" w:hAnsi="Times New Roman"/>
          <w:szCs w:val="24"/>
        </w:rPr>
        <w:t xml:space="preserve">o </w:t>
      </w:r>
      <w:r w:rsidRPr="000E5487">
        <w:rPr>
          <w:rFonts w:ascii="Times New Roman" w:hAnsi="Times New Roman"/>
          <w:szCs w:val="24"/>
        </w:rPr>
        <w:t>Custo Médio Ponderado de Capital (</w:t>
      </w:r>
      <w:r w:rsidR="00303461" w:rsidRPr="000E5487">
        <w:rPr>
          <w:rFonts w:ascii="Times New Roman" w:hAnsi="Times New Roman"/>
          <w:szCs w:val="24"/>
        </w:rPr>
        <w:t>WACC</w:t>
      </w:r>
      <w:r w:rsidRPr="000E5487">
        <w:rPr>
          <w:rFonts w:ascii="Times New Roman" w:hAnsi="Times New Roman"/>
          <w:szCs w:val="24"/>
        </w:rPr>
        <w:t>)</w:t>
      </w:r>
      <w:r w:rsidR="00F0375E">
        <w:rPr>
          <w:rFonts w:ascii="Times New Roman" w:hAnsi="Times New Roman"/>
          <w:szCs w:val="24"/>
        </w:rPr>
        <w:t>,</w:t>
      </w:r>
      <w:r w:rsidR="00901442" w:rsidRPr="000E5487">
        <w:rPr>
          <w:rFonts w:ascii="Times New Roman" w:hAnsi="Times New Roman"/>
          <w:szCs w:val="24"/>
        </w:rPr>
        <w:t xml:space="preserve"> </w:t>
      </w:r>
      <w:r w:rsidRPr="000E5487">
        <w:rPr>
          <w:rFonts w:ascii="Times New Roman" w:hAnsi="Times New Roman"/>
          <w:szCs w:val="24"/>
        </w:rPr>
        <w:t xml:space="preserve">39,13% elaboram a taxa de desconto com base nas teorias de precificação de ativos utilizando o modelo </w:t>
      </w:r>
      <w:r w:rsidRPr="000E5487">
        <w:rPr>
          <w:rFonts w:ascii="Times New Roman" w:hAnsi="Times New Roman"/>
          <w:i/>
          <w:szCs w:val="24"/>
        </w:rPr>
        <w:t xml:space="preserve">Capital Asset Pricing Model </w:t>
      </w:r>
      <w:r w:rsidRPr="000E5487">
        <w:rPr>
          <w:rFonts w:ascii="Times New Roman" w:hAnsi="Times New Roman"/>
          <w:szCs w:val="24"/>
        </w:rPr>
        <w:t>(CAPM) e nenhum respondente utiliza taxas obtidas de organismos externos</w:t>
      </w:r>
      <w:r w:rsidR="008E63BF">
        <w:rPr>
          <w:rFonts w:ascii="Times New Roman" w:hAnsi="Times New Roman"/>
          <w:szCs w:val="24"/>
        </w:rPr>
        <w:t xml:space="preserve">, </w:t>
      </w:r>
      <w:r w:rsidR="008E63BF" w:rsidRPr="000E5487">
        <w:rPr>
          <w:rFonts w:ascii="Times New Roman" w:hAnsi="Times New Roman"/>
          <w:noProof/>
          <w:szCs w:val="24"/>
        </w:rPr>
        <w:t>demonstrando que tais técnicas podem representar um indício de padronização, conforme sugerido por</w:t>
      </w:r>
      <w:r w:rsidR="008E63BF">
        <w:rPr>
          <w:rFonts w:ascii="Times New Roman" w:hAnsi="Times New Roman"/>
          <w:noProof/>
          <w:szCs w:val="24"/>
        </w:rPr>
        <w:t xml:space="preserve"> </w:t>
      </w:r>
      <w:r w:rsidR="008E63BF">
        <w:rPr>
          <w:rFonts w:ascii="Times New Roman" w:hAnsi="Times New Roman"/>
          <w:noProof/>
          <w:szCs w:val="24"/>
        </w:rPr>
        <w:fldChar w:fldCharType="begin" w:fldLock="1"/>
      </w:r>
      <w:r w:rsidR="008E63BF">
        <w:rPr>
          <w:rFonts w:ascii="Times New Roman" w:hAnsi="Times New Roman"/>
          <w:noProof/>
          <w:szCs w:val="24"/>
        </w:rPr>
        <w:instrText>ADDIN CSL_CITATION {"citationItems":[{"id":"ITEM-1","itemData":{"author":[{"dropping-particle":"","family":"Eckel","given":"Leonard","non-dropping-particle":"","parse-names":false,"suffix":""},{"dropping-particle":"","family":"Fortin","given":"Steve","non-dropping-particle":"","parse-names":false,"suffix":""},{"dropping-particle":"","family":"Fisher","given":"Kathryn","non-dropping-particle":"","parse-names":false,"suffix":""}],"container-title":"Accounting Forum","id":"ITEM-1","issued":{"date-parts":[["2003"]]},"page":"28-59","title":"The Choice of Discount Rate for External Reporting Purposes: Considerations for Standard Setting","type":"article-journal","volume":"27"},"uris":["http://www.mendeley.com/documents/?uuid=7cab9892-b78e-4e32-9a3d-45e109eb591f"]}],"mendeley":{"formattedCitation":"(ECKEL; FORTIN; FISHER, 2003)","manualFormatting":"Eckel, Fortin e Fisher (2003)","plainTextFormattedCitation":"(ECKEL; FORTIN; FISHER, 2003)","previouslyFormattedCitation":"(ECKEL; FORTIN; FISHER, 2003)"},"properties":{"noteIndex":0},"schema":"https://github.com/citation-style-language/schema/raw/master/csl-citation.json"}</w:instrText>
      </w:r>
      <w:r w:rsidR="008E63BF">
        <w:rPr>
          <w:rFonts w:ascii="Times New Roman" w:hAnsi="Times New Roman"/>
          <w:noProof/>
          <w:szCs w:val="24"/>
        </w:rPr>
        <w:fldChar w:fldCharType="separate"/>
      </w:r>
      <w:r w:rsidR="008E63BF" w:rsidRPr="00BF33F5">
        <w:rPr>
          <w:rFonts w:ascii="Times New Roman" w:hAnsi="Times New Roman"/>
          <w:noProof/>
          <w:szCs w:val="24"/>
        </w:rPr>
        <w:t>Eckel</w:t>
      </w:r>
      <w:r w:rsidR="008E63BF">
        <w:rPr>
          <w:rFonts w:ascii="Times New Roman" w:hAnsi="Times New Roman"/>
          <w:noProof/>
          <w:szCs w:val="24"/>
        </w:rPr>
        <w:t>,</w:t>
      </w:r>
      <w:r w:rsidR="008E63BF" w:rsidRPr="00BF33F5">
        <w:rPr>
          <w:rFonts w:ascii="Times New Roman" w:hAnsi="Times New Roman"/>
          <w:noProof/>
          <w:szCs w:val="24"/>
        </w:rPr>
        <w:t xml:space="preserve"> Fortin</w:t>
      </w:r>
      <w:r w:rsidR="008E63BF">
        <w:rPr>
          <w:rFonts w:ascii="Times New Roman" w:hAnsi="Times New Roman"/>
          <w:noProof/>
          <w:szCs w:val="24"/>
        </w:rPr>
        <w:t xml:space="preserve"> e</w:t>
      </w:r>
      <w:r w:rsidR="008E63BF" w:rsidRPr="00BF33F5">
        <w:rPr>
          <w:rFonts w:ascii="Times New Roman" w:hAnsi="Times New Roman"/>
          <w:noProof/>
          <w:szCs w:val="24"/>
        </w:rPr>
        <w:t xml:space="preserve"> Fisher </w:t>
      </w:r>
      <w:r w:rsidR="008E63BF">
        <w:rPr>
          <w:rFonts w:ascii="Times New Roman" w:hAnsi="Times New Roman"/>
          <w:noProof/>
          <w:szCs w:val="24"/>
        </w:rPr>
        <w:t>(</w:t>
      </w:r>
      <w:r w:rsidR="008E63BF" w:rsidRPr="00BF33F5">
        <w:rPr>
          <w:rFonts w:ascii="Times New Roman" w:hAnsi="Times New Roman"/>
          <w:noProof/>
          <w:szCs w:val="24"/>
        </w:rPr>
        <w:t>2003)</w:t>
      </w:r>
      <w:r w:rsidR="008E63BF">
        <w:rPr>
          <w:rFonts w:ascii="Times New Roman" w:hAnsi="Times New Roman"/>
          <w:noProof/>
          <w:szCs w:val="24"/>
        </w:rPr>
        <w:fldChar w:fldCharType="end"/>
      </w:r>
      <w:r w:rsidR="008E63BF" w:rsidRPr="000E5487">
        <w:rPr>
          <w:rFonts w:ascii="Times New Roman" w:hAnsi="Times New Roman"/>
          <w:noProof/>
          <w:szCs w:val="24"/>
        </w:rPr>
        <w:t>.</w:t>
      </w:r>
    </w:p>
    <w:p w:rsidR="00792148" w:rsidRPr="000E5487" w:rsidRDefault="00792148" w:rsidP="00B747D7">
      <w:pPr>
        <w:spacing w:after="0" w:line="240" w:lineRule="auto"/>
        <w:ind w:firstLine="709"/>
        <w:jc w:val="both"/>
        <w:rPr>
          <w:rFonts w:ascii="Times New Roman" w:hAnsi="Times New Roman"/>
          <w:szCs w:val="24"/>
        </w:rPr>
      </w:pPr>
      <w:r w:rsidRPr="000E5487">
        <w:rPr>
          <w:rFonts w:ascii="Times New Roman" w:hAnsi="Times New Roman"/>
          <w:szCs w:val="24"/>
        </w:rPr>
        <w:t>A</w:t>
      </w:r>
      <w:r w:rsidR="00CD703A" w:rsidRPr="000E5487">
        <w:rPr>
          <w:rFonts w:ascii="Times New Roman" w:hAnsi="Times New Roman"/>
          <w:szCs w:val="24"/>
        </w:rPr>
        <w:t xml:space="preserve"> seguir são </w:t>
      </w:r>
      <w:r w:rsidRPr="000E5487">
        <w:rPr>
          <w:rFonts w:ascii="Times New Roman" w:hAnsi="Times New Roman"/>
          <w:szCs w:val="24"/>
        </w:rPr>
        <w:t>sintetizadas as informações e escolhas feitas</w:t>
      </w:r>
      <w:r w:rsidR="00820095" w:rsidRPr="000E5487">
        <w:rPr>
          <w:rFonts w:ascii="Times New Roman" w:hAnsi="Times New Roman"/>
          <w:szCs w:val="24"/>
        </w:rPr>
        <w:t xml:space="preserve"> pelos profissionais contábeis </w:t>
      </w:r>
      <w:r w:rsidRPr="000E5487">
        <w:rPr>
          <w:rFonts w:ascii="Times New Roman" w:hAnsi="Times New Roman"/>
          <w:szCs w:val="24"/>
        </w:rPr>
        <w:t xml:space="preserve">para explicitar as técnicas e premissas adotadas na </w:t>
      </w:r>
      <w:r w:rsidR="009C354C" w:rsidRPr="000E5487">
        <w:rPr>
          <w:rFonts w:ascii="Times New Roman" w:hAnsi="Times New Roman"/>
          <w:szCs w:val="24"/>
        </w:rPr>
        <w:t xml:space="preserve">determinação </w:t>
      </w:r>
      <w:r w:rsidRPr="000E5487">
        <w:rPr>
          <w:rFonts w:ascii="Times New Roman" w:hAnsi="Times New Roman"/>
          <w:szCs w:val="24"/>
        </w:rPr>
        <w:t xml:space="preserve">da </w:t>
      </w:r>
      <w:r w:rsidR="00901442" w:rsidRPr="000E5487">
        <w:rPr>
          <w:rFonts w:ascii="Times New Roman" w:hAnsi="Times New Roman"/>
          <w:szCs w:val="24"/>
        </w:rPr>
        <w:t>t</w:t>
      </w:r>
      <w:r w:rsidRPr="000E5487">
        <w:rPr>
          <w:rFonts w:ascii="Times New Roman" w:hAnsi="Times New Roman"/>
          <w:szCs w:val="24"/>
        </w:rPr>
        <w:t xml:space="preserve">axa de </w:t>
      </w:r>
      <w:r w:rsidR="00901442" w:rsidRPr="000E5487">
        <w:rPr>
          <w:rFonts w:ascii="Times New Roman" w:hAnsi="Times New Roman"/>
          <w:szCs w:val="24"/>
        </w:rPr>
        <w:t>d</w:t>
      </w:r>
      <w:r w:rsidRPr="000E5487">
        <w:rPr>
          <w:rFonts w:ascii="Times New Roman" w:hAnsi="Times New Roman"/>
          <w:szCs w:val="24"/>
        </w:rPr>
        <w:t>esconto.</w:t>
      </w:r>
    </w:p>
    <w:p w:rsidR="00086E90" w:rsidRDefault="00086E90" w:rsidP="00913571">
      <w:pPr>
        <w:spacing w:after="0" w:line="240" w:lineRule="auto"/>
        <w:jc w:val="center"/>
        <w:rPr>
          <w:rFonts w:ascii="Times New Roman" w:hAnsi="Times New Roman"/>
          <w:sz w:val="20"/>
          <w:szCs w:val="24"/>
        </w:rPr>
      </w:pPr>
    </w:p>
    <w:p w:rsidR="00792148" w:rsidRPr="00913571" w:rsidRDefault="008F338F" w:rsidP="00913571">
      <w:pPr>
        <w:spacing w:after="0" w:line="240" w:lineRule="auto"/>
        <w:jc w:val="center"/>
        <w:rPr>
          <w:rFonts w:ascii="Times New Roman" w:hAnsi="Times New Roman"/>
          <w:sz w:val="20"/>
          <w:szCs w:val="24"/>
        </w:rPr>
      </w:pPr>
      <w:r w:rsidRPr="00913571">
        <w:rPr>
          <w:rFonts w:ascii="Times New Roman" w:hAnsi="Times New Roman"/>
          <w:sz w:val="20"/>
          <w:szCs w:val="24"/>
        </w:rPr>
        <w:t xml:space="preserve">Tabela </w:t>
      </w:r>
      <w:r w:rsidR="00F0375E" w:rsidRPr="00913571">
        <w:rPr>
          <w:rFonts w:ascii="Times New Roman" w:hAnsi="Times New Roman"/>
          <w:sz w:val="20"/>
          <w:szCs w:val="24"/>
        </w:rPr>
        <w:t>2</w:t>
      </w:r>
      <w:r w:rsidR="00792148" w:rsidRPr="00913571">
        <w:rPr>
          <w:rFonts w:ascii="Times New Roman" w:hAnsi="Times New Roman"/>
          <w:sz w:val="20"/>
          <w:szCs w:val="24"/>
        </w:rPr>
        <w:t xml:space="preserve"> </w:t>
      </w:r>
      <w:r w:rsidR="006C54C9" w:rsidRPr="00913571">
        <w:rPr>
          <w:rFonts w:ascii="Times New Roman" w:hAnsi="Times New Roman"/>
          <w:sz w:val="20"/>
          <w:szCs w:val="24"/>
        </w:rPr>
        <w:t>–</w:t>
      </w:r>
      <w:r w:rsidR="003A4FF7" w:rsidRPr="00913571">
        <w:rPr>
          <w:rFonts w:ascii="Times New Roman" w:hAnsi="Times New Roman"/>
          <w:sz w:val="20"/>
          <w:szCs w:val="24"/>
        </w:rPr>
        <w:t xml:space="preserve"> </w:t>
      </w:r>
      <w:r w:rsidR="006C54C9" w:rsidRPr="00913571">
        <w:rPr>
          <w:rFonts w:ascii="Times New Roman" w:hAnsi="Times New Roman"/>
          <w:sz w:val="20"/>
          <w:szCs w:val="24"/>
        </w:rPr>
        <w:t>Escolhas contábeis</w:t>
      </w:r>
      <w:r w:rsidR="00792148" w:rsidRPr="00913571">
        <w:rPr>
          <w:rFonts w:ascii="Times New Roman" w:hAnsi="Times New Roman"/>
          <w:sz w:val="20"/>
          <w:szCs w:val="24"/>
        </w:rPr>
        <w:t xml:space="preserve"> na </w:t>
      </w:r>
      <w:r w:rsidR="009C354C" w:rsidRPr="00913571">
        <w:rPr>
          <w:rFonts w:ascii="Times New Roman" w:hAnsi="Times New Roman"/>
          <w:sz w:val="20"/>
          <w:szCs w:val="24"/>
        </w:rPr>
        <w:t xml:space="preserve">determinação </w:t>
      </w:r>
      <w:r w:rsidR="00792148" w:rsidRPr="00913571">
        <w:rPr>
          <w:rFonts w:ascii="Times New Roman" w:hAnsi="Times New Roman"/>
          <w:sz w:val="20"/>
          <w:szCs w:val="24"/>
        </w:rPr>
        <w:t xml:space="preserve">da </w:t>
      </w:r>
      <w:r w:rsidR="00A82F5A" w:rsidRPr="00913571">
        <w:rPr>
          <w:rFonts w:ascii="Times New Roman" w:hAnsi="Times New Roman"/>
          <w:sz w:val="20"/>
          <w:szCs w:val="24"/>
        </w:rPr>
        <w:t>t</w:t>
      </w:r>
      <w:r w:rsidR="00792148" w:rsidRPr="00913571">
        <w:rPr>
          <w:rFonts w:ascii="Times New Roman" w:hAnsi="Times New Roman"/>
          <w:sz w:val="20"/>
          <w:szCs w:val="24"/>
        </w:rPr>
        <w:t xml:space="preserve">axa de </w:t>
      </w:r>
      <w:r w:rsidR="00A82F5A" w:rsidRPr="00913571">
        <w:rPr>
          <w:rFonts w:ascii="Times New Roman" w:hAnsi="Times New Roman"/>
          <w:sz w:val="20"/>
          <w:szCs w:val="24"/>
        </w:rPr>
        <w:t>d</w:t>
      </w:r>
      <w:r w:rsidR="00792148" w:rsidRPr="00913571">
        <w:rPr>
          <w:rFonts w:ascii="Times New Roman" w:hAnsi="Times New Roman"/>
          <w:sz w:val="20"/>
          <w:szCs w:val="24"/>
        </w:rPr>
        <w:t>esconto</w:t>
      </w:r>
    </w:p>
    <w:tbl>
      <w:tblPr>
        <w:tblW w:w="4925" w:type="pct"/>
        <w:tblInd w:w="70" w:type="dxa"/>
        <w:tblLayout w:type="fixed"/>
        <w:tblCellMar>
          <w:left w:w="70" w:type="dxa"/>
          <w:right w:w="70" w:type="dxa"/>
        </w:tblCellMar>
        <w:tblLook w:val="04A0" w:firstRow="1" w:lastRow="0" w:firstColumn="1" w:lastColumn="0" w:noHBand="0" w:noVBand="1"/>
      </w:tblPr>
      <w:tblGrid>
        <w:gridCol w:w="1617"/>
        <w:gridCol w:w="4977"/>
        <w:gridCol w:w="1226"/>
        <w:gridCol w:w="1115"/>
      </w:tblGrid>
      <w:tr w:rsidR="008E64CA" w:rsidRPr="000E5487" w:rsidTr="00F0375E">
        <w:trPr>
          <w:trHeight w:val="332"/>
        </w:trPr>
        <w:tc>
          <w:tcPr>
            <w:tcW w:w="905" w:type="pct"/>
            <w:tcBorders>
              <w:top w:val="single" w:sz="4" w:space="0" w:color="auto"/>
              <w:left w:val="nil"/>
              <w:bottom w:val="single" w:sz="4" w:space="0" w:color="auto"/>
              <w:right w:val="nil"/>
            </w:tcBorders>
            <w:shd w:val="clear" w:color="auto" w:fill="auto"/>
            <w:noWrap/>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Componente</w:t>
            </w:r>
          </w:p>
        </w:tc>
        <w:tc>
          <w:tcPr>
            <w:tcW w:w="2785" w:type="pct"/>
            <w:tcBorders>
              <w:top w:val="single" w:sz="4" w:space="0" w:color="auto"/>
              <w:left w:val="nil"/>
              <w:bottom w:val="single" w:sz="4" w:space="0" w:color="auto"/>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Alternativas</w:t>
            </w:r>
          </w:p>
        </w:tc>
        <w:tc>
          <w:tcPr>
            <w:tcW w:w="686" w:type="pct"/>
            <w:tcBorders>
              <w:top w:val="single" w:sz="4" w:space="0" w:color="auto"/>
              <w:left w:val="nil"/>
              <w:bottom w:val="single" w:sz="4" w:space="0" w:color="auto"/>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Frequência Absoluta</w:t>
            </w:r>
          </w:p>
        </w:tc>
        <w:tc>
          <w:tcPr>
            <w:tcW w:w="624" w:type="pct"/>
            <w:tcBorders>
              <w:top w:val="single" w:sz="4" w:space="0" w:color="auto"/>
              <w:left w:val="nil"/>
              <w:bottom w:val="single" w:sz="4" w:space="0" w:color="auto"/>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Frequência Relativa</w:t>
            </w:r>
          </w:p>
        </w:tc>
      </w:tr>
      <w:tr w:rsidR="008E64CA" w:rsidRPr="000E5487" w:rsidTr="00F0375E">
        <w:trPr>
          <w:trHeight w:val="281"/>
        </w:trPr>
        <w:tc>
          <w:tcPr>
            <w:tcW w:w="905" w:type="pct"/>
            <w:vMerge w:val="restart"/>
            <w:tcBorders>
              <w:top w:val="nil"/>
              <w:left w:val="nil"/>
              <w:bottom w:val="nil"/>
              <w:right w:val="nil"/>
            </w:tcBorders>
            <w:shd w:val="clear" w:color="000000" w:fill="F2F2F2"/>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Custo do </w:t>
            </w:r>
            <w:r w:rsidR="006D5335" w:rsidRPr="000E5487">
              <w:rPr>
                <w:rFonts w:ascii="Times New Roman" w:hAnsi="Times New Roman"/>
                <w:b/>
                <w:bCs/>
                <w:color w:val="000000"/>
                <w:sz w:val="20"/>
                <w:szCs w:val="20"/>
              </w:rPr>
              <w:t>c</w:t>
            </w:r>
            <w:r w:rsidRPr="000E5487">
              <w:rPr>
                <w:rFonts w:ascii="Times New Roman" w:hAnsi="Times New Roman"/>
                <w:b/>
                <w:bCs/>
                <w:color w:val="000000"/>
                <w:sz w:val="20"/>
                <w:szCs w:val="20"/>
              </w:rPr>
              <w:t xml:space="preserve">apital </w:t>
            </w:r>
            <w:r w:rsidR="006D5335" w:rsidRPr="000E5487">
              <w:rPr>
                <w:rFonts w:ascii="Times New Roman" w:hAnsi="Times New Roman"/>
                <w:b/>
                <w:bCs/>
                <w:color w:val="000000"/>
                <w:sz w:val="20"/>
                <w:szCs w:val="20"/>
              </w:rPr>
              <w:t>p</w:t>
            </w:r>
            <w:r w:rsidRPr="000E5487">
              <w:rPr>
                <w:rFonts w:ascii="Times New Roman" w:hAnsi="Times New Roman"/>
                <w:b/>
                <w:bCs/>
                <w:color w:val="000000"/>
                <w:sz w:val="20"/>
                <w:szCs w:val="20"/>
              </w:rPr>
              <w:t>róprio</w:t>
            </w: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lang w:val="en-US"/>
              </w:rPr>
            </w:pPr>
            <w:r w:rsidRPr="000E5487">
              <w:rPr>
                <w:rFonts w:ascii="Times New Roman" w:hAnsi="Times New Roman"/>
                <w:sz w:val="20"/>
                <w:szCs w:val="20"/>
                <w:lang w:val="en-US"/>
              </w:rPr>
              <w:t xml:space="preserve">Modelo CAPM - </w:t>
            </w:r>
            <w:r w:rsidRPr="000E5487">
              <w:rPr>
                <w:rFonts w:ascii="Times New Roman" w:hAnsi="Times New Roman"/>
                <w:i/>
                <w:iCs/>
                <w:sz w:val="20"/>
                <w:szCs w:val="20"/>
                <w:lang w:val="en-US"/>
              </w:rPr>
              <w:t>Capital Asset Pricing Model</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20</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86,96%</w:t>
            </w:r>
          </w:p>
        </w:tc>
      </w:tr>
      <w:tr w:rsidR="008E64CA" w:rsidRPr="000E5487" w:rsidTr="00F0375E">
        <w:trPr>
          <w:trHeight w:val="147"/>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Modelo de Gordon - descontos dos fluxos de dividendos</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4,34%</w:t>
            </w:r>
          </w:p>
        </w:tc>
      </w:tr>
      <w:tr w:rsidR="008E64CA" w:rsidRPr="000E5487" w:rsidTr="00F0375E">
        <w:trPr>
          <w:trHeight w:val="210"/>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 xml:space="preserve">Método de </w:t>
            </w:r>
            <w:r w:rsidR="00901442" w:rsidRPr="000E5487">
              <w:rPr>
                <w:rFonts w:ascii="Times New Roman" w:hAnsi="Times New Roman"/>
                <w:sz w:val="20"/>
                <w:szCs w:val="20"/>
              </w:rPr>
              <w:t>P</w:t>
            </w:r>
            <w:r w:rsidRPr="000E5487">
              <w:rPr>
                <w:rFonts w:ascii="Times New Roman" w:hAnsi="Times New Roman"/>
                <w:sz w:val="20"/>
                <w:szCs w:val="20"/>
              </w:rPr>
              <w:t xml:space="preserve">recificação por </w:t>
            </w:r>
            <w:r w:rsidR="00901442" w:rsidRPr="000E5487">
              <w:rPr>
                <w:rFonts w:ascii="Times New Roman" w:hAnsi="Times New Roman"/>
                <w:sz w:val="20"/>
                <w:szCs w:val="20"/>
              </w:rPr>
              <w:t>A</w:t>
            </w:r>
            <w:r w:rsidRPr="000E5487">
              <w:rPr>
                <w:rFonts w:ascii="Times New Roman" w:hAnsi="Times New Roman"/>
                <w:sz w:val="20"/>
                <w:szCs w:val="20"/>
              </w:rPr>
              <w:t>rbitragem (APM)</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2</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8,70%</w:t>
            </w:r>
          </w:p>
        </w:tc>
      </w:tr>
      <w:tr w:rsidR="008E64CA" w:rsidRPr="000E5487" w:rsidTr="00F0375E">
        <w:trPr>
          <w:trHeight w:val="109"/>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686" w:type="pct"/>
            <w:tcBorders>
              <w:top w:val="nil"/>
              <w:left w:val="nil"/>
              <w:bottom w:val="nil"/>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23</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8E64CA" w:rsidRPr="000E5487" w:rsidTr="00F0375E">
        <w:trPr>
          <w:trHeight w:val="69"/>
        </w:trPr>
        <w:tc>
          <w:tcPr>
            <w:tcW w:w="90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p>
        </w:tc>
        <w:tc>
          <w:tcPr>
            <w:tcW w:w="686" w:type="pct"/>
            <w:tcBorders>
              <w:top w:val="nil"/>
              <w:left w:val="nil"/>
              <w:bottom w:val="nil"/>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p>
        </w:tc>
      </w:tr>
      <w:tr w:rsidR="008E64CA" w:rsidRPr="000E5487" w:rsidTr="00F0375E">
        <w:trPr>
          <w:trHeight w:val="517"/>
        </w:trPr>
        <w:tc>
          <w:tcPr>
            <w:tcW w:w="905" w:type="pct"/>
            <w:vMerge w:val="restart"/>
            <w:tcBorders>
              <w:top w:val="nil"/>
              <w:left w:val="nil"/>
              <w:bottom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Coeficiente </w:t>
            </w:r>
            <w:r w:rsidR="006D5335" w:rsidRPr="000E5487">
              <w:rPr>
                <w:rFonts w:ascii="Times New Roman" w:hAnsi="Times New Roman"/>
                <w:b/>
                <w:bCs/>
                <w:color w:val="000000"/>
                <w:sz w:val="20"/>
                <w:szCs w:val="20"/>
              </w:rPr>
              <w:t>b</w:t>
            </w:r>
            <w:r w:rsidRPr="000E5487">
              <w:rPr>
                <w:rFonts w:ascii="Times New Roman" w:hAnsi="Times New Roman"/>
                <w:b/>
                <w:bCs/>
                <w:color w:val="000000"/>
                <w:sz w:val="20"/>
                <w:szCs w:val="20"/>
              </w:rPr>
              <w:t>eta</w:t>
            </w: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Pelo cálculo da regressão dos retornos da empresa em relação a uma carteira de mercado</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13</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56,52%</w:t>
            </w:r>
          </w:p>
        </w:tc>
      </w:tr>
      <w:tr w:rsidR="008E64CA" w:rsidRPr="000E5487" w:rsidTr="00F0375E">
        <w:trPr>
          <w:trHeight w:val="302"/>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Pela desalavancagem de um beta de uma empresa comparável</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10</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43,48%</w:t>
            </w:r>
          </w:p>
        </w:tc>
      </w:tr>
      <w:tr w:rsidR="008E64CA" w:rsidRPr="000E5487" w:rsidTr="00F0375E">
        <w:trPr>
          <w:trHeight w:val="141"/>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Total</w:t>
            </w:r>
          </w:p>
        </w:tc>
        <w:tc>
          <w:tcPr>
            <w:tcW w:w="686" w:type="pct"/>
            <w:tcBorders>
              <w:top w:val="nil"/>
              <w:left w:val="nil"/>
              <w:bottom w:val="nil"/>
              <w:right w:val="nil"/>
            </w:tcBorders>
            <w:shd w:val="clear" w:color="000000" w:fill="F2F2F2"/>
            <w:noWrap/>
            <w:vAlign w:val="bottom"/>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23</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8E64CA" w:rsidRPr="000E5487" w:rsidTr="00F0375E">
        <w:trPr>
          <w:trHeight w:val="205"/>
        </w:trPr>
        <w:tc>
          <w:tcPr>
            <w:tcW w:w="90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rPr>
                <w:rFonts w:ascii="Times New Roman" w:hAnsi="Times New Roman"/>
                <w:sz w:val="20"/>
                <w:szCs w:val="20"/>
              </w:rPr>
            </w:pPr>
          </w:p>
        </w:tc>
        <w:tc>
          <w:tcPr>
            <w:tcW w:w="686" w:type="pct"/>
            <w:tcBorders>
              <w:top w:val="nil"/>
              <w:left w:val="nil"/>
              <w:bottom w:val="nil"/>
              <w:right w:val="nil"/>
            </w:tcBorders>
            <w:shd w:val="clear" w:color="auto" w:fill="auto"/>
            <w:noWrap/>
            <w:vAlign w:val="bottom"/>
            <w:hideMark/>
          </w:tcPr>
          <w:p w:rsidR="008E64CA" w:rsidRPr="000E5487" w:rsidRDefault="008E64CA" w:rsidP="00086E90">
            <w:pPr>
              <w:spacing w:after="0" w:line="240" w:lineRule="auto"/>
              <w:jc w:val="center"/>
              <w:rPr>
                <w:rFonts w:ascii="Times New Roman" w:hAnsi="Times New Roman"/>
                <w:b/>
                <w:bCs/>
                <w:color w:val="000000"/>
                <w:sz w:val="20"/>
                <w:szCs w:val="20"/>
              </w:rPr>
            </w:pP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p>
        </w:tc>
      </w:tr>
      <w:tr w:rsidR="008E64CA" w:rsidRPr="000E5487" w:rsidTr="00F0375E">
        <w:trPr>
          <w:trHeight w:val="105"/>
        </w:trPr>
        <w:tc>
          <w:tcPr>
            <w:tcW w:w="905" w:type="pct"/>
            <w:vMerge w:val="restart"/>
            <w:tcBorders>
              <w:top w:val="nil"/>
              <w:left w:val="nil"/>
              <w:bottom w:val="nil"/>
              <w:right w:val="nil"/>
            </w:tcBorders>
            <w:shd w:val="clear" w:color="000000" w:fill="F2F2F2"/>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Taxa </w:t>
            </w:r>
            <w:r w:rsidR="006D5335" w:rsidRPr="000E5487">
              <w:rPr>
                <w:rFonts w:ascii="Times New Roman" w:hAnsi="Times New Roman"/>
                <w:b/>
                <w:bCs/>
                <w:color w:val="000000"/>
                <w:sz w:val="20"/>
                <w:szCs w:val="20"/>
              </w:rPr>
              <w:t>l</w:t>
            </w:r>
            <w:r w:rsidRPr="000E5487">
              <w:rPr>
                <w:rFonts w:ascii="Times New Roman" w:hAnsi="Times New Roman"/>
                <w:b/>
                <w:bCs/>
                <w:color w:val="000000"/>
                <w:sz w:val="20"/>
                <w:szCs w:val="20"/>
              </w:rPr>
              <w:t xml:space="preserve">ivre de </w:t>
            </w:r>
            <w:r w:rsidR="006D5335" w:rsidRPr="000E5487">
              <w:rPr>
                <w:rFonts w:ascii="Times New Roman" w:hAnsi="Times New Roman"/>
                <w:b/>
                <w:bCs/>
                <w:color w:val="000000"/>
                <w:sz w:val="20"/>
                <w:szCs w:val="20"/>
              </w:rPr>
              <w:t>r</w:t>
            </w:r>
            <w:r w:rsidRPr="000E5487">
              <w:rPr>
                <w:rFonts w:ascii="Times New Roman" w:hAnsi="Times New Roman"/>
                <w:b/>
                <w:bCs/>
                <w:color w:val="000000"/>
                <w:sz w:val="20"/>
                <w:szCs w:val="20"/>
              </w:rPr>
              <w:t>isco</w:t>
            </w: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Valor histórico</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2</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8,70%</w:t>
            </w:r>
          </w:p>
        </w:tc>
      </w:tr>
      <w:tr w:rsidR="008E64CA" w:rsidRPr="000E5487" w:rsidTr="00F0375E">
        <w:trPr>
          <w:trHeight w:val="167"/>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Valor de mercado</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7</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30,43%</w:t>
            </w:r>
          </w:p>
        </w:tc>
      </w:tr>
      <w:tr w:rsidR="008E64CA" w:rsidRPr="000E5487" w:rsidTr="00F0375E">
        <w:trPr>
          <w:trHeight w:val="82"/>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Títulos do tesouro americano (T-bonds)</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2</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8,70%</w:t>
            </w:r>
          </w:p>
        </w:tc>
      </w:tr>
      <w:tr w:rsidR="008E64CA" w:rsidRPr="000E5487" w:rsidTr="00F0375E">
        <w:trPr>
          <w:trHeight w:val="144"/>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Taxa SELIC</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12</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52,17%</w:t>
            </w:r>
          </w:p>
        </w:tc>
      </w:tr>
      <w:tr w:rsidR="008E64CA" w:rsidRPr="000E5487" w:rsidTr="00F0375E">
        <w:trPr>
          <w:trHeight w:val="193"/>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686" w:type="pct"/>
            <w:tcBorders>
              <w:top w:val="nil"/>
              <w:left w:val="nil"/>
              <w:bottom w:val="nil"/>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23</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8E64CA" w:rsidRPr="000E5487" w:rsidTr="00F0375E">
        <w:trPr>
          <w:trHeight w:val="214"/>
        </w:trPr>
        <w:tc>
          <w:tcPr>
            <w:tcW w:w="90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p>
        </w:tc>
        <w:tc>
          <w:tcPr>
            <w:tcW w:w="686" w:type="pct"/>
            <w:tcBorders>
              <w:top w:val="nil"/>
              <w:left w:val="nil"/>
              <w:bottom w:val="nil"/>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p>
        </w:tc>
      </w:tr>
      <w:tr w:rsidR="008E64CA" w:rsidRPr="000E5487" w:rsidTr="00F0375E">
        <w:trPr>
          <w:trHeight w:val="154"/>
        </w:trPr>
        <w:tc>
          <w:tcPr>
            <w:tcW w:w="905" w:type="pct"/>
            <w:vMerge w:val="restart"/>
            <w:tcBorders>
              <w:top w:val="nil"/>
              <w:left w:val="nil"/>
              <w:bottom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Risco </w:t>
            </w:r>
            <w:r w:rsidR="006D5335" w:rsidRPr="000E5487">
              <w:rPr>
                <w:rFonts w:ascii="Times New Roman" w:hAnsi="Times New Roman"/>
                <w:b/>
                <w:bCs/>
                <w:color w:val="000000"/>
                <w:sz w:val="20"/>
                <w:szCs w:val="20"/>
              </w:rPr>
              <w:t>p</w:t>
            </w:r>
            <w:r w:rsidRPr="000E5487">
              <w:rPr>
                <w:rFonts w:ascii="Times New Roman" w:hAnsi="Times New Roman"/>
                <w:b/>
                <w:bCs/>
                <w:color w:val="000000"/>
                <w:sz w:val="20"/>
                <w:szCs w:val="20"/>
              </w:rPr>
              <w:t>aís</w:t>
            </w:r>
          </w:p>
        </w:tc>
        <w:tc>
          <w:tcPr>
            <w:tcW w:w="2785" w:type="pct"/>
            <w:tcBorders>
              <w:top w:val="nil"/>
              <w:left w:val="nil"/>
              <w:bottom w:val="nil"/>
              <w:right w:val="nil"/>
            </w:tcBorders>
            <w:shd w:val="clear" w:color="000000" w:fill="F2F2F2"/>
            <w:vAlign w:val="bottom"/>
            <w:hideMark/>
          </w:tcPr>
          <w:p w:rsidR="008E64CA" w:rsidRPr="000E5487" w:rsidRDefault="008E64CA" w:rsidP="00086E90">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Sim</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9</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39,13%</w:t>
            </w:r>
          </w:p>
        </w:tc>
      </w:tr>
      <w:tr w:rsidR="008E64CA" w:rsidRPr="000E5487" w:rsidTr="00F0375E">
        <w:trPr>
          <w:trHeight w:val="218"/>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bottom"/>
            <w:hideMark/>
          </w:tcPr>
          <w:p w:rsidR="008E64CA" w:rsidRPr="000E5487" w:rsidRDefault="008E64CA" w:rsidP="00086E90">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Não</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14</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60,87%</w:t>
            </w:r>
          </w:p>
        </w:tc>
      </w:tr>
      <w:tr w:rsidR="008E64CA" w:rsidRPr="000E5487" w:rsidTr="00F0375E">
        <w:trPr>
          <w:trHeight w:val="117"/>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686" w:type="pct"/>
            <w:tcBorders>
              <w:top w:val="nil"/>
              <w:left w:val="nil"/>
              <w:bottom w:val="nil"/>
              <w:right w:val="nil"/>
            </w:tcBorders>
            <w:shd w:val="clear" w:color="000000" w:fill="F2F2F2"/>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23</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8E64CA" w:rsidRPr="000E5487" w:rsidTr="00F0375E">
        <w:trPr>
          <w:trHeight w:val="69"/>
        </w:trPr>
        <w:tc>
          <w:tcPr>
            <w:tcW w:w="90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p>
        </w:tc>
        <w:tc>
          <w:tcPr>
            <w:tcW w:w="686" w:type="pct"/>
            <w:tcBorders>
              <w:top w:val="nil"/>
              <w:left w:val="nil"/>
              <w:bottom w:val="nil"/>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p>
        </w:tc>
      </w:tr>
      <w:tr w:rsidR="008E64CA" w:rsidRPr="000E5487" w:rsidTr="00F0375E">
        <w:trPr>
          <w:trHeight w:val="228"/>
        </w:trPr>
        <w:tc>
          <w:tcPr>
            <w:tcW w:w="905" w:type="pct"/>
            <w:vMerge w:val="restart"/>
            <w:tcBorders>
              <w:top w:val="nil"/>
              <w:left w:val="nil"/>
              <w:bottom w:val="nil"/>
              <w:right w:val="nil"/>
            </w:tcBorders>
            <w:shd w:val="clear" w:color="000000" w:fill="F2F2F2"/>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Medida de </w:t>
            </w:r>
            <w:r w:rsidR="006D5335" w:rsidRPr="000E5487">
              <w:rPr>
                <w:rFonts w:ascii="Times New Roman" w:hAnsi="Times New Roman"/>
                <w:b/>
                <w:bCs/>
                <w:color w:val="000000"/>
                <w:sz w:val="20"/>
                <w:szCs w:val="20"/>
              </w:rPr>
              <w:t>r</w:t>
            </w:r>
            <w:r w:rsidRPr="000E5487">
              <w:rPr>
                <w:rFonts w:ascii="Times New Roman" w:hAnsi="Times New Roman"/>
                <w:b/>
                <w:bCs/>
                <w:color w:val="000000"/>
                <w:sz w:val="20"/>
                <w:szCs w:val="20"/>
              </w:rPr>
              <w:t xml:space="preserve">isco </w:t>
            </w:r>
            <w:r w:rsidR="006D5335" w:rsidRPr="000E5487">
              <w:rPr>
                <w:rFonts w:ascii="Times New Roman" w:hAnsi="Times New Roman"/>
                <w:b/>
                <w:bCs/>
                <w:color w:val="000000"/>
                <w:sz w:val="20"/>
                <w:szCs w:val="20"/>
              </w:rPr>
              <w:t>p</w:t>
            </w:r>
            <w:r w:rsidRPr="000E5487">
              <w:rPr>
                <w:rFonts w:ascii="Times New Roman" w:hAnsi="Times New Roman"/>
                <w:b/>
                <w:bCs/>
                <w:color w:val="000000"/>
                <w:sz w:val="20"/>
                <w:szCs w:val="20"/>
              </w:rPr>
              <w:t>aís</w:t>
            </w: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Embi+Br</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6</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66,67%</w:t>
            </w:r>
          </w:p>
        </w:tc>
      </w:tr>
      <w:tr w:rsidR="008E64CA" w:rsidRPr="000E5487" w:rsidTr="00F0375E">
        <w:trPr>
          <w:trHeight w:val="143"/>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Credit Default Swap (CDS) do Brasil</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2</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22,22%</w:t>
            </w:r>
          </w:p>
        </w:tc>
      </w:tr>
      <w:tr w:rsidR="008E64CA" w:rsidRPr="000E5487" w:rsidTr="00F0375E">
        <w:trPr>
          <w:trHeight w:val="191"/>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Outros</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11,11%</w:t>
            </w:r>
          </w:p>
        </w:tc>
      </w:tr>
      <w:tr w:rsidR="008E64CA" w:rsidRPr="000E5487" w:rsidTr="00F0375E">
        <w:trPr>
          <w:trHeight w:val="105"/>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9</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8E64CA" w:rsidRPr="000E5487" w:rsidTr="00F0375E">
        <w:trPr>
          <w:trHeight w:val="153"/>
        </w:trPr>
        <w:tc>
          <w:tcPr>
            <w:tcW w:w="905" w:type="pct"/>
            <w:tcBorders>
              <w:top w:val="nil"/>
              <w:left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p>
        </w:tc>
        <w:tc>
          <w:tcPr>
            <w:tcW w:w="2785" w:type="pct"/>
            <w:tcBorders>
              <w:top w:val="nil"/>
              <w:left w:val="nil"/>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p>
        </w:tc>
        <w:tc>
          <w:tcPr>
            <w:tcW w:w="686" w:type="pct"/>
            <w:tcBorders>
              <w:top w:val="nil"/>
              <w:left w:val="nil"/>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p>
        </w:tc>
        <w:tc>
          <w:tcPr>
            <w:tcW w:w="624" w:type="pct"/>
            <w:tcBorders>
              <w:top w:val="nil"/>
              <w:left w:val="nil"/>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p>
        </w:tc>
      </w:tr>
      <w:tr w:rsidR="008E64CA" w:rsidRPr="000E5487" w:rsidTr="00F0375E">
        <w:trPr>
          <w:trHeight w:val="216"/>
        </w:trPr>
        <w:tc>
          <w:tcPr>
            <w:tcW w:w="905" w:type="pct"/>
            <w:vMerge w:val="restart"/>
            <w:tcBorders>
              <w:top w:val="nil"/>
              <w:left w:val="nil"/>
              <w:bottom w:val="nil"/>
              <w:right w:val="nil"/>
            </w:tcBorders>
            <w:shd w:val="clear" w:color="auto" w:fill="auto"/>
            <w:vAlign w:val="center"/>
            <w:hideMark/>
          </w:tcPr>
          <w:p w:rsidR="008E64CA" w:rsidRPr="000E5487" w:rsidRDefault="008E64CA"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Taxa de </w:t>
            </w:r>
            <w:r w:rsidR="006D5335" w:rsidRPr="000E5487">
              <w:rPr>
                <w:rFonts w:ascii="Times New Roman" w:hAnsi="Times New Roman"/>
                <w:b/>
                <w:bCs/>
                <w:color w:val="000000"/>
                <w:sz w:val="20"/>
                <w:szCs w:val="20"/>
              </w:rPr>
              <w:t>r</w:t>
            </w:r>
            <w:r w:rsidRPr="000E5487">
              <w:rPr>
                <w:rFonts w:ascii="Times New Roman" w:hAnsi="Times New Roman"/>
                <w:b/>
                <w:bCs/>
                <w:color w:val="000000"/>
                <w:sz w:val="20"/>
                <w:szCs w:val="20"/>
              </w:rPr>
              <w:t xml:space="preserve">etorno da </w:t>
            </w:r>
            <w:r w:rsidR="006D5335" w:rsidRPr="000E5487">
              <w:rPr>
                <w:rFonts w:ascii="Times New Roman" w:hAnsi="Times New Roman"/>
                <w:b/>
                <w:bCs/>
                <w:color w:val="000000"/>
                <w:sz w:val="20"/>
                <w:szCs w:val="20"/>
              </w:rPr>
              <w:t>c</w:t>
            </w:r>
            <w:r w:rsidRPr="000E5487">
              <w:rPr>
                <w:rFonts w:ascii="Times New Roman" w:hAnsi="Times New Roman"/>
                <w:b/>
                <w:bCs/>
                <w:color w:val="000000"/>
                <w:sz w:val="20"/>
                <w:szCs w:val="20"/>
              </w:rPr>
              <w:t xml:space="preserve">arteira de </w:t>
            </w:r>
            <w:r w:rsidR="006D5335" w:rsidRPr="000E5487">
              <w:rPr>
                <w:rFonts w:ascii="Times New Roman" w:hAnsi="Times New Roman"/>
                <w:b/>
                <w:bCs/>
                <w:color w:val="000000"/>
                <w:sz w:val="20"/>
                <w:szCs w:val="20"/>
              </w:rPr>
              <w:t>m</w:t>
            </w:r>
            <w:r w:rsidRPr="000E5487">
              <w:rPr>
                <w:rFonts w:ascii="Times New Roman" w:hAnsi="Times New Roman"/>
                <w:b/>
                <w:bCs/>
                <w:color w:val="000000"/>
                <w:sz w:val="20"/>
                <w:szCs w:val="20"/>
              </w:rPr>
              <w:t>ercado</w:t>
            </w: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Ibovespa</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14</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60,87%</w:t>
            </w:r>
          </w:p>
        </w:tc>
      </w:tr>
      <w:tr w:rsidR="008E64CA" w:rsidRPr="000E5487" w:rsidTr="00F0375E">
        <w:trPr>
          <w:trHeight w:val="115"/>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auto" w:fill="auto"/>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IBrX</w:t>
            </w:r>
          </w:p>
        </w:tc>
        <w:tc>
          <w:tcPr>
            <w:tcW w:w="686" w:type="pct"/>
            <w:tcBorders>
              <w:top w:val="nil"/>
              <w:left w:val="nil"/>
              <w:bottom w:val="nil"/>
              <w:right w:val="nil"/>
            </w:tcBorders>
            <w:shd w:val="clear" w:color="auto" w:fill="auto"/>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7</w:t>
            </w:r>
          </w:p>
        </w:tc>
        <w:tc>
          <w:tcPr>
            <w:tcW w:w="624" w:type="pct"/>
            <w:tcBorders>
              <w:top w:val="nil"/>
              <w:left w:val="nil"/>
              <w:bottom w:val="nil"/>
              <w:right w:val="nil"/>
            </w:tcBorders>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30,43%</w:t>
            </w:r>
          </w:p>
        </w:tc>
      </w:tr>
      <w:tr w:rsidR="008E64CA" w:rsidRPr="000E5487" w:rsidTr="00F0375E">
        <w:trPr>
          <w:trHeight w:val="178"/>
        </w:trPr>
        <w:tc>
          <w:tcPr>
            <w:tcW w:w="905" w:type="pct"/>
            <w:vMerge/>
            <w:tcBorders>
              <w:top w:val="nil"/>
              <w:left w:val="nil"/>
              <w:bottom w:val="nil"/>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rPr>
                <w:rFonts w:ascii="Times New Roman" w:hAnsi="Times New Roman"/>
                <w:sz w:val="20"/>
                <w:szCs w:val="20"/>
              </w:rPr>
            </w:pPr>
            <w:r w:rsidRPr="000E5487">
              <w:rPr>
                <w:rFonts w:ascii="Times New Roman" w:hAnsi="Times New Roman"/>
                <w:sz w:val="20"/>
                <w:szCs w:val="20"/>
              </w:rPr>
              <w:t>Outros</w:t>
            </w:r>
          </w:p>
        </w:tc>
        <w:tc>
          <w:tcPr>
            <w:tcW w:w="686" w:type="pct"/>
            <w:tcBorders>
              <w:top w:val="nil"/>
              <w:left w:val="nil"/>
              <w:bottom w:val="nil"/>
              <w:right w:val="nil"/>
            </w:tcBorders>
            <w:shd w:val="clear" w:color="000000" w:fill="F2F2F2"/>
            <w:vAlign w:val="center"/>
            <w:hideMark/>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2</w:t>
            </w:r>
          </w:p>
        </w:tc>
        <w:tc>
          <w:tcPr>
            <w:tcW w:w="624" w:type="pct"/>
            <w:tcBorders>
              <w:top w:val="nil"/>
              <w:left w:val="nil"/>
              <w:bottom w:val="nil"/>
              <w:right w:val="nil"/>
            </w:tcBorders>
            <w:shd w:val="clear" w:color="000000" w:fill="F2F2F2"/>
            <w:vAlign w:val="center"/>
          </w:tcPr>
          <w:p w:rsidR="008E64CA" w:rsidRPr="000E5487" w:rsidRDefault="008E64CA" w:rsidP="00086E90">
            <w:pPr>
              <w:spacing w:after="0" w:line="240" w:lineRule="auto"/>
              <w:jc w:val="center"/>
              <w:rPr>
                <w:rFonts w:ascii="Times New Roman" w:hAnsi="Times New Roman"/>
                <w:bCs/>
                <w:color w:val="000000"/>
                <w:sz w:val="20"/>
                <w:szCs w:val="20"/>
              </w:rPr>
            </w:pPr>
            <w:r w:rsidRPr="000E5487">
              <w:rPr>
                <w:rFonts w:ascii="Times New Roman" w:hAnsi="Times New Roman"/>
                <w:bCs/>
                <w:color w:val="000000"/>
                <w:sz w:val="20"/>
                <w:szCs w:val="20"/>
              </w:rPr>
              <w:t>8,70%</w:t>
            </w:r>
          </w:p>
        </w:tc>
      </w:tr>
      <w:tr w:rsidR="008E64CA" w:rsidRPr="000E5487" w:rsidTr="00F0375E">
        <w:trPr>
          <w:trHeight w:val="77"/>
        </w:trPr>
        <w:tc>
          <w:tcPr>
            <w:tcW w:w="905" w:type="pct"/>
            <w:vMerge/>
            <w:tcBorders>
              <w:top w:val="nil"/>
              <w:left w:val="nil"/>
              <w:bottom w:val="single" w:sz="4" w:space="0" w:color="auto"/>
              <w:right w:val="nil"/>
            </w:tcBorders>
            <w:vAlign w:val="center"/>
            <w:hideMark/>
          </w:tcPr>
          <w:p w:rsidR="008E64CA" w:rsidRPr="000E5487" w:rsidRDefault="008E64CA" w:rsidP="00086E90">
            <w:pPr>
              <w:spacing w:after="0" w:line="240" w:lineRule="auto"/>
              <w:ind w:firstLine="2"/>
              <w:rPr>
                <w:rFonts w:ascii="Times New Roman" w:hAnsi="Times New Roman"/>
                <w:b/>
                <w:bCs/>
                <w:color w:val="000000"/>
                <w:sz w:val="20"/>
                <w:szCs w:val="20"/>
              </w:rPr>
            </w:pPr>
          </w:p>
        </w:tc>
        <w:tc>
          <w:tcPr>
            <w:tcW w:w="2785" w:type="pct"/>
            <w:tcBorders>
              <w:top w:val="nil"/>
              <w:left w:val="nil"/>
              <w:bottom w:val="single" w:sz="4" w:space="0" w:color="auto"/>
              <w:right w:val="nil"/>
            </w:tcBorders>
            <w:shd w:val="clear" w:color="auto" w:fill="auto"/>
            <w:vAlign w:val="center"/>
            <w:hideMark/>
          </w:tcPr>
          <w:p w:rsidR="008E64CA" w:rsidRPr="000E5487" w:rsidRDefault="008E64CA"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686" w:type="pct"/>
            <w:tcBorders>
              <w:top w:val="nil"/>
              <w:left w:val="nil"/>
              <w:bottom w:val="single" w:sz="4" w:space="0" w:color="auto"/>
              <w:right w:val="nil"/>
            </w:tcBorders>
            <w:shd w:val="clear" w:color="auto" w:fill="auto"/>
            <w:noWrap/>
            <w:vAlign w:val="center"/>
            <w:hideMark/>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23</w:t>
            </w:r>
          </w:p>
        </w:tc>
        <w:tc>
          <w:tcPr>
            <w:tcW w:w="624" w:type="pct"/>
            <w:tcBorders>
              <w:top w:val="nil"/>
              <w:left w:val="nil"/>
              <w:bottom w:val="single" w:sz="4" w:space="0" w:color="auto"/>
              <w:right w:val="nil"/>
            </w:tcBorders>
            <w:vAlign w:val="center"/>
          </w:tcPr>
          <w:p w:rsidR="008E64CA" w:rsidRPr="000E5487" w:rsidRDefault="008E64CA"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bl>
    <w:p w:rsidR="00F0375E" w:rsidRDefault="00F0375E" w:rsidP="00B747D7">
      <w:pPr>
        <w:spacing w:after="0" w:line="240" w:lineRule="auto"/>
        <w:ind w:firstLine="709"/>
        <w:jc w:val="both"/>
        <w:rPr>
          <w:rFonts w:ascii="Times New Roman" w:hAnsi="Times New Roman"/>
          <w:szCs w:val="24"/>
        </w:rPr>
      </w:pPr>
    </w:p>
    <w:p w:rsidR="00C727C6" w:rsidRDefault="00C168B5" w:rsidP="00B747D7">
      <w:pPr>
        <w:spacing w:after="0" w:line="240" w:lineRule="auto"/>
        <w:ind w:firstLine="709"/>
        <w:jc w:val="both"/>
        <w:rPr>
          <w:rFonts w:ascii="Times New Roman" w:hAnsi="Times New Roman"/>
          <w:szCs w:val="24"/>
        </w:rPr>
      </w:pPr>
      <w:r w:rsidRPr="000E5487">
        <w:rPr>
          <w:rFonts w:ascii="Times New Roman" w:hAnsi="Times New Roman"/>
          <w:szCs w:val="24"/>
        </w:rPr>
        <w:t xml:space="preserve">Observa-se que o Modelo CAPM é o mais utilizado na estimativa do </w:t>
      </w:r>
      <w:r w:rsidR="00CB3055" w:rsidRPr="000E5487">
        <w:rPr>
          <w:rFonts w:ascii="Times New Roman" w:hAnsi="Times New Roman"/>
          <w:szCs w:val="24"/>
        </w:rPr>
        <w:t>c</w:t>
      </w:r>
      <w:r w:rsidRPr="000E5487">
        <w:rPr>
          <w:rFonts w:ascii="Times New Roman" w:hAnsi="Times New Roman"/>
          <w:szCs w:val="24"/>
        </w:rPr>
        <w:t xml:space="preserve">usto do </w:t>
      </w:r>
      <w:r w:rsidR="00CB3055" w:rsidRPr="000E5487">
        <w:rPr>
          <w:rFonts w:ascii="Times New Roman" w:hAnsi="Times New Roman"/>
          <w:szCs w:val="24"/>
        </w:rPr>
        <w:t>c</w:t>
      </w:r>
      <w:r w:rsidRPr="000E5487">
        <w:rPr>
          <w:rFonts w:ascii="Times New Roman" w:hAnsi="Times New Roman"/>
          <w:szCs w:val="24"/>
        </w:rPr>
        <w:t xml:space="preserve">apital </w:t>
      </w:r>
      <w:r w:rsidR="00CB3055" w:rsidRPr="000E5487">
        <w:rPr>
          <w:rFonts w:ascii="Times New Roman" w:hAnsi="Times New Roman"/>
          <w:szCs w:val="24"/>
        </w:rPr>
        <w:t>p</w:t>
      </w:r>
      <w:r w:rsidRPr="000E5487">
        <w:rPr>
          <w:rFonts w:ascii="Times New Roman" w:hAnsi="Times New Roman"/>
          <w:szCs w:val="24"/>
        </w:rPr>
        <w:t xml:space="preserve">róprio das empresas </w:t>
      </w:r>
      <w:r w:rsidR="00390949" w:rsidRPr="000E5487">
        <w:rPr>
          <w:rFonts w:ascii="Times New Roman" w:hAnsi="Times New Roman"/>
          <w:szCs w:val="24"/>
        </w:rPr>
        <w:t>pesquisadas.</w:t>
      </w:r>
      <w:r w:rsidRPr="000E5487">
        <w:rPr>
          <w:rFonts w:ascii="Times New Roman" w:hAnsi="Times New Roman"/>
          <w:szCs w:val="24"/>
        </w:rPr>
        <w:t xml:space="preserve"> O coeficiente beta é obtido pelo cálculo da regressão dos retornos da empresa em relação a uma carteira de mercado e</w:t>
      </w:r>
      <w:r w:rsidR="00705E3D" w:rsidRPr="000E5487">
        <w:rPr>
          <w:rFonts w:ascii="Times New Roman" w:hAnsi="Times New Roman"/>
          <w:szCs w:val="24"/>
        </w:rPr>
        <w:t>,</w:t>
      </w:r>
      <w:r w:rsidRPr="000E5487">
        <w:rPr>
          <w:rFonts w:ascii="Times New Roman" w:hAnsi="Times New Roman"/>
          <w:szCs w:val="24"/>
        </w:rPr>
        <w:t xml:space="preserve"> também pela desalavancagem de um beta de uma empresa comparável. </w:t>
      </w:r>
      <w:r w:rsidR="009D70CE" w:rsidRPr="000E5487">
        <w:rPr>
          <w:rFonts w:ascii="Times New Roman" w:hAnsi="Times New Roman"/>
          <w:szCs w:val="24"/>
        </w:rPr>
        <w:t xml:space="preserve">Quanto </w:t>
      </w:r>
      <w:r w:rsidR="00F42BA2" w:rsidRPr="000E5487">
        <w:rPr>
          <w:rFonts w:ascii="Times New Roman" w:hAnsi="Times New Roman"/>
          <w:szCs w:val="24"/>
        </w:rPr>
        <w:t>à</w:t>
      </w:r>
      <w:r w:rsidR="009D70CE" w:rsidRPr="000E5487">
        <w:rPr>
          <w:rFonts w:ascii="Times New Roman" w:hAnsi="Times New Roman"/>
          <w:szCs w:val="24"/>
        </w:rPr>
        <w:t xml:space="preserve"> taxa livre de risco</w:t>
      </w:r>
      <w:r w:rsidR="00705E3D" w:rsidRPr="000E5487">
        <w:rPr>
          <w:rFonts w:ascii="Times New Roman" w:hAnsi="Times New Roman"/>
          <w:szCs w:val="24"/>
        </w:rPr>
        <w:t>,</w:t>
      </w:r>
      <w:r w:rsidR="009D70CE" w:rsidRPr="000E5487">
        <w:rPr>
          <w:rFonts w:ascii="Times New Roman" w:hAnsi="Times New Roman"/>
          <w:szCs w:val="24"/>
        </w:rPr>
        <w:t xml:space="preserve"> a maioria dos respondentes utiliza a </w:t>
      </w:r>
      <w:r w:rsidR="00CB3055" w:rsidRPr="000E5487">
        <w:rPr>
          <w:rFonts w:ascii="Times New Roman" w:hAnsi="Times New Roman"/>
          <w:szCs w:val="24"/>
        </w:rPr>
        <w:t>t</w:t>
      </w:r>
      <w:r w:rsidR="009D70CE" w:rsidRPr="000E5487">
        <w:rPr>
          <w:rFonts w:ascii="Times New Roman" w:hAnsi="Times New Roman"/>
          <w:szCs w:val="24"/>
        </w:rPr>
        <w:t>axa Selic.</w:t>
      </w:r>
      <w:r w:rsidR="00943CE5" w:rsidRPr="000E5487">
        <w:rPr>
          <w:rFonts w:ascii="Times New Roman" w:hAnsi="Times New Roman"/>
          <w:szCs w:val="24"/>
        </w:rPr>
        <w:t xml:space="preserve"> A</w:t>
      </w:r>
      <w:r w:rsidR="00705E3D" w:rsidRPr="000E5487">
        <w:rPr>
          <w:rFonts w:ascii="Times New Roman" w:hAnsi="Times New Roman"/>
          <w:szCs w:val="24"/>
        </w:rPr>
        <w:t>o mesmo tempo essa</w:t>
      </w:r>
      <w:r w:rsidR="00943CE5" w:rsidRPr="000E5487">
        <w:rPr>
          <w:rFonts w:ascii="Times New Roman" w:hAnsi="Times New Roman"/>
          <w:szCs w:val="24"/>
        </w:rPr>
        <w:t xml:space="preserve"> maioria não utiliza o risco país na estimativa do custo do capital próprio, e os que </w:t>
      </w:r>
      <w:r w:rsidR="00F42BA2" w:rsidRPr="000E5487">
        <w:rPr>
          <w:rFonts w:ascii="Times New Roman" w:hAnsi="Times New Roman"/>
          <w:szCs w:val="24"/>
        </w:rPr>
        <w:t xml:space="preserve">o </w:t>
      </w:r>
      <w:r w:rsidR="00943CE5" w:rsidRPr="000E5487">
        <w:rPr>
          <w:rFonts w:ascii="Times New Roman" w:hAnsi="Times New Roman"/>
          <w:szCs w:val="24"/>
        </w:rPr>
        <w:t>utilizam</w:t>
      </w:r>
      <w:r w:rsidR="00F42BA2" w:rsidRPr="000E5487">
        <w:rPr>
          <w:rFonts w:ascii="Times New Roman" w:hAnsi="Times New Roman"/>
          <w:szCs w:val="24"/>
        </w:rPr>
        <w:t>,</w:t>
      </w:r>
      <w:r w:rsidR="00943CE5" w:rsidRPr="000E5487">
        <w:rPr>
          <w:rFonts w:ascii="Times New Roman" w:hAnsi="Times New Roman"/>
          <w:szCs w:val="24"/>
        </w:rPr>
        <w:t xml:space="preserve"> adotam o Embi+Br calculado pelo Banco J.P. Morgan.</w:t>
      </w:r>
      <w:r w:rsidR="00DF7BA3" w:rsidRPr="000E5487">
        <w:rPr>
          <w:rFonts w:ascii="Times New Roman" w:hAnsi="Times New Roman"/>
          <w:szCs w:val="24"/>
        </w:rPr>
        <w:t xml:space="preserve"> Com relação </w:t>
      </w:r>
      <w:r w:rsidR="00AB773B" w:rsidRPr="000E5487">
        <w:rPr>
          <w:rFonts w:ascii="Times New Roman" w:hAnsi="Times New Roman"/>
          <w:szCs w:val="24"/>
        </w:rPr>
        <w:t>à</w:t>
      </w:r>
      <w:r w:rsidR="00DF7BA3" w:rsidRPr="000E5487">
        <w:rPr>
          <w:rFonts w:ascii="Times New Roman" w:hAnsi="Times New Roman"/>
          <w:szCs w:val="24"/>
        </w:rPr>
        <w:t xml:space="preserve"> </w:t>
      </w:r>
      <w:r w:rsidR="00CB3055" w:rsidRPr="000E5487">
        <w:rPr>
          <w:rFonts w:ascii="Times New Roman" w:hAnsi="Times New Roman"/>
          <w:szCs w:val="24"/>
        </w:rPr>
        <w:t>t</w:t>
      </w:r>
      <w:r w:rsidR="00DF7BA3" w:rsidRPr="000E5487">
        <w:rPr>
          <w:rFonts w:ascii="Times New Roman" w:hAnsi="Times New Roman"/>
          <w:szCs w:val="24"/>
        </w:rPr>
        <w:t xml:space="preserve">axa de </w:t>
      </w:r>
      <w:r w:rsidR="00CB3055" w:rsidRPr="000E5487">
        <w:rPr>
          <w:rFonts w:ascii="Times New Roman" w:hAnsi="Times New Roman"/>
          <w:szCs w:val="24"/>
        </w:rPr>
        <w:t>r</w:t>
      </w:r>
      <w:r w:rsidR="00DF7BA3" w:rsidRPr="000E5487">
        <w:rPr>
          <w:rFonts w:ascii="Times New Roman" w:hAnsi="Times New Roman"/>
          <w:szCs w:val="24"/>
        </w:rPr>
        <w:t xml:space="preserve">etorno da </w:t>
      </w:r>
      <w:r w:rsidR="00CB3055" w:rsidRPr="000E5487">
        <w:rPr>
          <w:rFonts w:ascii="Times New Roman" w:hAnsi="Times New Roman"/>
          <w:szCs w:val="24"/>
        </w:rPr>
        <w:t>c</w:t>
      </w:r>
      <w:r w:rsidR="00DF7BA3" w:rsidRPr="000E5487">
        <w:rPr>
          <w:rFonts w:ascii="Times New Roman" w:hAnsi="Times New Roman"/>
          <w:szCs w:val="24"/>
        </w:rPr>
        <w:t xml:space="preserve">arteira de </w:t>
      </w:r>
      <w:r w:rsidR="00CB3055" w:rsidRPr="000E5487">
        <w:rPr>
          <w:rFonts w:ascii="Times New Roman" w:hAnsi="Times New Roman"/>
          <w:szCs w:val="24"/>
        </w:rPr>
        <w:t>m</w:t>
      </w:r>
      <w:r w:rsidR="00DF7BA3" w:rsidRPr="000E5487">
        <w:rPr>
          <w:rFonts w:ascii="Times New Roman" w:hAnsi="Times New Roman"/>
          <w:szCs w:val="24"/>
        </w:rPr>
        <w:t xml:space="preserve">ercado predomina a utilização do Índice Ibovespa. </w:t>
      </w:r>
    </w:p>
    <w:p w:rsidR="008E63BF" w:rsidRPr="000E5487" w:rsidRDefault="008E63BF" w:rsidP="008E63BF">
      <w:pPr>
        <w:spacing w:after="0" w:line="240" w:lineRule="auto"/>
        <w:ind w:firstLine="709"/>
        <w:jc w:val="both"/>
        <w:rPr>
          <w:rFonts w:ascii="Times New Roman" w:hAnsi="Times New Roman"/>
          <w:szCs w:val="24"/>
        </w:rPr>
      </w:pPr>
      <w:r w:rsidRPr="000E5487">
        <w:rPr>
          <w:rFonts w:ascii="Times New Roman" w:hAnsi="Times New Roman"/>
          <w:noProof/>
          <w:szCs w:val="24"/>
        </w:rPr>
        <w:t xml:space="preserve">Ao analisar os detalhes das escolhas contábeis na construção das taxas de desconto, nota-se que para estimar o custo do capital próprio, o modelo CAPM é o mais utilizado, inclusive pelos profissionais que utilizam o WACC, corroborando os estudos de </w:t>
      </w:r>
      <w:r>
        <w:rPr>
          <w:rFonts w:ascii="Times New Roman" w:hAnsi="Times New Roman"/>
          <w:noProof/>
          <w:szCs w:val="24"/>
        </w:rPr>
        <w:fldChar w:fldCharType="begin" w:fldLock="1"/>
      </w:r>
      <w:r>
        <w:rPr>
          <w:rFonts w:ascii="Times New Roman" w:hAnsi="Times New Roman"/>
          <w:noProof/>
          <w:szCs w:val="24"/>
        </w:rPr>
        <w:instrText>ADDIN CSL_CITATION {"citationItems":[{"id":"ITEM-1","itemData":{"ISBN":"3058322070","author":[{"dropping-particle":"","family":"Blank","given":"Frances Fischberg","non-dropping-particle":"","parse-names":false,"suffix":""},{"dropping-particle":"","family":"Samanez","given":"Carlos Patricio","non-dropping-particle":"","parse-names":false,"suffix":""},{"dropping-particle":"","family":"Baidya","given":"Tara Keshar Nanda","non-dropping-particle":"","parse-names":false,"suffix":""},{"dropping-particle":"","family":"Aiube","given":"Fernando Antonio Lucena","non-dropping-particle":"","parse-names":false,"suffix":""}],"container-title":"Revista Brasileira de Finanças","id":"ITEM-1","issue":"2","issued":{"date-parts":[["2014"]]},"page":"163-199","title":"CAPM Condicional: Betas Variantes no Tempo no Mercado Brasileiro","type":"article-journal","volume":"12"},"uris":["http://www.mendeley.com/documents/?uuid=53c961ee-86e7-4313-9dc5-145da359b8d4"]}],"mendeley":{"formattedCitation":"(BLANK et al., 2014)","manualFormatting":"Blank et al. (2014)","plainTextFormattedCitation":"(BLANK et al., 2014)","previouslyFormattedCitation":"(BLANK et al., 2014)"},"properties":{"noteIndex":0},"schema":"https://github.com/citation-style-language/schema/raw/master/csl-citation.json"}</w:instrText>
      </w:r>
      <w:r>
        <w:rPr>
          <w:rFonts w:ascii="Times New Roman" w:hAnsi="Times New Roman"/>
          <w:noProof/>
          <w:szCs w:val="24"/>
        </w:rPr>
        <w:fldChar w:fldCharType="separate"/>
      </w:r>
      <w:r w:rsidRPr="005F29B6">
        <w:rPr>
          <w:rFonts w:ascii="Times New Roman" w:hAnsi="Times New Roman"/>
          <w:noProof/>
          <w:szCs w:val="24"/>
        </w:rPr>
        <w:t xml:space="preserve">Blank </w:t>
      </w:r>
      <w:r>
        <w:rPr>
          <w:rFonts w:ascii="Times New Roman" w:hAnsi="Times New Roman"/>
          <w:noProof/>
          <w:szCs w:val="24"/>
        </w:rPr>
        <w:t>et al.</w:t>
      </w:r>
      <w:r w:rsidRPr="005F29B6">
        <w:rPr>
          <w:rFonts w:ascii="Times New Roman" w:hAnsi="Times New Roman"/>
          <w:noProof/>
          <w:szCs w:val="24"/>
        </w:rPr>
        <w:t xml:space="preserve"> </w:t>
      </w:r>
      <w:r>
        <w:rPr>
          <w:rFonts w:ascii="Times New Roman" w:hAnsi="Times New Roman"/>
          <w:noProof/>
          <w:szCs w:val="24"/>
        </w:rPr>
        <w:t>(</w:t>
      </w:r>
      <w:r w:rsidRPr="005F29B6">
        <w:rPr>
          <w:rFonts w:ascii="Times New Roman" w:hAnsi="Times New Roman"/>
          <w:noProof/>
          <w:szCs w:val="24"/>
        </w:rPr>
        <w:t>2014)</w:t>
      </w:r>
      <w:r>
        <w:rPr>
          <w:rFonts w:ascii="Times New Roman" w:hAnsi="Times New Roman"/>
          <w:noProof/>
          <w:szCs w:val="24"/>
        </w:rPr>
        <w:fldChar w:fldCharType="end"/>
      </w:r>
      <w:r>
        <w:rPr>
          <w:rFonts w:ascii="Times New Roman" w:hAnsi="Times New Roman"/>
          <w:noProof/>
          <w:szCs w:val="24"/>
        </w:rPr>
        <w:t xml:space="preserve"> </w:t>
      </w:r>
      <w:r w:rsidRPr="000E5487">
        <w:rPr>
          <w:rFonts w:ascii="Times New Roman" w:hAnsi="Times New Roman"/>
          <w:noProof/>
          <w:szCs w:val="24"/>
        </w:rPr>
        <w:t xml:space="preserve">e </w:t>
      </w:r>
      <w:r>
        <w:rPr>
          <w:rFonts w:ascii="Times New Roman" w:hAnsi="Times New Roman"/>
          <w:noProof/>
          <w:szCs w:val="24"/>
        </w:rPr>
        <w:fldChar w:fldCharType="begin" w:fldLock="1"/>
      </w:r>
      <w:r>
        <w:rPr>
          <w:rFonts w:ascii="Times New Roman" w:hAnsi="Times New Roman"/>
          <w:noProof/>
          <w:szCs w:val="24"/>
        </w:rPr>
        <w:instrText>ADDIN CSL_CITATION {"citationItems":[{"id":"ITEM-1","itemData":{"DOI":"10.1016/S0304-405X(01)00044-7","ISBN":"0304405X","ISSN":"0304405X","PMID":"59332686","abstract":"We survey 392 CFOs about the cost of capital, capital budgeting, and capital structure. Large firms rely heavily on present value techniques and the capital asset pricing model, while small firms are relatively likely to use the payback criterion. A surprising number of firms use firm risk rather than project risk in evaluating new investments. Firms are concerned about financial flexibility and credit ratings when issuing debt, and earnings per share dilution and recent stock price appreciation when issuing equity. We find some support for the pecking-order and trade-off capital structure hypotheses but little evidence that executives are concerned about asset substitution, asymmetric information, transactions costs, free cash flows, or personal taxes.","author":[{"dropping-particle":"","family":"Graham","given":"John R.","non-dropping-particle":"","parse-names":false,"suffix":""},{"dropping-particle":"","family":"Harvey","given":"Campbell R.","non-dropping-particle":"","parse-names":false,"suffix":""}],"container-title":"Journal of Financial Economics","id":"ITEM-1","issue":"2-3","issued":{"date-parts":[["2001","5"]]},"page":"187-243","title":"The theory and practice of corporate finance: evidence from the field","type":"article-journal","volume":"60"},"uris":["http://www.mendeley.com/documents/?uuid=3089ac42-fc0d-4f75-8971-82e01ef70819"]}],"mendeley":{"formattedCitation":"(GRAHAM; HARVEY, 2001)","manualFormatting":"Graham e Harvey (2001)","plainTextFormattedCitation":"(GRAHAM; HARVEY, 2001)","previouslyFormattedCitation":"(GRAHAM; HARVEY, 2001)"},"properties":{"noteIndex":0},"schema":"https://github.com/citation-style-language/schema/raw/master/csl-citation.json"}</w:instrText>
      </w:r>
      <w:r>
        <w:rPr>
          <w:rFonts w:ascii="Times New Roman" w:hAnsi="Times New Roman"/>
          <w:noProof/>
          <w:szCs w:val="24"/>
        </w:rPr>
        <w:fldChar w:fldCharType="separate"/>
      </w:r>
      <w:r>
        <w:rPr>
          <w:rFonts w:ascii="Times New Roman" w:hAnsi="Times New Roman"/>
          <w:noProof/>
          <w:szCs w:val="24"/>
        </w:rPr>
        <w:t>Graham e</w:t>
      </w:r>
      <w:r w:rsidRPr="005F29B6">
        <w:rPr>
          <w:rFonts w:ascii="Times New Roman" w:hAnsi="Times New Roman"/>
          <w:noProof/>
          <w:szCs w:val="24"/>
        </w:rPr>
        <w:t xml:space="preserve"> Harvey </w:t>
      </w:r>
      <w:r>
        <w:rPr>
          <w:rFonts w:ascii="Times New Roman" w:hAnsi="Times New Roman"/>
          <w:noProof/>
          <w:szCs w:val="24"/>
        </w:rPr>
        <w:t>(</w:t>
      </w:r>
      <w:r w:rsidRPr="005F29B6">
        <w:rPr>
          <w:rFonts w:ascii="Times New Roman" w:hAnsi="Times New Roman"/>
          <w:noProof/>
          <w:szCs w:val="24"/>
        </w:rPr>
        <w:t>2001)</w:t>
      </w:r>
      <w:r>
        <w:rPr>
          <w:rFonts w:ascii="Times New Roman" w:hAnsi="Times New Roman"/>
          <w:noProof/>
          <w:szCs w:val="24"/>
        </w:rPr>
        <w:fldChar w:fldCharType="end"/>
      </w:r>
      <w:r w:rsidRPr="000E5487">
        <w:rPr>
          <w:rFonts w:ascii="Times New Roman" w:hAnsi="Times New Roman"/>
          <w:noProof/>
          <w:szCs w:val="24"/>
        </w:rPr>
        <w:t xml:space="preserve">. Com relação ao risco sistemático representado pelo beta, </w:t>
      </w:r>
      <w:r w:rsidRPr="000E5487">
        <w:rPr>
          <w:rFonts w:ascii="Times New Roman" w:hAnsi="Times New Roman"/>
          <w:szCs w:val="24"/>
        </w:rPr>
        <w:t>há duas escolhas contábeis significativas; na primeira, determina-se o beta pelo cálculo da regressão dos retornos da empresa em relação a uma carteira de mercado; na segunda, o coeficiente é obtido pela desalavancagem de um beta de uma empresa comparável e, posterior alavancagem na empresa onde se dá a mensuração do ativo biológico; ambas são adequadas desde que sejam divulgadas as bases pelos quais os cálculos são elaborados, conforme orientado pel</w:t>
      </w:r>
      <w:r>
        <w:rPr>
          <w:rFonts w:ascii="Times New Roman" w:hAnsi="Times New Roman"/>
          <w:szCs w:val="24"/>
        </w:rPr>
        <w:t>a</w:t>
      </w:r>
      <w:r w:rsidRPr="000E5487">
        <w:rPr>
          <w:rFonts w:ascii="Times New Roman" w:hAnsi="Times New Roman"/>
          <w:szCs w:val="24"/>
        </w:rPr>
        <w:t xml:space="preserve"> </w:t>
      </w:r>
      <w:r>
        <w:rPr>
          <w:rFonts w:ascii="Times New Roman" w:hAnsi="Times New Roman"/>
          <w:szCs w:val="24"/>
        </w:rPr>
        <w:t>IAS 41</w:t>
      </w:r>
      <w:r w:rsidRPr="000E5487">
        <w:rPr>
          <w:rFonts w:ascii="Times New Roman" w:hAnsi="Times New Roman"/>
          <w:szCs w:val="24"/>
        </w:rPr>
        <w:t xml:space="preserve">. </w:t>
      </w:r>
    </w:p>
    <w:p w:rsidR="008E63BF" w:rsidRPr="000E5487" w:rsidRDefault="008E63BF" w:rsidP="008E63BF">
      <w:pPr>
        <w:spacing w:after="0" w:line="240" w:lineRule="auto"/>
        <w:ind w:firstLine="709"/>
        <w:jc w:val="both"/>
        <w:rPr>
          <w:rFonts w:ascii="Times New Roman" w:hAnsi="Times New Roman"/>
          <w:noProof/>
          <w:szCs w:val="24"/>
        </w:rPr>
      </w:pPr>
      <w:r w:rsidRPr="000E5487">
        <w:rPr>
          <w:rFonts w:ascii="Times New Roman" w:hAnsi="Times New Roman"/>
          <w:szCs w:val="24"/>
        </w:rPr>
        <w:t>Na estimativa do prêmio pelo risco de mercado, a taxa livre de risco mais utilizada é a taxa Selic, entretanto, muitas críticas são feitas a utilização dessa taxa na prática contábil brasileira, por entender-se que os títulos emitidos pelo governo possuem um prêmio pelo risco embutido, além de que “esses títulos soberanos não são efetivamente aceitos como livres de risco pelos mercados financeiros”</w:t>
      </w:r>
      <w:r>
        <w:rPr>
          <w:rFonts w:ascii="Times New Roman" w:hAnsi="Times New Roman"/>
          <w:szCs w:val="24"/>
        </w:rPr>
        <w:t xml:space="preserve"> </w:t>
      </w:r>
      <w:r>
        <w:rPr>
          <w:rFonts w:ascii="Times New Roman" w:hAnsi="Times New Roman"/>
          <w:szCs w:val="24"/>
        </w:rPr>
        <w:fldChar w:fldCharType="begin" w:fldLock="1"/>
      </w:r>
      <w:r>
        <w:rPr>
          <w:rFonts w:ascii="Times New Roman" w:hAnsi="Times New Roman"/>
          <w:szCs w:val="24"/>
        </w:rPr>
        <w:instrText>ADDIN CSL_CITATION {"citationItems":[{"id":"ITEM-1","itemData":{"abstract":"O Capital Asset Princig Model (CAPM) oferece conceitos válidos e aceitos na definição do risco dos ativos. Essa metodologia de cálculo é medida pela relação entre a covariância dos retornos de mercado e da companhia e a variância dos retornos da empresa. Por tratar-se de uma metodologia aplicada em mercados estáveis, as conclusões favoráveis ao CAPM precisam, no entanto, ser reavaliadas em mercados emergentes, como o brasileiro. São discutidos os principais indicadores financeiros do mercado brasileiro e justificada, por meio de fundamentos estatísticos, a inconsistência dos resultados. No estudo, mostrou-se a necessidade de apurar o custo de oportunidade dos investidores brasileiros utilizando o benchmark de uma economia mais estável. O objetivo neste trabalho é sugerir um modelo que utiliza padrões de benchmark, sendo descritos os diversos ajustes necessários ao cálculo do custo de oportunidade dos acionistas das companhias brasileiras. De forma original, o modelo sugerido do custo de capital incorpora, além do risco-país, a volatilidade do mercado acionário brasileiro, demonstrando, portanto, a compatibilidade no desenvolvimento de uma metodologia de cálculo do custo do capital no Brasil.","author":[{"dropping-particle":"","family":"Assaf Neto","given":"Alexandre","non-dropping-particle":"","parse-names":false,"suffix":""},{"dropping-particle":"","family":"Lima","given":"Fabiano Guasti","non-dropping-particle":"","parse-names":false,"suffix":""},{"dropping-particle":"de","family":"Araújo","given":"Adriana Maria Procópio","non-dropping-particle":"","parse-names":false,"suffix":""}],"container-title":"RAUSP – Revista de Administração","id":"ITEM-1","issue":"1","issued":{"date-parts":[["2008"]]},"page":"72-83","title":"Uma proposta metodológica para o cálculo do custo de capital no Brasil","type":"article-journal","volume":"43"},"uris":["http://www.mendeley.com/documents/?uuid=7d16470d-9f62-4954-90cc-98b03c9f8041"]}],"mendeley":{"formattedCitation":"(ASSAF NETO; LIMA; ARAÚJO, 2008)","manualFormatting":"(ASSAF NETO; LIMA; ARAÚJO, 2008, p. 76)","plainTextFormattedCitation":"(ASSAF NETO; LIMA; ARAÚJO, 2008)","previouslyFormattedCitation":"(ASSAF NETO; LIMA; ARAÚJO, 2008)"},"properties":{"noteIndex":0},"schema":"https://github.com/citation-style-language/schema/raw/master/csl-citation.json"}</w:instrText>
      </w:r>
      <w:r>
        <w:rPr>
          <w:rFonts w:ascii="Times New Roman" w:hAnsi="Times New Roman"/>
          <w:szCs w:val="24"/>
        </w:rPr>
        <w:fldChar w:fldCharType="separate"/>
      </w:r>
      <w:r w:rsidRPr="008E1D33">
        <w:rPr>
          <w:rFonts w:ascii="Times New Roman" w:hAnsi="Times New Roman"/>
          <w:noProof/>
          <w:szCs w:val="24"/>
        </w:rPr>
        <w:t>(ASSAF NETO; LIMA; ARAÚJO, 2008</w:t>
      </w:r>
      <w:r>
        <w:rPr>
          <w:rFonts w:ascii="Times New Roman" w:hAnsi="Times New Roman"/>
          <w:noProof/>
          <w:szCs w:val="24"/>
        </w:rPr>
        <w:t>, p. 76</w:t>
      </w:r>
      <w:r w:rsidRPr="008E1D33">
        <w:rPr>
          <w:rFonts w:ascii="Times New Roman" w:hAnsi="Times New Roman"/>
          <w:noProof/>
          <w:szCs w:val="24"/>
        </w:rPr>
        <w:t>)</w:t>
      </w:r>
      <w:r>
        <w:rPr>
          <w:rFonts w:ascii="Times New Roman" w:hAnsi="Times New Roman"/>
          <w:szCs w:val="24"/>
        </w:rPr>
        <w:fldChar w:fldCharType="end"/>
      </w:r>
      <w:r w:rsidRPr="000E5487">
        <w:rPr>
          <w:rFonts w:ascii="Times New Roman" w:hAnsi="Times New Roman"/>
          <w:szCs w:val="24"/>
        </w:rPr>
        <w:t>. Nota-se que apenas dois profissionais afirmam utilizar os papéis emitidos pelo Tesouro do Governo dos Estados Unidos (</w:t>
      </w:r>
      <w:r w:rsidRPr="000E5487">
        <w:rPr>
          <w:rFonts w:ascii="Times New Roman" w:hAnsi="Times New Roman"/>
          <w:i/>
          <w:iCs/>
          <w:szCs w:val="24"/>
        </w:rPr>
        <w:t>T-bond</w:t>
      </w:r>
      <w:r w:rsidRPr="000E5487">
        <w:rPr>
          <w:rFonts w:ascii="Times New Roman" w:hAnsi="Times New Roman"/>
          <w:szCs w:val="24"/>
        </w:rPr>
        <w:t xml:space="preserve">), considerados como de risco zero, conforme sugerido por </w:t>
      </w:r>
      <w:r w:rsidRPr="000E5487">
        <w:rPr>
          <w:rFonts w:ascii="Times New Roman" w:hAnsi="Times New Roman"/>
          <w:szCs w:val="24"/>
        </w:rPr>
        <w:fldChar w:fldCharType="begin" w:fldLock="1"/>
      </w:r>
      <w:r>
        <w:rPr>
          <w:rFonts w:ascii="Times New Roman" w:hAnsi="Times New Roman"/>
          <w:szCs w:val="24"/>
        </w:rPr>
        <w:instrText>ADDIN CSL_CITATION {"citationItems":[{"id":"ITEM-1","itemData":{"abstract":"O Capital Asset Princig Model (CAPM) oferece conceitos válidos e aceitos na definição do risco dos ativos. Essa metodologia de cálculo é medida pela relação entre a covariância dos retornos de mercado e da companhia e a variância dos retornos da empresa. Por tratar-se de uma metodologia aplicada em mercados estáveis, as conclusões favoráveis ao CAPM precisam, no entanto, ser reavaliadas em mercados emergentes, como o brasileiro. São discutidos os principais indicadores financeiros do mercado brasileiro e justificada, por meio de fundamentos estatísticos, a inconsistência dos resultados. No estudo, mostrou-se a necessidade de apurar o custo de oportunidade dos investidores brasileiros utilizando o benchmark de uma economia mais estável. O objetivo neste trabalho é sugerir um modelo que utiliza padrões de benchmark, sendo descritos os diversos ajustes necessários ao cálculo do custo de oportunidade dos acionistas das companhias brasileiras. De forma original, o modelo sugerido do custo de capital incorpora, além do risco-país, a volatilidade do mercado acionário brasileiro, demonstrando, portanto, a compatibilidade no desenvolvimento de uma metodologia de cálculo do custo do capital no Brasil.","author":[{"dropping-particle":"","family":"Assaf Neto","given":"Alexandre","non-dropping-particle":"","parse-names":false,"suffix":""},{"dropping-particle":"","family":"Lima","given":"Fabiano Guasti","non-dropping-particle":"","parse-names":false,"suffix":""},{"dropping-particle":"de","family":"Araújo","given":"Adriana Maria Procópio","non-dropping-particle":"","parse-names":false,"suffix":""}],"container-title":"RAUSP – Revista de Administração","id":"ITEM-1","issue":"1","issued":{"date-parts":[["2008"]]},"page":"72-83","title":"Uma proposta metodológica para o cálculo do custo de capital no Brasil","type":"article-journal","volume":"43"},"uris":["http://www.mendeley.com/documents/?uuid=7d16470d-9f62-4954-90cc-98b03c9f8041"]}],"mendeley":{"formattedCitation":"(ASSAF NETO; LIMA; ARAÚJO, 2008)","manualFormatting":"Assaf Neto, Lima e Araújo (2008)","plainTextFormattedCitation":"(ASSAF NETO; LIMA; ARAÚJO, 2008)","previouslyFormattedCitation":"(ASSAF NETO; LIMA; ARAÚJO, 2008)"},"properties":{"noteIndex":0},"schema":"https://github.com/citation-style-language/schema/raw/master/csl-citation.json"}</w:instrText>
      </w:r>
      <w:r w:rsidRPr="000E5487">
        <w:rPr>
          <w:rFonts w:ascii="Times New Roman" w:hAnsi="Times New Roman"/>
          <w:szCs w:val="24"/>
        </w:rPr>
        <w:fldChar w:fldCharType="separate"/>
      </w:r>
      <w:r w:rsidRPr="00DE4E1B">
        <w:rPr>
          <w:rFonts w:ascii="Times New Roman" w:hAnsi="Times New Roman"/>
          <w:noProof/>
          <w:szCs w:val="24"/>
        </w:rPr>
        <w:t>Assaf Neto</w:t>
      </w:r>
      <w:r>
        <w:rPr>
          <w:rFonts w:ascii="Times New Roman" w:hAnsi="Times New Roman"/>
          <w:noProof/>
          <w:szCs w:val="24"/>
        </w:rPr>
        <w:t>,</w:t>
      </w:r>
      <w:r w:rsidRPr="00DE4E1B">
        <w:rPr>
          <w:rFonts w:ascii="Times New Roman" w:hAnsi="Times New Roman"/>
          <w:noProof/>
          <w:szCs w:val="24"/>
        </w:rPr>
        <w:t xml:space="preserve"> Lima</w:t>
      </w:r>
      <w:r>
        <w:rPr>
          <w:rFonts w:ascii="Times New Roman" w:hAnsi="Times New Roman"/>
          <w:noProof/>
          <w:szCs w:val="24"/>
        </w:rPr>
        <w:t xml:space="preserve"> e</w:t>
      </w:r>
      <w:r w:rsidRPr="00DE4E1B">
        <w:rPr>
          <w:rFonts w:ascii="Times New Roman" w:hAnsi="Times New Roman"/>
          <w:noProof/>
          <w:szCs w:val="24"/>
        </w:rPr>
        <w:t xml:space="preserve"> Araújo </w:t>
      </w:r>
      <w:r>
        <w:rPr>
          <w:rFonts w:ascii="Times New Roman" w:hAnsi="Times New Roman"/>
          <w:noProof/>
          <w:szCs w:val="24"/>
        </w:rPr>
        <w:t>(</w:t>
      </w:r>
      <w:r w:rsidRPr="00DE4E1B">
        <w:rPr>
          <w:rFonts w:ascii="Times New Roman" w:hAnsi="Times New Roman"/>
          <w:noProof/>
          <w:szCs w:val="24"/>
        </w:rPr>
        <w:t>2008)</w:t>
      </w:r>
      <w:r w:rsidRPr="000E5487">
        <w:rPr>
          <w:rFonts w:ascii="Times New Roman" w:hAnsi="Times New Roman"/>
          <w:szCs w:val="24"/>
        </w:rPr>
        <w:fldChar w:fldCharType="end"/>
      </w:r>
      <w:r w:rsidRPr="000E5487">
        <w:rPr>
          <w:rFonts w:ascii="Times New Roman" w:hAnsi="Times New Roman"/>
          <w:szCs w:val="24"/>
        </w:rPr>
        <w:t xml:space="preserve">. Com relação à taxa de retorno da carteira de mercado, </w:t>
      </w:r>
      <w:r>
        <w:rPr>
          <w:rFonts w:ascii="Times New Roman" w:hAnsi="Times New Roman"/>
          <w:szCs w:val="24"/>
        </w:rPr>
        <w:t>a maioria d</w:t>
      </w:r>
      <w:r w:rsidRPr="000E5487">
        <w:rPr>
          <w:rFonts w:ascii="Times New Roman" w:hAnsi="Times New Roman"/>
          <w:szCs w:val="24"/>
        </w:rPr>
        <w:t xml:space="preserve">os respondentes afirmam utilizar o Ibovespa, contudo, de acordo com </w:t>
      </w:r>
      <w:r w:rsidRPr="000E5487">
        <w:rPr>
          <w:rFonts w:ascii="Times New Roman" w:hAnsi="Times New Roman"/>
          <w:szCs w:val="24"/>
        </w:rPr>
        <w:fldChar w:fldCharType="begin" w:fldLock="1"/>
      </w:r>
      <w:r>
        <w:rPr>
          <w:rFonts w:ascii="Times New Roman" w:hAnsi="Times New Roman"/>
          <w:szCs w:val="24"/>
        </w:rPr>
        <w:instrText>ADDIN CSL_CITATION {"citationItems":[{"id":"ITEM-1","itemData":{"abstract":"O Capital Asset Princig Model (CAPM) oferece conceitos válidos e aceitos na definição do risco dos ativos. Essa metodologia de cálculo é medida pela relação entre a covariância dos retornos de mercado e da companhia e a variância dos retornos da empresa. Por tratar-se de uma metodologia aplicada em mercados estáveis, as conclusões favoráveis ao CAPM precisam, no entanto, ser reavaliadas em mercados emergentes, como o brasileiro. São discutidos os principais indicadores financeiros do mercado brasileiro e justificada, por meio de fundamentos estatísticos, a inconsistência dos resultados. No estudo, mostrou-se a necessidade de apurar o custo de oportunidade dos investidores brasileiros utilizando o benchmark de uma economia mais estável. O objetivo neste trabalho é sugerir um modelo que utiliza padrões de benchmark, sendo descritos os diversos ajustes necessários ao cálculo do custo de oportunidade dos acionistas das companhias brasileiras. De forma original, o modelo sugerido do custo de capital incorpora, além do risco-país, a volatilidade do mercado acionário brasileiro, demonstrando, portanto, a compatibilidade no desenvolvimento de uma metodologia de cálculo do custo do capital no Brasil.","author":[{"dropping-particle":"","family":"Assaf Neto","given":"Alexandre","non-dropping-particle":"","parse-names":false,"suffix":""},{"dropping-particle":"","family":"Lima","given":"Fabiano Guasti","non-dropping-particle":"","parse-names":false,"suffix":""},{"dropping-particle":"de","family":"Araújo","given":"Adriana Maria Procópio","non-dropping-particle":"","parse-names":false,"suffix":""}],"container-title":"RAUSP – Revista de Administração","id":"ITEM-1","issue":"1","issued":{"date-parts":[["2008"]]},"page":"72-83","title":"Uma proposta metodológica para o cálculo do custo de capital no Brasil","type":"article-journal","volume":"43"},"uris":["http://www.mendeley.com/documents/?uuid=7d16470d-9f62-4954-90cc-98b03c9f8041"]}],"mendeley":{"formattedCitation":"(ASSAF NETO; LIMA; ARAÚJO, 2008)","manualFormatting":"Assaf Neto, Lima e Araújo (2008)","plainTextFormattedCitation":"(ASSAF NETO; LIMA; ARAÚJO, 2008)","previouslyFormattedCitation":"(ASSAF NETO; LIMA; ARAÚJO, 2008)"},"properties":{"noteIndex":0},"schema":"https://github.com/citation-style-language/schema/raw/master/csl-citation.json"}</w:instrText>
      </w:r>
      <w:r w:rsidRPr="000E5487">
        <w:rPr>
          <w:rFonts w:ascii="Times New Roman" w:hAnsi="Times New Roman"/>
          <w:szCs w:val="24"/>
        </w:rPr>
        <w:fldChar w:fldCharType="separate"/>
      </w:r>
      <w:r w:rsidRPr="00DE4E1B">
        <w:rPr>
          <w:rFonts w:ascii="Times New Roman" w:hAnsi="Times New Roman"/>
          <w:noProof/>
          <w:szCs w:val="24"/>
        </w:rPr>
        <w:t>Assaf Neto</w:t>
      </w:r>
      <w:r>
        <w:rPr>
          <w:rFonts w:ascii="Times New Roman" w:hAnsi="Times New Roman"/>
          <w:noProof/>
          <w:szCs w:val="24"/>
        </w:rPr>
        <w:t>, Lima e</w:t>
      </w:r>
      <w:r w:rsidRPr="00DE4E1B">
        <w:rPr>
          <w:rFonts w:ascii="Times New Roman" w:hAnsi="Times New Roman"/>
          <w:noProof/>
          <w:szCs w:val="24"/>
        </w:rPr>
        <w:t xml:space="preserve"> Araújo </w:t>
      </w:r>
      <w:r>
        <w:rPr>
          <w:rFonts w:ascii="Times New Roman" w:hAnsi="Times New Roman"/>
          <w:noProof/>
          <w:szCs w:val="24"/>
        </w:rPr>
        <w:t>(</w:t>
      </w:r>
      <w:r w:rsidRPr="00DE4E1B">
        <w:rPr>
          <w:rFonts w:ascii="Times New Roman" w:hAnsi="Times New Roman"/>
          <w:noProof/>
          <w:szCs w:val="24"/>
        </w:rPr>
        <w:t>2008)</w:t>
      </w:r>
      <w:r w:rsidRPr="000E5487">
        <w:rPr>
          <w:rFonts w:ascii="Times New Roman" w:hAnsi="Times New Roman"/>
          <w:szCs w:val="24"/>
        </w:rPr>
        <w:fldChar w:fldCharType="end"/>
      </w:r>
      <w:r w:rsidRPr="000E5487">
        <w:rPr>
          <w:rFonts w:ascii="Times New Roman" w:hAnsi="Times New Roman"/>
          <w:szCs w:val="24"/>
        </w:rPr>
        <w:t>, o valor de mercado de uma ação no mercado acionário brasileiro pode ser considerado significativamente defasado, pois há uma forte dispersão em relação aos valores centrais do Ibovespa, além do histórico desajuste do mercado acionário nacional.</w:t>
      </w:r>
    </w:p>
    <w:p w:rsidR="00086E90" w:rsidRDefault="00086E90" w:rsidP="00B747D7">
      <w:pPr>
        <w:spacing w:after="0" w:line="240" w:lineRule="auto"/>
        <w:ind w:firstLine="709"/>
        <w:jc w:val="both"/>
        <w:rPr>
          <w:rFonts w:ascii="Times New Roman" w:hAnsi="Times New Roman"/>
          <w:b/>
          <w:szCs w:val="24"/>
        </w:rPr>
      </w:pPr>
    </w:p>
    <w:p w:rsidR="00792148" w:rsidRPr="000E5487" w:rsidRDefault="008E740C" w:rsidP="00086E90">
      <w:pPr>
        <w:spacing w:after="120" w:line="240" w:lineRule="auto"/>
        <w:jc w:val="both"/>
        <w:rPr>
          <w:rFonts w:ascii="Times New Roman" w:hAnsi="Times New Roman"/>
          <w:b/>
          <w:szCs w:val="24"/>
        </w:rPr>
      </w:pPr>
      <w:r w:rsidRPr="000E5487">
        <w:rPr>
          <w:rFonts w:ascii="Times New Roman" w:hAnsi="Times New Roman"/>
          <w:b/>
          <w:szCs w:val="24"/>
        </w:rPr>
        <w:t>3</w:t>
      </w:r>
      <w:r w:rsidR="00792148" w:rsidRPr="000E5487">
        <w:rPr>
          <w:rFonts w:ascii="Times New Roman" w:hAnsi="Times New Roman"/>
          <w:b/>
          <w:szCs w:val="24"/>
        </w:rPr>
        <w:t>.</w:t>
      </w:r>
      <w:r w:rsidR="008F338F" w:rsidRPr="000E5487">
        <w:rPr>
          <w:rFonts w:ascii="Times New Roman" w:hAnsi="Times New Roman"/>
          <w:b/>
          <w:szCs w:val="24"/>
        </w:rPr>
        <w:t>2</w:t>
      </w:r>
      <w:r w:rsidR="00792148" w:rsidRPr="000E5487">
        <w:rPr>
          <w:rFonts w:ascii="Times New Roman" w:hAnsi="Times New Roman"/>
          <w:b/>
          <w:szCs w:val="24"/>
        </w:rPr>
        <w:t xml:space="preserve">.2 </w:t>
      </w:r>
      <w:r w:rsidR="00147C0E" w:rsidRPr="000E5487">
        <w:rPr>
          <w:rFonts w:ascii="Times New Roman" w:hAnsi="Times New Roman"/>
          <w:b/>
          <w:szCs w:val="24"/>
        </w:rPr>
        <w:t>Escolhas Contábeis relativas à</w:t>
      </w:r>
      <w:r w:rsidR="00903C66">
        <w:rPr>
          <w:rFonts w:ascii="Times New Roman" w:hAnsi="Times New Roman"/>
          <w:b/>
          <w:szCs w:val="24"/>
        </w:rPr>
        <w:t xml:space="preserve"> Quantidade, Preço</w:t>
      </w:r>
      <w:r w:rsidR="00903C66" w:rsidRPr="00903C66">
        <w:rPr>
          <w:rFonts w:ascii="Times New Roman" w:hAnsi="Times New Roman"/>
          <w:b/>
          <w:szCs w:val="24"/>
        </w:rPr>
        <w:t xml:space="preserve"> </w:t>
      </w:r>
      <w:r w:rsidR="00903C66">
        <w:rPr>
          <w:rFonts w:ascii="Times New Roman" w:hAnsi="Times New Roman"/>
          <w:b/>
          <w:szCs w:val="24"/>
        </w:rPr>
        <w:t>e</w:t>
      </w:r>
      <w:r w:rsidR="00147C0E" w:rsidRPr="000E5487">
        <w:rPr>
          <w:rFonts w:ascii="Times New Roman" w:hAnsi="Times New Roman"/>
          <w:b/>
          <w:szCs w:val="24"/>
        </w:rPr>
        <w:t xml:space="preserve"> Horizonte de Projeção </w:t>
      </w:r>
      <w:r w:rsidR="00903C66">
        <w:rPr>
          <w:rFonts w:ascii="Times New Roman" w:hAnsi="Times New Roman"/>
          <w:b/>
          <w:szCs w:val="24"/>
        </w:rPr>
        <w:t>dos</w:t>
      </w:r>
      <w:r w:rsidR="00903C66" w:rsidRPr="00903C66">
        <w:rPr>
          <w:rFonts w:ascii="Times New Roman" w:hAnsi="Times New Roman"/>
          <w:b/>
          <w:szCs w:val="24"/>
        </w:rPr>
        <w:t xml:space="preserve"> </w:t>
      </w:r>
      <w:r w:rsidR="00903C66">
        <w:rPr>
          <w:rFonts w:ascii="Times New Roman" w:hAnsi="Times New Roman"/>
          <w:b/>
          <w:szCs w:val="24"/>
        </w:rPr>
        <w:t>Fluxos</w:t>
      </w:r>
      <w:r w:rsidR="00903C66" w:rsidRPr="00903C66">
        <w:rPr>
          <w:rFonts w:ascii="Times New Roman" w:hAnsi="Times New Roman"/>
          <w:b/>
          <w:szCs w:val="24"/>
        </w:rPr>
        <w:t xml:space="preserve"> </w:t>
      </w:r>
      <w:r w:rsidR="00903C66">
        <w:rPr>
          <w:rFonts w:ascii="Times New Roman" w:hAnsi="Times New Roman"/>
          <w:b/>
          <w:szCs w:val="24"/>
        </w:rPr>
        <w:t>de</w:t>
      </w:r>
      <w:r w:rsidR="00903C66" w:rsidRPr="00903C66">
        <w:rPr>
          <w:rFonts w:ascii="Times New Roman" w:hAnsi="Times New Roman"/>
          <w:b/>
          <w:szCs w:val="24"/>
        </w:rPr>
        <w:t xml:space="preserve"> </w:t>
      </w:r>
      <w:r w:rsidR="00903C66">
        <w:rPr>
          <w:rFonts w:ascii="Times New Roman" w:hAnsi="Times New Roman"/>
          <w:b/>
          <w:szCs w:val="24"/>
        </w:rPr>
        <w:t>Caixa</w:t>
      </w:r>
    </w:p>
    <w:p w:rsidR="00792148" w:rsidRDefault="00792148" w:rsidP="00B747D7">
      <w:pPr>
        <w:spacing w:after="0" w:line="240" w:lineRule="auto"/>
        <w:ind w:firstLine="709"/>
        <w:jc w:val="both"/>
        <w:rPr>
          <w:rFonts w:ascii="Times New Roman" w:hAnsi="Times New Roman"/>
          <w:szCs w:val="24"/>
        </w:rPr>
      </w:pPr>
      <w:r w:rsidRPr="000E5487">
        <w:rPr>
          <w:rFonts w:ascii="Times New Roman" w:hAnsi="Times New Roman"/>
          <w:szCs w:val="24"/>
        </w:rPr>
        <w:t xml:space="preserve">Foram verificadas quais técnicas são utilizadas pelos </w:t>
      </w:r>
      <w:r w:rsidR="008C41DD" w:rsidRPr="000E5487">
        <w:rPr>
          <w:rFonts w:ascii="Times New Roman" w:hAnsi="Times New Roman"/>
          <w:szCs w:val="24"/>
        </w:rPr>
        <w:t xml:space="preserve">respondentes </w:t>
      </w:r>
      <w:r w:rsidRPr="000E5487">
        <w:rPr>
          <w:rFonts w:ascii="Times New Roman" w:hAnsi="Times New Roman"/>
          <w:szCs w:val="24"/>
        </w:rPr>
        <w:t xml:space="preserve">na estimativa da quantidade e preço </w:t>
      </w:r>
      <w:r w:rsidR="00AF23E0" w:rsidRPr="000E5487">
        <w:rPr>
          <w:rFonts w:ascii="Times New Roman" w:hAnsi="Times New Roman"/>
          <w:szCs w:val="24"/>
        </w:rPr>
        <w:t xml:space="preserve">da tonelada da cana-de-açúcar </w:t>
      </w:r>
      <w:r w:rsidRPr="000E5487">
        <w:rPr>
          <w:rFonts w:ascii="Times New Roman" w:hAnsi="Times New Roman"/>
          <w:szCs w:val="24"/>
        </w:rPr>
        <w:t>no cálculo da receita do FCD</w:t>
      </w:r>
      <w:r w:rsidR="00903C66" w:rsidRPr="00903C66">
        <w:rPr>
          <w:rFonts w:ascii="Times New Roman" w:hAnsi="Times New Roman"/>
          <w:szCs w:val="24"/>
        </w:rPr>
        <w:t xml:space="preserve"> </w:t>
      </w:r>
      <w:r w:rsidR="00903C66">
        <w:rPr>
          <w:rFonts w:ascii="Times New Roman" w:hAnsi="Times New Roman"/>
          <w:szCs w:val="24"/>
        </w:rPr>
        <w:t>e</w:t>
      </w:r>
      <w:r w:rsidRPr="000E5487">
        <w:rPr>
          <w:rFonts w:ascii="Times New Roman" w:hAnsi="Times New Roman"/>
          <w:szCs w:val="24"/>
        </w:rPr>
        <w:t xml:space="preserve"> o horizonte de </w:t>
      </w:r>
      <w:r w:rsidR="005C7DA2" w:rsidRPr="000E5487">
        <w:rPr>
          <w:rFonts w:ascii="Times New Roman" w:hAnsi="Times New Roman"/>
          <w:szCs w:val="24"/>
        </w:rPr>
        <w:t xml:space="preserve">projeção </w:t>
      </w:r>
      <w:r w:rsidRPr="000E5487">
        <w:rPr>
          <w:rFonts w:ascii="Times New Roman" w:hAnsi="Times New Roman"/>
          <w:szCs w:val="24"/>
        </w:rPr>
        <w:t xml:space="preserve">dos fluxos de caixa </w:t>
      </w:r>
      <w:r w:rsidR="00A16548" w:rsidRPr="000E5487">
        <w:rPr>
          <w:rFonts w:ascii="Times New Roman" w:hAnsi="Times New Roman"/>
          <w:szCs w:val="24"/>
        </w:rPr>
        <w:t xml:space="preserve">adotado. </w:t>
      </w:r>
      <w:r w:rsidRPr="000E5487">
        <w:rPr>
          <w:rFonts w:ascii="Times New Roman" w:hAnsi="Times New Roman"/>
          <w:szCs w:val="24"/>
        </w:rPr>
        <w:t>Os resulta</w:t>
      </w:r>
      <w:r w:rsidR="008F338F" w:rsidRPr="000E5487">
        <w:rPr>
          <w:rFonts w:ascii="Times New Roman" w:hAnsi="Times New Roman"/>
          <w:szCs w:val="24"/>
        </w:rPr>
        <w:t xml:space="preserve">dos são apresentados na Tabela </w:t>
      </w:r>
      <w:r w:rsidR="00F0375E">
        <w:rPr>
          <w:rFonts w:ascii="Times New Roman" w:hAnsi="Times New Roman"/>
          <w:szCs w:val="24"/>
        </w:rPr>
        <w:t>3</w:t>
      </w:r>
      <w:r w:rsidRPr="000E5487">
        <w:rPr>
          <w:rFonts w:ascii="Times New Roman" w:hAnsi="Times New Roman"/>
          <w:szCs w:val="24"/>
        </w:rPr>
        <w:t>.</w:t>
      </w:r>
    </w:p>
    <w:p w:rsidR="00086E90" w:rsidRPr="000E5487" w:rsidRDefault="00086E90" w:rsidP="00B747D7">
      <w:pPr>
        <w:spacing w:after="0" w:line="240" w:lineRule="auto"/>
        <w:ind w:firstLine="709"/>
        <w:jc w:val="both"/>
        <w:rPr>
          <w:rFonts w:ascii="Times New Roman" w:hAnsi="Times New Roman"/>
          <w:szCs w:val="24"/>
        </w:rPr>
      </w:pPr>
    </w:p>
    <w:p w:rsidR="00792148" w:rsidRPr="00086E90" w:rsidRDefault="00792148" w:rsidP="00086E90">
      <w:pPr>
        <w:spacing w:after="0" w:line="240" w:lineRule="auto"/>
        <w:jc w:val="center"/>
        <w:rPr>
          <w:rFonts w:ascii="Times New Roman" w:hAnsi="Times New Roman"/>
          <w:sz w:val="20"/>
          <w:szCs w:val="24"/>
        </w:rPr>
      </w:pPr>
      <w:r w:rsidRPr="00086E90">
        <w:rPr>
          <w:rFonts w:ascii="Times New Roman" w:hAnsi="Times New Roman"/>
          <w:sz w:val="20"/>
          <w:szCs w:val="24"/>
        </w:rPr>
        <w:t xml:space="preserve">Tabela </w:t>
      </w:r>
      <w:r w:rsidR="00F0375E" w:rsidRPr="00086E90">
        <w:rPr>
          <w:rFonts w:ascii="Times New Roman" w:hAnsi="Times New Roman"/>
          <w:sz w:val="20"/>
          <w:szCs w:val="24"/>
        </w:rPr>
        <w:t>3</w:t>
      </w:r>
      <w:r w:rsidRPr="00086E90">
        <w:rPr>
          <w:rFonts w:ascii="Times New Roman" w:hAnsi="Times New Roman"/>
          <w:sz w:val="20"/>
          <w:szCs w:val="24"/>
        </w:rPr>
        <w:t xml:space="preserve"> </w:t>
      </w:r>
      <w:r w:rsidR="003A4FF7" w:rsidRPr="00086E90">
        <w:rPr>
          <w:rFonts w:ascii="Times New Roman" w:hAnsi="Times New Roman"/>
          <w:sz w:val="20"/>
          <w:szCs w:val="24"/>
        </w:rPr>
        <w:t xml:space="preserve">- </w:t>
      </w:r>
      <w:r w:rsidRPr="00086E90">
        <w:rPr>
          <w:rFonts w:ascii="Times New Roman" w:hAnsi="Times New Roman"/>
          <w:sz w:val="20"/>
          <w:szCs w:val="24"/>
        </w:rPr>
        <w:t xml:space="preserve">Práticas na </w:t>
      </w:r>
      <w:r w:rsidR="00677C93" w:rsidRPr="00086E90">
        <w:rPr>
          <w:rFonts w:ascii="Times New Roman" w:hAnsi="Times New Roman"/>
          <w:sz w:val="20"/>
          <w:szCs w:val="24"/>
        </w:rPr>
        <w:t>estimativa de quantidade, preço e</w:t>
      </w:r>
      <w:r w:rsidRPr="00086E90">
        <w:rPr>
          <w:rFonts w:ascii="Times New Roman" w:hAnsi="Times New Roman"/>
          <w:sz w:val="20"/>
          <w:szCs w:val="24"/>
        </w:rPr>
        <w:t xml:space="preserve"> horizonte de </w:t>
      </w:r>
      <w:r w:rsidR="005C7DA2" w:rsidRPr="00086E90">
        <w:rPr>
          <w:rFonts w:ascii="Times New Roman" w:hAnsi="Times New Roman"/>
          <w:sz w:val="20"/>
          <w:szCs w:val="24"/>
        </w:rPr>
        <w:t xml:space="preserve">projeção </w:t>
      </w:r>
      <w:r w:rsidR="00677C93" w:rsidRPr="00086E90">
        <w:rPr>
          <w:rFonts w:ascii="Times New Roman" w:hAnsi="Times New Roman"/>
          <w:sz w:val="20"/>
          <w:szCs w:val="24"/>
        </w:rPr>
        <w:t>dos fluxos de caixa</w:t>
      </w:r>
    </w:p>
    <w:tbl>
      <w:tblPr>
        <w:tblW w:w="4925" w:type="pct"/>
        <w:tblInd w:w="70" w:type="dxa"/>
        <w:tblLayout w:type="fixed"/>
        <w:tblCellMar>
          <w:left w:w="70" w:type="dxa"/>
          <w:right w:w="70" w:type="dxa"/>
        </w:tblCellMar>
        <w:tblLook w:val="04A0" w:firstRow="1" w:lastRow="0" w:firstColumn="1" w:lastColumn="0" w:noHBand="0" w:noVBand="1"/>
      </w:tblPr>
      <w:tblGrid>
        <w:gridCol w:w="2094"/>
        <w:gridCol w:w="4187"/>
        <w:gridCol w:w="1396"/>
        <w:gridCol w:w="1258"/>
      </w:tblGrid>
      <w:tr w:rsidR="00792148" w:rsidRPr="000E5487" w:rsidTr="005D3924">
        <w:trPr>
          <w:trHeight w:val="259"/>
        </w:trPr>
        <w:tc>
          <w:tcPr>
            <w:tcW w:w="1172" w:type="pct"/>
            <w:tcBorders>
              <w:top w:val="single" w:sz="4" w:space="0" w:color="auto"/>
              <w:left w:val="nil"/>
              <w:bottom w:val="single" w:sz="4" w:space="0" w:color="auto"/>
              <w:right w:val="nil"/>
            </w:tcBorders>
            <w:shd w:val="clear" w:color="auto" w:fill="auto"/>
            <w:noWrap/>
            <w:vAlign w:val="center"/>
            <w:hideMark/>
          </w:tcPr>
          <w:p w:rsidR="00792148" w:rsidRPr="000E5487" w:rsidRDefault="00792148"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Componente</w:t>
            </w:r>
          </w:p>
        </w:tc>
        <w:tc>
          <w:tcPr>
            <w:tcW w:w="2343" w:type="pct"/>
            <w:tcBorders>
              <w:top w:val="single" w:sz="4" w:space="0" w:color="auto"/>
              <w:left w:val="nil"/>
              <w:bottom w:val="single" w:sz="4" w:space="0" w:color="auto"/>
              <w:right w:val="nil"/>
            </w:tcBorders>
            <w:shd w:val="clear" w:color="auto" w:fill="auto"/>
            <w:vAlign w:val="center"/>
            <w:hideMark/>
          </w:tcPr>
          <w:p w:rsidR="00792148" w:rsidRPr="000E5487" w:rsidRDefault="00792148" w:rsidP="00086E90">
            <w:pPr>
              <w:spacing w:after="0" w:line="240" w:lineRule="auto"/>
              <w:jc w:val="center"/>
              <w:rPr>
                <w:rFonts w:ascii="Times New Roman" w:hAnsi="Times New Roman"/>
                <w:b/>
                <w:bCs/>
                <w:sz w:val="20"/>
                <w:szCs w:val="20"/>
              </w:rPr>
            </w:pPr>
            <w:r w:rsidRPr="000E5487">
              <w:rPr>
                <w:rFonts w:ascii="Times New Roman" w:hAnsi="Times New Roman"/>
                <w:b/>
                <w:bCs/>
                <w:sz w:val="20"/>
                <w:szCs w:val="20"/>
              </w:rPr>
              <w:t>Alternativa</w:t>
            </w:r>
          </w:p>
        </w:tc>
        <w:tc>
          <w:tcPr>
            <w:tcW w:w="781" w:type="pct"/>
            <w:tcBorders>
              <w:top w:val="single" w:sz="4" w:space="0" w:color="auto"/>
              <w:left w:val="nil"/>
              <w:bottom w:val="single" w:sz="4" w:space="0" w:color="auto"/>
              <w:right w:val="nil"/>
            </w:tcBorders>
            <w:shd w:val="clear" w:color="auto" w:fill="auto"/>
            <w:vAlign w:val="center"/>
            <w:hideMark/>
          </w:tcPr>
          <w:p w:rsidR="00792148" w:rsidRPr="000E5487" w:rsidRDefault="00792148" w:rsidP="00086E90">
            <w:pPr>
              <w:spacing w:after="0" w:line="240" w:lineRule="auto"/>
              <w:jc w:val="center"/>
              <w:rPr>
                <w:rFonts w:ascii="Times New Roman" w:hAnsi="Times New Roman"/>
                <w:b/>
                <w:bCs/>
                <w:sz w:val="20"/>
                <w:szCs w:val="20"/>
              </w:rPr>
            </w:pPr>
            <w:r w:rsidRPr="000E5487">
              <w:rPr>
                <w:rFonts w:ascii="Times New Roman" w:hAnsi="Times New Roman"/>
                <w:b/>
                <w:bCs/>
                <w:sz w:val="20"/>
                <w:szCs w:val="20"/>
              </w:rPr>
              <w:t>Frequência Absoluta</w:t>
            </w:r>
          </w:p>
        </w:tc>
        <w:tc>
          <w:tcPr>
            <w:tcW w:w="704" w:type="pct"/>
            <w:tcBorders>
              <w:top w:val="single" w:sz="4" w:space="0" w:color="auto"/>
              <w:left w:val="nil"/>
              <w:bottom w:val="single" w:sz="4" w:space="0" w:color="auto"/>
              <w:right w:val="nil"/>
            </w:tcBorders>
            <w:shd w:val="clear" w:color="auto" w:fill="auto"/>
            <w:vAlign w:val="center"/>
            <w:hideMark/>
          </w:tcPr>
          <w:p w:rsidR="00792148" w:rsidRPr="000E5487" w:rsidRDefault="00792148" w:rsidP="00086E90">
            <w:pPr>
              <w:spacing w:after="0" w:line="240" w:lineRule="auto"/>
              <w:jc w:val="center"/>
              <w:rPr>
                <w:rFonts w:ascii="Times New Roman" w:hAnsi="Times New Roman"/>
                <w:b/>
                <w:bCs/>
                <w:sz w:val="20"/>
                <w:szCs w:val="20"/>
              </w:rPr>
            </w:pPr>
            <w:r w:rsidRPr="000E5487">
              <w:rPr>
                <w:rFonts w:ascii="Times New Roman" w:hAnsi="Times New Roman"/>
                <w:b/>
                <w:bCs/>
                <w:sz w:val="20"/>
                <w:szCs w:val="20"/>
              </w:rPr>
              <w:t>Frequência Relativa</w:t>
            </w:r>
          </w:p>
        </w:tc>
      </w:tr>
      <w:tr w:rsidR="00792148" w:rsidRPr="000E5487" w:rsidTr="005D3924">
        <w:trPr>
          <w:trHeight w:val="168"/>
        </w:trPr>
        <w:tc>
          <w:tcPr>
            <w:tcW w:w="1172" w:type="pct"/>
            <w:vMerge w:val="restart"/>
            <w:tcBorders>
              <w:top w:val="nil"/>
              <w:left w:val="nil"/>
              <w:bottom w:val="nil"/>
              <w:right w:val="nil"/>
            </w:tcBorders>
            <w:shd w:val="clear" w:color="000000" w:fill="F2F2F2"/>
            <w:vAlign w:val="center"/>
            <w:hideMark/>
          </w:tcPr>
          <w:p w:rsidR="00792148" w:rsidRPr="000E5487" w:rsidRDefault="009E5183"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Q</w:t>
            </w:r>
            <w:r w:rsidR="00792148" w:rsidRPr="000E5487">
              <w:rPr>
                <w:rFonts w:ascii="Times New Roman" w:hAnsi="Times New Roman"/>
                <w:b/>
                <w:bCs/>
                <w:color w:val="000000"/>
                <w:sz w:val="20"/>
                <w:szCs w:val="20"/>
              </w:rPr>
              <w:t>uantidade</w:t>
            </w:r>
          </w:p>
        </w:tc>
        <w:tc>
          <w:tcPr>
            <w:tcW w:w="2343"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Quantidade já negociada em contrato futuro</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3</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13,04%</w:t>
            </w:r>
          </w:p>
        </w:tc>
      </w:tr>
      <w:tr w:rsidR="00792148" w:rsidRPr="000E5487" w:rsidTr="005D3924">
        <w:trPr>
          <w:trHeight w:val="138"/>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Média histórica de produção</w:t>
            </w: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20</w:t>
            </w: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86,96%</w:t>
            </w:r>
          </w:p>
        </w:tc>
      </w:tr>
      <w:tr w:rsidR="00792148" w:rsidRPr="000E5487" w:rsidTr="005D3924">
        <w:trPr>
          <w:trHeight w:val="198"/>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000000" w:fill="F2F2F2"/>
            <w:vAlign w:val="center"/>
            <w:hideMark/>
          </w:tcPr>
          <w:p w:rsidR="00792148" w:rsidRPr="000E5487" w:rsidRDefault="00792148"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b/>
                <w:bCs/>
                <w:sz w:val="20"/>
                <w:szCs w:val="20"/>
              </w:rPr>
            </w:pPr>
            <w:r w:rsidRPr="000E5487">
              <w:rPr>
                <w:rFonts w:ascii="Times New Roman" w:hAnsi="Times New Roman"/>
                <w:b/>
                <w:bCs/>
                <w:sz w:val="20"/>
                <w:szCs w:val="20"/>
              </w:rPr>
              <w:t>23</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792148" w:rsidRPr="000E5487" w:rsidTr="005D3924">
        <w:trPr>
          <w:trHeight w:val="88"/>
        </w:trPr>
        <w:tc>
          <w:tcPr>
            <w:tcW w:w="1172"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ind w:firstLine="2"/>
              <w:rPr>
                <w:rFonts w:ascii="Times New Roman" w:hAnsi="Times New Roman"/>
                <w:color w:val="000000"/>
                <w:sz w:val="20"/>
                <w:szCs w:val="20"/>
              </w:rPr>
            </w:pPr>
          </w:p>
        </w:tc>
        <w:tc>
          <w:tcPr>
            <w:tcW w:w="2343"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color w:val="000000"/>
                <w:sz w:val="20"/>
                <w:szCs w:val="20"/>
              </w:rPr>
            </w:pP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r>
      <w:tr w:rsidR="00792148" w:rsidRPr="000E5487" w:rsidTr="005D3924">
        <w:trPr>
          <w:trHeight w:val="146"/>
        </w:trPr>
        <w:tc>
          <w:tcPr>
            <w:tcW w:w="1172" w:type="pct"/>
            <w:vMerge w:val="restart"/>
            <w:tcBorders>
              <w:top w:val="nil"/>
              <w:left w:val="nil"/>
              <w:bottom w:val="nil"/>
              <w:right w:val="nil"/>
            </w:tcBorders>
            <w:shd w:val="clear" w:color="auto" w:fill="auto"/>
            <w:vAlign w:val="center"/>
            <w:hideMark/>
          </w:tcPr>
          <w:p w:rsidR="00792148" w:rsidRPr="000E5487" w:rsidRDefault="009E5183"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P</w:t>
            </w:r>
            <w:r w:rsidR="00792148" w:rsidRPr="000E5487">
              <w:rPr>
                <w:rFonts w:ascii="Times New Roman" w:hAnsi="Times New Roman"/>
                <w:b/>
                <w:bCs/>
                <w:color w:val="000000"/>
                <w:sz w:val="20"/>
                <w:szCs w:val="20"/>
              </w:rPr>
              <w:t xml:space="preserve">reço de </w:t>
            </w:r>
            <w:r w:rsidR="006D5335" w:rsidRPr="000E5487">
              <w:rPr>
                <w:rFonts w:ascii="Times New Roman" w:hAnsi="Times New Roman"/>
                <w:b/>
                <w:bCs/>
                <w:color w:val="000000"/>
                <w:sz w:val="20"/>
                <w:szCs w:val="20"/>
              </w:rPr>
              <w:t>v</w:t>
            </w:r>
            <w:r w:rsidR="00792148" w:rsidRPr="000E5487">
              <w:rPr>
                <w:rFonts w:ascii="Times New Roman" w:hAnsi="Times New Roman"/>
                <w:b/>
                <w:bCs/>
                <w:color w:val="000000"/>
                <w:sz w:val="20"/>
                <w:szCs w:val="20"/>
              </w:rPr>
              <w:t>enda</w:t>
            </w:r>
          </w:p>
        </w:tc>
        <w:tc>
          <w:tcPr>
            <w:tcW w:w="2343"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Preço definido em contrato futuro</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5</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21,74%</w:t>
            </w:r>
          </w:p>
        </w:tc>
      </w:tr>
      <w:tr w:rsidR="00792148" w:rsidRPr="000E5487" w:rsidTr="005D3924">
        <w:trPr>
          <w:trHeight w:val="192"/>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Média histórica de preço</w:t>
            </w: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16</w:t>
            </w: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69,57%</w:t>
            </w:r>
          </w:p>
        </w:tc>
      </w:tr>
      <w:tr w:rsidR="00792148" w:rsidRPr="000E5487" w:rsidTr="005D3924">
        <w:trPr>
          <w:trHeight w:val="109"/>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000000" w:fill="F2F2F2"/>
            <w:vAlign w:val="center"/>
            <w:hideMark/>
          </w:tcPr>
          <w:p w:rsidR="00792148" w:rsidRPr="000E5487" w:rsidRDefault="00792148" w:rsidP="00086E90">
            <w:pPr>
              <w:spacing w:after="0" w:line="240" w:lineRule="auto"/>
              <w:jc w:val="both"/>
              <w:rPr>
                <w:rFonts w:ascii="Times New Roman" w:hAnsi="Times New Roman"/>
                <w:sz w:val="20"/>
                <w:szCs w:val="20"/>
              </w:rPr>
            </w:pPr>
            <w:r w:rsidRPr="000E5487">
              <w:rPr>
                <w:rFonts w:ascii="Times New Roman" w:hAnsi="Times New Roman"/>
                <w:sz w:val="20"/>
                <w:szCs w:val="20"/>
              </w:rPr>
              <w:t>Outros</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2</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8,70%</w:t>
            </w:r>
          </w:p>
        </w:tc>
      </w:tr>
      <w:tr w:rsidR="00792148" w:rsidRPr="000E5487" w:rsidTr="005D3924">
        <w:trPr>
          <w:trHeight w:val="156"/>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auto" w:fill="auto"/>
            <w:vAlign w:val="center"/>
            <w:hideMark/>
          </w:tcPr>
          <w:p w:rsidR="00792148" w:rsidRPr="000E5487" w:rsidRDefault="00792148"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b/>
                <w:bCs/>
                <w:sz w:val="20"/>
                <w:szCs w:val="20"/>
              </w:rPr>
            </w:pPr>
            <w:r w:rsidRPr="000E5487">
              <w:rPr>
                <w:rFonts w:ascii="Times New Roman" w:hAnsi="Times New Roman"/>
                <w:b/>
                <w:bCs/>
                <w:sz w:val="20"/>
                <w:szCs w:val="20"/>
              </w:rPr>
              <w:t>23</w:t>
            </w: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792148" w:rsidRPr="000E5487" w:rsidTr="005D3924">
        <w:trPr>
          <w:trHeight w:val="74"/>
        </w:trPr>
        <w:tc>
          <w:tcPr>
            <w:tcW w:w="1172"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ind w:firstLine="2"/>
              <w:rPr>
                <w:rFonts w:ascii="Times New Roman" w:hAnsi="Times New Roman"/>
                <w:color w:val="000000"/>
                <w:sz w:val="20"/>
                <w:szCs w:val="20"/>
              </w:rPr>
            </w:pPr>
          </w:p>
        </w:tc>
        <w:tc>
          <w:tcPr>
            <w:tcW w:w="2343"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color w:val="000000"/>
                <w:sz w:val="20"/>
                <w:szCs w:val="20"/>
              </w:rPr>
            </w:pP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r>
      <w:tr w:rsidR="00792148" w:rsidRPr="000E5487" w:rsidTr="005D3924">
        <w:trPr>
          <w:trHeight w:val="287"/>
        </w:trPr>
        <w:tc>
          <w:tcPr>
            <w:tcW w:w="1172" w:type="pct"/>
            <w:vMerge w:val="restart"/>
            <w:tcBorders>
              <w:top w:val="nil"/>
              <w:left w:val="nil"/>
              <w:bottom w:val="nil"/>
              <w:right w:val="nil"/>
            </w:tcBorders>
            <w:shd w:val="clear" w:color="000000" w:fill="F2F2F2"/>
            <w:vAlign w:val="center"/>
            <w:hideMark/>
          </w:tcPr>
          <w:p w:rsidR="00792148" w:rsidRPr="000E5487" w:rsidRDefault="009E5183"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S</w:t>
            </w:r>
            <w:r w:rsidR="00792148" w:rsidRPr="000E5487">
              <w:rPr>
                <w:rFonts w:ascii="Times New Roman" w:hAnsi="Times New Roman"/>
                <w:b/>
                <w:bCs/>
                <w:color w:val="000000"/>
                <w:sz w:val="20"/>
                <w:szCs w:val="20"/>
              </w:rPr>
              <w:t xml:space="preserve">azonalidade </w:t>
            </w:r>
          </w:p>
        </w:tc>
        <w:tc>
          <w:tcPr>
            <w:tcW w:w="2343"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Sim</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1</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6,25%</w:t>
            </w:r>
          </w:p>
        </w:tc>
      </w:tr>
      <w:tr w:rsidR="00792148" w:rsidRPr="000E5487" w:rsidTr="005D3924">
        <w:trPr>
          <w:trHeight w:val="278"/>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Não</w:t>
            </w: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15</w:t>
            </w: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93,75%</w:t>
            </w:r>
          </w:p>
        </w:tc>
      </w:tr>
      <w:tr w:rsidR="00792148" w:rsidRPr="000E5487" w:rsidTr="005D3924">
        <w:trPr>
          <w:trHeight w:val="66"/>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000000" w:fill="F2F2F2"/>
            <w:vAlign w:val="center"/>
            <w:hideMark/>
          </w:tcPr>
          <w:p w:rsidR="00792148" w:rsidRPr="000E5487" w:rsidRDefault="00792148"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b/>
                <w:bCs/>
                <w:sz w:val="20"/>
                <w:szCs w:val="20"/>
              </w:rPr>
            </w:pPr>
            <w:r w:rsidRPr="000E5487">
              <w:rPr>
                <w:rFonts w:ascii="Times New Roman" w:hAnsi="Times New Roman"/>
                <w:b/>
                <w:bCs/>
                <w:sz w:val="20"/>
                <w:szCs w:val="20"/>
              </w:rPr>
              <w:t>16</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792148" w:rsidRPr="000E5487" w:rsidTr="005D3924">
        <w:trPr>
          <w:trHeight w:val="88"/>
        </w:trPr>
        <w:tc>
          <w:tcPr>
            <w:tcW w:w="1172"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ind w:firstLine="2"/>
              <w:rPr>
                <w:rFonts w:ascii="Times New Roman" w:hAnsi="Times New Roman"/>
                <w:color w:val="000000"/>
                <w:sz w:val="20"/>
                <w:szCs w:val="20"/>
              </w:rPr>
            </w:pPr>
          </w:p>
        </w:tc>
        <w:tc>
          <w:tcPr>
            <w:tcW w:w="2343"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color w:val="000000"/>
                <w:sz w:val="20"/>
                <w:szCs w:val="20"/>
              </w:rPr>
            </w:pP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r>
      <w:tr w:rsidR="00792148" w:rsidRPr="000E5487" w:rsidTr="005D3924">
        <w:trPr>
          <w:trHeight w:val="255"/>
        </w:trPr>
        <w:tc>
          <w:tcPr>
            <w:tcW w:w="1172" w:type="pct"/>
            <w:vMerge w:val="restart"/>
            <w:tcBorders>
              <w:top w:val="nil"/>
              <w:left w:val="nil"/>
              <w:bottom w:val="nil"/>
              <w:right w:val="nil"/>
            </w:tcBorders>
            <w:shd w:val="clear" w:color="auto" w:fill="auto"/>
            <w:vAlign w:val="center"/>
            <w:hideMark/>
          </w:tcPr>
          <w:p w:rsidR="00792148" w:rsidRPr="000E5487" w:rsidRDefault="009E5183" w:rsidP="00086E90">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H</w:t>
            </w:r>
            <w:r w:rsidR="00792148" w:rsidRPr="000E5487">
              <w:rPr>
                <w:rFonts w:ascii="Times New Roman" w:hAnsi="Times New Roman"/>
                <w:b/>
                <w:bCs/>
                <w:color w:val="000000"/>
                <w:sz w:val="20"/>
                <w:szCs w:val="20"/>
              </w:rPr>
              <w:t xml:space="preserve">orizonte de </w:t>
            </w:r>
            <w:r w:rsidR="006D5335" w:rsidRPr="000E5487">
              <w:rPr>
                <w:rFonts w:ascii="Times New Roman" w:hAnsi="Times New Roman"/>
                <w:b/>
                <w:bCs/>
                <w:color w:val="000000"/>
                <w:sz w:val="20"/>
                <w:szCs w:val="20"/>
              </w:rPr>
              <w:t>p</w:t>
            </w:r>
            <w:r w:rsidR="005C7DA2" w:rsidRPr="000E5487">
              <w:rPr>
                <w:rFonts w:ascii="Times New Roman" w:hAnsi="Times New Roman"/>
                <w:b/>
                <w:bCs/>
                <w:color w:val="000000"/>
                <w:sz w:val="20"/>
                <w:szCs w:val="20"/>
              </w:rPr>
              <w:t>rojeção</w:t>
            </w:r>
            <w:r w:rsidR="00792148" w:rsidRPr="000E5487">
              <w:rPr>
                <w:rFonts w:ascii="Times New Roman" w:hAnsi="Times New Roman"/>
                <w:b/>
                <w:bCs/>
                <w:color w:val="000000"/>
                <w:sz w:val="20"/>
                <w:szCs w:val="20"/>
              </w:rPr>
              <w:t xml:space="preserve"> </w:t>
            </w:r>
          </w:p>
        </w:tc>
        <w:tc>
          <w:tcPr>
            <w:tcW w:w="2343"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Média histórica do ciclo de vida da planta</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21</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91,30%</w:t>
            </w:r>
          </w:p>
        </w:tc>
      </w:tr>
      <w:tr w:rsidR="00792148" w:rsidRPr="000E5487" w:rsidTr="005D3924">
        <w:trPr>
          <w:trHeight w:val="255"/>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sz w:val="20"/>
                <w:szCs w:val="20"/>
              </w:rPr>
            </w:pPr>
            <w:r w:rsidRPr="000E5487">
              <w:rPr>
                <w:rFonts w:ascii="Times New Roman" w:hAnsi="Times New Roman"/>
                <w:sz w:val="20"/>
                <w:szCs w:val="20"/>
              </w:rPr>
              <w:t>Tempo para plantio, desenvolvimento e colheita estimado</w:t>
            </w:r>
          </w:p>
        </w:tc>
        <w:tc>
          <w:tcPr>
            <w:tcW w:w="781"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sz w:val="20"/>
                <w:szCs w:val="20"/>
              </w:rPr>
            </w:pPr>
            <w:r w:rsidRPr="000E5487">
              <w:rPr>
                <w:rFonts w:ascii="Times New Roman" w:hAnsi="Times New Roman"/>
                <w:sz w:val="20"/>
                <w:szCs w:val="20"/>
              </w:rPr>
              <w:t>2</w:t>
            </w:r>
          </w:p>
        </w:tc>
        <w:tc>
          <w:tcPr>
            <w:tcW w:w="704" w:type="pct"/>
            <w:tcBorders>
              <w:top w:val="nil"/>
              <w:left w:val="nil"/>
              <w:bottom w:val="nil"/>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8,70%</w:t>
            </w:r>
          </w:p>
        </w:tc>
      </w:tr>
      <w:tr w:rsidR="00792148" w:rsidRPr="000E5487" w:rsidTr="005D3924">
        <w:trPr>
          <w:trHeight w:val="255"/>
        </w:trPr>
        <w:tc>
          <w:tcPr>
            <w:tcW w:w="1172" w:type="pct"/>
            <w:vMerge/>
            <w:tcBorders>
              <w:top w:val="nil"/>
              <w:left w:val="nil"/>
              <w:bottom w:val="nil"/>
              <w:right w:val="nil"/>
            </w:tcBorders>
            <w:vAlign w:val="center"/>
            <w:hideMark/>
          </w:tcPr>
          <w:p w:rsidR="00792148" w:rsidRPr="000E5487" w:rsidRDefault="00792148" w:rsidP="00086E90">
            <w:pPr>
              <w:spacing w:after="0" w:line="240" w:lineRule="auto"/>
              <w:ind w:firstLine="2"/>
              <w:rPr>
                <w:rFonts w:ascii="Times New Roman" w:hAnsi="Times New Roman"/>
                <w:b/>
                <w:bCs/>
                <w:color w:val="000000"/>
                <w:sz w:val="20"/>
                <w:szCs w:val="20"/>
              </w:rPr>
            </w:pPr>
          </w:p>
        </w:tc>
        <w:tc>
          <w:tcPr>
            <w:tcW w:w="2343" w:type="pct"/>
            <w:tcBorders>
              <w:top w:val="nil"/>
              <w:left w:val="nil"/>
              <w:bottom w:val="nil"/>
              <w:right w:val="nil"/>
            </w:tcBorders>
            <w:shd w:val="clear" w:color="000000" w:fill="F2F2F2"/>
            <w:vAlign w:val="center"/>
            <w:hideMark/>
          </w:tcPr>
          <w:p w:rsidR="00792148" w:rsidRPr="000E5487" w:rsidRDefault="00792148" w:rsidP="00086E90">
            <w:pPr>
              <w:spacing w:after="0" w:line="240" w:lineRule="auto"/>
              <w:jc w:val="right"/>
              <w:rPr>
                <w:rFonts w:ascii="Times New Roman" w:hAnsi="Times New Roman"/>
                <w:b/>
                <w:bCs/>
                <w:sz w:val="20"/>
                <w:szCs w:val="20"/>
              </w:rPr>
            </w:pPr>
            <w:r w:rsidRPr="000E5487">
              <w:rPr>
                <w:rFonts w:ascii="Times New Roman" w:hAnsi="Times New Roman"/>
                <w:b/>
                <w:bCs/>
                <w:sz w:val="20"/>
                <w:szCs w:val="20"/>
              </w:rPr>
              <w:t>Total</w:t>
            </w:r>
          </w:p>
        </w:tc>
        <w:tc>
          <w:tcPr>
            <w:tcW w:w="781"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b/>
                <w:bCs/>
                <w:sz w:val="20"/>
                <w:szCs w:val="20"/>
              </w:rPr>
            </w:pPr>
            <w:r w:rsidRPr="000E5487">
              <w:rPr>
                <w:rFonts w:ascii="Times New Roman" w:hAnsi="Times New Roman"/>
                <w:b/>
                <w:bCs/>
                <w:sz w:val="20"/>
                <w:szCs w:val="20"/>
              </w:rPr>
              <w:t>23</w:t>
            </w:r>
          </w:p>
        </w:tc>
        <w:tc>
          <w:tcPr>
            <w:tcW w:w="704" w:type="pct"/>
            <w:tcBorders>
              <w:top w:val="nil"/>
              <w:left w:val="nil"/>
              <w:bottom w:val="nil"/>
              <w:right w:val="nil"/>
            </w:tcBorders>
            <w:shd w:val="clear" w:color="000000" w:fill="F2F2F2"/>
            <w:noWrap/>
            <w:vAlign w:val="center"/>
            <w:hideMark/>
          </w:tcPr>
          <w:p w:rsidR="00792148" w:rsidRPr="000E5487" w:rsidRDefault="00792148" w:rsidP="00086E90">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792148" w:rsidRPr="000E5487" w:rsidTr="005E1968">
        <w:trPr>
          <w:trHeight w:val="66"/>
        </w:trPr>
        <w:tc>
          <w:tcPr>
            <w:tcW w:w="1172" w:type="pct"/>
            <w:tcBorders>
              <w:top w:val="nil"/>
              <w:left w:val="nil"/>
              <w:bottom w:val="single" w:sz="4" w:space="0" w:color="auto"/>
              <w:right w:val="nil"/>
            </w:tcBorders>
            <w:shd w:val="clear" w:color="auto" w:fill="auto"/>
            <w:noWrap/>
            <w:vAlign w:val="center"/>
            <w:hideMark/>
          </w:tcPr>
          <w:p w:rsidR="00792148" w:rsidRPr="000E5487" w:rsidRDefault="00792148" w:rsidP="00086E90">
            <w:pPr>
              <w:spacing w:after="0" w:line="240" w:lineRule="auto"/>
              <w:ind w:firstLine="2"/>
              <w:rPr>
                <w:rFonts w:ascii="Times New Roman" w:hAnsi="Times New Roman"/>
                <w:color w:val="000000"/>
                <w:sz w:val="20"/>
                <w:szCs w:val="20"/>
              </w:rPr>
            </w:pPr>
          </w:p>
        </w:tc>
        <w:tc>
          <w:tcPr>
            <w:tcW w:w="2343" w:type="pct"/>
            <w:tcBorders>
              <w:top w:val="nil"/>
              <w:left w:val="nil"/>
              <w:bottom w:val="single" w:sz="4" w:space="0" w:color="auto"/>
              <w:right w:val="nil"/>
            </w:tcBorders>
            <w:shd w:val="clear" w:color="auto" w:fill="auto"/>
            <w:noWrap/>
            <w:vAlign w:val="center"/>
            <w:hideMark/>
          </w:tcPr>
          <w:p w:rsidR="00792148" w:rsidRPr="000E5487" w:rsidRDefault="00792148" w:rsidP="00086E90">
            <w:pPr>
              <w:spacing w:after="0" w:line="240" w:lineRule="auto"/>
              <w:rPr>
                <w:rFonts w:ascii="Times New Roman" w:hAnsi="Times New Roman"/>
                <w:color w:val="000000"/>
                <w:sz w:val="20"/>
                <w:szCs w:val="20"/>
              </w:rPr>
            </w:pPr>
          </w:p>
        </w:tc>
        <w:tc>
          <w:tcPr>
            <w:tcW w:w="781" w:type="pct"/>
            <w:tcBorders>
              <w:top w:val="nil"/>
              <w:left w:val="nil"/>
              <w:bottom w:val="single" w:sz="4" w:space="0" w:color="auto"/>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c>
          <w:tcPr>
            <w:tcW w:w="704" w:type="pct"/>
            <w:tcBorders>
              <w:top w:val="nil"/>
              <w:left w:val="nil"/>
              <w:bottom w:val="single" w:sz="4" w:space="0" w:color="auto"/>
              <w:right w:val="nil"/>
            </w:tcBorders>
            <w:shd w:val="clear" w:color="auto" w:fill="auto"/>
            <w:noWrap/>
            <w:vAlign w:val="center"/>
            <w:hideMark/>
          </w:tcPr>
          <w:p w:rsidR="00792148" w:rsidRPr="000E5487" w:rsidRDefault="00792148" w:rsidP="00086E90">
            <w:pPr>
              <w:spacing w:after="0" w:line="240" w:lineRule="auto"/>
              <w:jc w:val="center"/>
              <w:rPr>
                <w:rFonts w:ascii="Times New Roman" w:hAnsi="Times New Roman"/>
                <w:color w:val="000000"/>
                <w:sz w:val="20"/>
                <w:szCs w:val="20"/>
              </w:rPr>
            </w:pPr>
          </w:p>
        </w:tc>
      </w:tr>
    </w:tbl>
    <w:p w:rsidR="00147C0E" w:rsidRPr="000E5487" w:rsidRDefault="00147C0E" w:rsidP="00B747D7">
      <w:pPr>
        <w:spacing w:after="0" w:line="240" w:lineRule="auto"/>
        <w:ind w:firstLine="709"/>
        <w:jc w:val="both"/>
        <w:rPr>
          <w:rFonts w:ascii="Times New Roman" w:hAnsi="Times New Roman"/>
          <w:szCs w:val="24"/>
        </w:rPr>
      </w:pPr>
    </w:p>
    <w:p w:rsidR="00CE756D" w:rsidRPr="000E5487" w:rsidRDefault="00AA0F13" w:rsidP="00CE756D">
      <w:pPr>
        <w:spacing w:after="0" w:line="240" w:lineRule="auto"/>
        <w:ind w:firstLine="709"/>
        <w:jc w:val="both"/>
        <w:rPr>
          <w:rFonts w:ascii="Times New Roman" w:hAnsi="Times New Roman"/>
          <w:szCs w:val="24"/>
        </w:rPr>
      </w:pPr>
      <w:r w:rsidRPr="000E5487">
        <w:rPr>
          <w:rFonts w:ascii="Times New Roman" w:hAnsi="Times New Roman"/>
          <w:szCs w:val="24"/>
        </w:rPr>
        <w:t xml:space="preserve">Para o </w:t>
      </w:r>
      <w:r w:rsidR="00CE756D" w:rsidRPr="000E5487">
        <w:rPr>
          <w:rFonts w:ascii="Times New Roman" w:hAnsi="Times New Roman"/>
          <w:szCs w:val="24"/>
        </w:rPr>
        <w:t xml:space="preserve">cálculo da receita utilizada na projeção do fluxo de caixa, a escolha contábil que predomina está baseda na utilização da média histórica de quantidade e preço, porém, verificou-se que a maioria não considera os efeitos da sazonalidade, que impactam diretamente no valor do ativo, dada a “forte dependência de fatores climáticos, ambientais e do ciclo biológico das plantas” </w:t>
      </w:r>
      <w:r w:rsidR="00CE756D" w:rsidRPr="000E5487">
        <w:rPr>
          <w:rFonts w:ascii="Times New Roman" w:hAnsi="Times New Roman"/>
          <w:szCs w:val="24"/>
        </w:rPr>
        <w:fldChar w:fldCharType="begin" w:fldLock="1"/>
      </w:r>
      <w:r w:rsidR="00CE756D">
        <w:rPr>
          <w:rFonts w:ascii="Times New Roman" w:hAnsi="Times New Roman"/>
          <w:szCs w:val="24"/>
        </w:rPr>
        <w:instrText>ADDIN CSL_CITATION {"citationItems":[{"id":"ITEM-1","itemData":{"ISSN":"1808-2882","abstract":"Resumo A IAS 41 inseriu no cenário internacional da contabilidade as condições mínimas para contabilização e apresentação dos ativos biológicos nas demonstrações financeiras. O mesmo aconteceu no Brasil com a CPC 29 que estabelece que os ativos biológicos devem ser mensurados a valor justo sempre que esse possa ser mensurado confiavelmente. Desta forma, este artigo tem como objetivo analisar os métodos de mensuração dos ativos biológicos de natureza fixa. A pesquisa é de natureza exploratória, à partir da aplicação de dados hipotéticos à um pomar de laranjas, que apresenta as características gerais da maioria das árvores frutíferas, servindo de referência para os demais ativos biológicos de mesma natureza. O artigo faz uma análise da aplicação das técnicas de mensuração a valor justo determinadas pela IAS 41 e pela IFRS 13, com a apresentação de três métodos para mensurar os ativos biológicos de natureza fixa. Como resultado da pesquisa, destaca-se que o critério de mensuração a valor justo é aplicável ao setor do ponto de vista teórico. Porém, para a mensuração destes ativos depende-se de estimativas de preços e de produção, que em muitos casos envolve previsões com estatísticas e dados subjetivos, o que justifica a dificuldade encontrada no setor para a mensuração dos ativos biológicos. Palavras-chave: Valor justo. Ativos biológicos. Métodos de mensuração.","author":[{"dropping-particle":"","family":"Rech","given":"Ilirio Jose","non-dropping-particle":"","parse-names":false,"suffix":""},{"dropping-particle":"","family":"Pereira","given":"Ivone Vieira","non-dropping-particle":"","parse-names":false,"suffix":""}],"container-title":"Custos e @gronegócio on line","id":"ITEM-1","issue":"2","issued":{"date-parts":[["2012"]]},"page":"131-157","title":"Valor justo : análise dos métodos de mensuração aplicáveis aos ativos biológicos de natureza fixa","type":"article-journal","volume":"8"},"uris":["http://www.mendeley.com/documents/?uuid=71117ee0-a9fb-3d3b-829d-dc0f8e8cbf74"]}],"mendeley":{"formattedCitation":"(RECH; PEREIRA, 2012)","manualFormatting":"(RECH; PEREIRA, 2012, p. 147)","plainTextFormattedCitation":"(RECH; PEREIRA, 2012)","previouslyFormattedCitation":"(RECH; PEREIRA, 2012)"},"properties":{"noteIndex":0},"schema":"https://github.com/citation-style-language/schema/raw/master/csl-citation.json"}</w:instrText>
      </w:r>
      <w:r w:rsidR="00CE756D" w:rsidRPr="000E5487">
        <w:rPr>
          <w:rFonts w:ascii="Times New Roman" w:hAnsi="Times New Roman"/>
          <w:szCs w:val="24"/>
        </w:rPr>
        <w:fldChar w:fldCharType="separate"/>
      </w:r>
      <w:r w:rsidR="00CE756D" w:rsidRPr="000E5487">
        <w:rPr>
          <w:rFonts w:ascii="Times New Roman" w:hAnsi="Times New Roman"/>
          <w:noProof/>
          <w:szCs w:val="24"/>
        </w:rPr>
        <w:t>(RECH</w:t>
      </w:r>
      <w:r w:rsidR="00CE756D">
        <w:rPr>
          <w:rFonts w:ascii="Times New Roman" w:hAnsi="Times New Roman"/>
          <w:noProof/>
          <w:szCs w:val="24"/>
        </w:rPr>
        <w:t>;</w:t>
      </w:r>
      <w:r w:rsidR="00CE756D" w:rsidRPr="000E5487">
        <w:rPr>
          <w:rFonts w:ascii="Times New Roman" w:hAnsi="Times New Roman"/>
          <w:noProof/>
          <w:szCs w:val="24"/>
        </w:rPr>
        <w:t xml:space="preserve"> PEREIRA, 2012, p. 147)</w:t>
      </w:r>
      <w:r w:rsidR="00CE756D" w:rsidRPr="000E5487">
        <w:rPr>
          <w:rFonts w:ascii="Times New Roman" w:hAnsi="Times New Roman"/>
          <w:szCs w:val="24"/>
        </w:rPr>
        <w:fldChar w:fldCharType="end"/>
      </w:r>
      <w:r w:rsidR="00CE756D" w:rsidRPr="000E5487">
        <w:rPr>
          <w:rFonts w:ascii="Times New Roman" w:hAnsi="Times New Roman"/>
          <w:szCs w:val="24"/>
        </w:rPr>
        <w:t>. Para determinação do horizonte de projeção dos fluxos de caixa, a escolha contábil da maioria dos respondentes é pela média histórica do ciclo de vida da planta, o que demonstra uma preocupação em adequar a expectativa de receita ao desenvolvimento da cultura, conforme estabelecido pel</w:t>
      </w:r>
      <w:r w:rsidR="00CE756D">
        <w:rPr>
          <w:rFonts w:ascii="Times New Roman" w:hAnsi="Times New Roman"/>
          <w:szCs w:val="24"/>
        </w:rPr>
        <w:t>a IAS 41</w:t>
      </w:r>
      <w:r w:rsidR="00CE756D" w:rsidRPr="000E5487">
        <w:rPr>
          <w:rFonts w:ascii="Times New Roman" w:hAnsi="Times New Roman"/>
          <w:szCs w:val="24"/>
        </w:rPr>
        <w:t xml:space="preserve">. </w:t>
      </w:r>
    </w:p>
    <w:p w:rsidR="00086E90" w:rsidRPr="000E5487" w:rsidRDefault="00086E90" w:rsidP="00B747D7">
      <w:pPr>
        <w:spacing w:after="0" w:line="240" w:lineRule="auto"/>
        <w:ind w:firstLine="709"/>
        <w:jc w:val="both"/>
        <w:rPr>
          <w:rFonts w:ascii="Times New Roman" w:hAnsi="Times New Roman"/>
          <w:szCs w:val="24"/>
        </w:rPr>
      </w:pPr>
    </w:p>
    <w:p w:rsidR="00792148" w:rsidRPr="000E5487" w:rsidRDefault="008E740C" w:rsidP="00086E90">
      <w:pPr>
        <w:spacing w:after="120" w:line="240" w:lineRule="auto"/>
        <w:jc w:val="both"/>
        <w:rPr>
          <w:rFonts w:ascii="Times New Roman" w:hAnsi="Times New Roman"/>
          <w:b/>
          <w:szCs w:val="24"/>
        </w:rPr>
      </w:pPr>
      <w:r w:rsidRPr="000E5487">
        <w:rPr>
          <w:rFonts w:ascii="Times New Roman" w:hAnsi="Times New Roman"/>
          <w:b/>
          <w:szCs w:val="24"/>
        </w:rPr>
        <w:t>3</w:t>
      </w:r>
      <w:r w:rsidR="00792148" w:rsidRPr="000E5487">
        <w:rPr>
          <w:rFonts w:ascii="Times New Roman" w:hAnsi="Times New Roman"/>
          <w:b/>
          <w:szCs w:val="24"/>
        </w:rPr>
        <w:t>.</w:t>
      </w:r>
      <w:r w:rsidR="008F338F" w:rsidRPr="000E5487">
        <w:rPr>
          <w:rFonts w:ascii="Times New Roman" w:hAnsi="Times New Roman"/>
          <w:b/>
          <w:szCs w:val="24"/>
        </w:rPr>
        <w:t>2</w:t>
      </w:r>
      <w:r w:rsidR="00792148" w:rsidRPr="000E5487">
        <w:rPr>
          <w:rFonts w:ascii="Times New Roman" w:hAnsi="Times New Roman"/>
          <w:b/>
          <w:szCs w:val="24"/>
        </w:rPr>
        <w:t xml:space="preserve">.3 </w:t>
      </w:r>
      <w:r w:rsidR="00172103" w:rsidRPr="000E5487">
        <w:rPr>
          <w:rFonts w:ascii="Times New Roman" w:hAnsi="Times New Roman"/>
          <w:b/>
          <w:szCs w:val="24"/>
        </w:rPr>
        <w:t xml:space="preserve">Escolhas </w:t>
      </w:r>
      <w:r w:rsidR="00147C0E" w:rsidRPr="000E5487">
        <w:rPr>
          <w:rFonts w:ascii="Times New Roman" w:hAnsi="Times New Roman"/>
          <w:b/>
          <w:szCs w:val="24"/>
        </w:rPr>
        <w:t>Contábeis re</w:t>
      </w:r>
      <w:r w:rsidR="00DB5ED6" w:rsidRPr="000E5487">
        <w:rPr>
          <w:rFonts w:ascii="Times New Roman" w:hAnsi="Times New Roman"/>
          <w:b/>
          <w:szCs w:val="24"/>
        </w:rPr>
        <w:t>lativas aos Custos de Produção e Depreciação</w:t>
      </w:r>
    </w:p>
    <w:p w:rsidR="00792148" w:rsidRDefault="00705E3D" w:rsidP="00B747D7">
      <w:pPr>
        <w:spacing w:after="0" w:line="240" w:lineRule="auto"/>
        <w:ind w:firstLine="709"/>
        <w:jc w:val="both"/>
        <w:rPr>
          <w:rFonts w:ascii="Times New Roman" w:hAnsi="Times New Roman"/>
          <w:szCs w:val="24"/>
        </w:rPr>
      </w:pPr>
      <w:r w:rsidRPr="000E5487">
        <w:rPr>
          <w:rFonts w:ascii="Times New Roman" w:hAnsi="Times New Roman"/>
          <w:szCs w:val="24"/>
        </w:rPr>
        <w:t>Quanto</w:t>
      </w:r>
      <w:r w:rsidR="00792148" w:rsidRPr="000E5487">
        <w:rPr>
          <w:rFonts w:ascii="Times New Roman" w:hAnsi="Times New Roman"/>
          <w:szCs w:val="24"/>
        </w:rPr>
        <w:t xml:space="preserve"> as práticas adotadas pelos </w:t>
      </w:r>
      <w:r w:rsidR="00A16548" w:rsidRPr="000E5487">
        <w:rPr>
          <w:rFonts w:ascii="Times New Roman" w:hAnsi="Times New Roman"/>
          <w:szCs w:val="24"/>
        </w:rPr>
        <w:t xml:space="preserve">respondentes </w:t>
      </w:r>
      <w:r w:rsidR="00792148" w:rsidRPr="000E5487">
        <w:rPr>
          <w:rFonts w:ascii="Times New Roman" w:hAnsi="Times New Roman"/>
          <w:szCs w:val="24"/>
        </w:rPr>
        <w:t>na de</w:t>
      </w:r>
      <w:r w:rsidR="00DB5ED6" w:rsidRPr="000E5487">
        <w:rPr>
          <w:rFonts w:ascii="Times New Roman" w:hAnsi="Times New Roman"/>
          <w:szCs w:val="24"/>
        </w:rPr>
        <w:t xml:space="preserve">finição dos custos de produção  e </w:t>
      </w:r>
      <w:r w:rsidR="00792148" w:rsidRPr="000E5487">
        <w:rPr>
          <w:rFonts w:ascii="Times New Roman" w:hAnsi="Times New Roman"/>
          <w:szCs w:val="24"/>
        </w:rPr>
        <w:t>depreciação utilizados no FCD</w:t>
      </w:r>
      <w:r w:rsidRPr="000E5487">
        <w:rPr>
          <w:rFonts w:ascii="Times New Roman" w:hAnsi="Times New Roman"/>
          <w:szCs w:val="24"/>
        </w:rPr>
        <w:t>, o</w:t>
      </w:r>
      <w:r w:rsidR="00792148" w:rsidRPr="000E5487">
        <w:rPr>
          <w:rFonts w:ascii="Times New Roman" w:hAnsi="Times New Roman"/>
          <w:szCs w:val="24"/>
        </w:rPr>
        <w:t xml:space="preserve">s resultados são apresentados na Tabela </w:t>
      </w:r>
      <w:r w:rsidR="00677C93">
        <w:rPr>
          <w:rFonts w:ascii="Times New Roman" w:hAnsi="Times New Roman"/>
          <w:szCs w:val="24"/>
        </w:rPr>
        <w:t>4</w:t>
      </w:r>
      <w:r w:rsidR="00792148" w:rsidRPr="000E5487">
        <w:rPr>
          <w:rFonts w:ascii="Times New Roman" w:hAnsi="Times New Roman"/>
          <w:szCs w:val="24"/>
        </w:rPr>
        <w:t>.</w:t>
      </w:r>
    </w:p>
    <w:p w:rsidR="00651EDD" w:rsidRPr="000E5487" w:rsidRDefault="00651EDD" w:rsidP="00B747D7">
      <w:pPr>
        <w:spacing w:after="0" w:line="240" w:lineRule="auto"/>
        <w:ind w:firstLine="709"/>
        <w:jc w:val="both"/>
        <w:rPr>
          <w:rFonts w:ascii="Times New Roman" w:hAnsi="Times New Roman"/>
          <w:szCs w:val="24"/>
        </w:rPr>
      </w:pPr>
    </w:p>
    <w:p w:rsidR="00792148" w:rsidRPr="00485D63" w:rsidRDefault="00677C93" w:rsidP="00651EDD">
      <w:pPr>
        <w:spacing w:after="0" w:line="240" w:lineRule="auto"/>
        <w:jc w:val="center"/>
        <w:rPr>
          <w:rFonts w:ascii="Times New Roman" w:hAnsi="Times New Roman"/>
          <w:sz w:val="20"/>
          <w:szCs w:val="20"/>
        </w:rPr>
      </w:pPr>
      <w:r w:rsidRPr="00485D63">
        <w:rPr>
          <w:rFonts w:ascii="Times New Roman" w:hAnsi="Times New Roman"/>
          <w:sz w:val="20"/>
          <w:szCs w:val="20"/>
        </w:rPr>
        <w:t>Tabela 4</w:t>
      </w:r>
      <w:r w:rsidR="00792148" w:rsidRPr="00485D63">
        <w:rPr>
          <w:rFonts w:ascii="Times New Roman" w:hAnsi="Times New Roman"/>
          <w:sz w:val="20"/>
          <w:szCs w:val="20"/>
        </w:rPr>
        <w:t xml:space="preserve"> </w:t>
      </w:r>
      <w:r w:rsidR="006C54C9" w:rsidRPr="00485D63">
        <w:rPr>
          <w:rFonts w:ascii="Times New Roman" w:hAnsi="Times New Roman"/>
          <w:sz w:val="20"/>
          <w:szCs w:val="20"/>
        </w:rPr>
        <w:t>–</w:t>
      </w:r>
      <w:r w:rsidR="00172103" w:rsidRPr="00485D63">
        <w:rPr>
          <w:rFonts w:ascii="Times New Roman" w:hAnsi="Times New Roman"/>
          <w:sz w:val="20"/>
          <w:szCs w:val="20"/>
        </w:rPr>
        <w:t xml:space="preserve"> </w:t>
      </w:r>
      <w:r w:rsidR="006C54C9" w:rsidRPr="00485D63">
        <w:rPr>
          <w:rFonts w:ascii="Times New Roman" w:hAnsi="Times New Roman"/>
          <w:sz w:val="20"/>
          <w:szCs w:val="20"/>
        </w:rPr>
        <w:t>Escolhas contábeis</w:t>
      </w:r>
      <w:r w:rsidR="00792148" w:rsidRPr="00485D63">
        <w:rPr>
          <w:rFonts w:ascii="Times New Roman" w:hAnsi="Times New Roman"/>
          <w:sz w:val="20"/>
          <w:szCs w:val="20"/>
        </w:rPr>
        <w:t xml:space="preserve"> na d</w:t>
      </w:r>
      <w:r w:rsidR="00DB5ED6" w:rsidRPr="00485D63">
        <w:rPr>
          <w:rFonts w:ascii="Times New Roman" w:hAnsi="Times New Roman"/>
          <w:sz w:val="20"/>
          <w:szCs w:val="20"/>
        </w:rPr>
        <w:t>efinição dos custos de produção e depreciação</w:t>
      </w:r>
    </w:p>
    <w:tbl>
      <w:tblPr>
        <w:tblW w:w="4928" w:type="pct"/>
        <w:tblInd w:w="70" w:type="dxa"/>
        <w:tblCellMar>
          <w:left w:w="70" w:type="dxa"/>
          <w:right w:w="70" w:type="dxa"/>
        </w:tblCellMar>
        <w:tblLook w:val="04A0" w:firstRow="1" w:lastRow="0" w:firstColumn="1" w:lastColumn="0" w:noHBand="0" w:noVBand="1"/>
      </w:tblPr>
      <w:tblGrid>
        <w:gridCol w:w="2508"/>
        <w:gridCol w:w="4179"/>
        <w:gridCol w:w="1146"/>
        <w:gridCol w:w="1107"/>
      </w:tblGrid>
      <w:tr w:rsidR="00792148" w:rsidRPr="000E5487" w:rsidTr="005D3924">
        <w:trPr>
          <w:trHeight w:val="283"/>
        </w:trPr>
        <w:tc>
          <w:tcPr>
            <w:tcW w:w="1406" w:type="pct"/>
            <w:tcBorders>
              <w:top w:val="single" w:sz="4" w:space="0" w:color="auto"/>
              <w:left w:val="nil"/>
              <w:bottom w:val="single" w:sz="4" w:space="0" w:color="auto"/>
              <w:right w:val="nil"/>
            </w:tcBorders>
            <w:shd w:val="clear" w:color="auto" w:fill="auto"/>
            <w:noWrap/>
            <w:vAlign w:val="center"/>
            <w:hideMark/>
          </w:tcPr>
          <w:p w:rsidR="00792148" w:rsidRPr="000E5487" w:rsidRDefault="00792148" w:rsidP="00485D63">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Componente</w:t>
            </w:r>
          </w:p>
        </w:tc>
        <w:tc>
          <w:tcPr>
            <w:tcW w:w="2340" w:type="pct"/>
            <w:tcBorders>
              <w:top w:val="single" w:sz="4" w:space="0" w:color="auto"/>
              <w:left w:val="nil"/>
              <w:bottom w:val="single" w:sz="4" w:space="0" w:color="auto"/>
              <w:right w:val="nil"/>
            </w:tcBorders>
            <w:shd w:val="clear" w:color="auto" w:fill="auto"/>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Alternativa</w:t>
            </w:r>
          </w:p>
        </w:tc>
        <w:tc>
          <w:tcPr>
            <w:tcW w:w="644" w:type="pct"/>
            <w:tcBorders>
              <w:top w:val="single" w:sz="4" w:space="0" w:color="auto"/>
              <w:left w:val="nil"/>
              <w:bottom w:val="single" w:sz="4" w:space="0" w:color="auto"/>
              <w:right w:val="nil"/>
            </w:tcBorders>
            <w:shd w:val="clear" w:color="auto" w:fill="auto"/>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Frequência Absoluta</w:t>
            </w:r>
          </w:p>
        </w:tc>
        <w:tc>
          <w:tcPr>
            <w:tcW w:w="610" w:type="pct"/>
            <w:tcBorders>
              <w:top w:val="single" w:sz="4" w:space="0" w:color="auto"/>
              <w:left w:val="nil"/>
              <w:bottom w:val="single" w:sz="4" w:space="0" w:color="auto"/>
              <w:right w:val="nil"/>
            </w:tcBorders>
            <w:shd w:val="clear" w:color="auto" w:fill="auto"/>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Frequência Relativa</w:t>
            </w:r>
          </w:p>
        </w:tc>
      </w:tr>
      <w:tr w:rsidR="00792148" w:rsidRPr="000E5487" w:rsidTr="005D3924">
        <w:trPr>
          <w:trHeight w:val="255"/>
        </w:trPr>
        <w:tc>
          <w:tcPr>
            <w:tcW w:w="1406" w:type="pct"/>
            <w:vMerge w:val="restart"/>
            <w:tcBorders>
              <w:top w:val="nil"/>
              <w:left w:val="nil"/>
              <w:bottom w:val="nil"/>
              <w:right w:val="nil"/>
            </w:tcBorders>
            <w:shd w:val="clear" w:color="000000" w:fill="F2F2F2"/>
            <w:vAlign w:val="center"/>
            <w:hideMark/>
          </w:tcPr>
          <w:p w:rsidR="00792148" w:rsidRPr="000E5487" w:rsidRDefault="00753205" w:rsidP="00485D63">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P</w:t>
            </w:r>
            <w:r w:rsidR="00792148" w:rsidRPr="000E5487">
              <w:rPr>
                <w:rFonts w:ascii="Times New Roman" w:hAnsi="Times New Roman"/>
                <w:b/>
                <w:bCs/>
                <w:color w:val="000000"/>
                <w:sz w:val="20"/>
                <w:szCs w:val="20"/>
              </w:rPr>
              <w:t xml:space="preserve">adronização </w:t>
            </w:r>
            <w:r w:rsidR="00A16548" w:rsidRPr="000E5487">
              <w:rPr>
                <w:rFonts w:ascii="Times New Roman" w:hAnsi="Times New Roman"/>
                <w:b/>
                <w:bCs/>
                <w:color w:val="000000"/>
                <w:sz w:val="20"/>
                <w:szCs w:val="20"/>
              </w:rPr>
              <w:t>d</w:t>
            </w:r>
            <w:r w:rsidR="00792148" w:rsidRPr="000E5487">
              <w:rPr>
                <w:rFonts w:ascii="Times New Roman" w:hAnsi="Times New Roman"/>
                <w:b/>
                <w:bCs/>
                <w:color w:val="000000"/>
                <w:sz w:val="20"/>
                <w:szCs w:val="20"/>
              </w:rPr>
              <w:t xml:space="preserve">os </w:t>
            </w:r>
            <w:r w:rsidR="006D5335" w:rsidRPr="000E5487">
              <w:rPr>
                <w:rFonts w:ascii="Times New Roman" w:hAnsi="Times New Roman"/>
                <w:b/>
                <w:bCs/>
                <w:color w:val="000000"/>
                <w:sz w:val="20"/>
                <w:szCs w:val="20"/>
              </w:rPr>
              <w:t>c</w:t>
            </w:r>
            <w:r w:rsidR="00792148" w:rsidRPr="000E5487">
              <w:rPr>
                <w:rFonts w:ascii="Times New Roman" w:hAnsi="Times New Roman"/>
                <w:b/>
                <w:bCs/>
                <w:color w:val="000000"/>
                <w:sz w:val="20"/>
                <w:szCs w:val="20"/>
              </w:rPr>
              <w:t xml:space="preserve">ustos de </w:t>
            </w:r>
            <w:r w:rsidR="006D5335" w:rsidRPr="000E5487">
              <w:rPr>
                <w:rFonts w:ascii="Times New Roman" w:hAnsi="Times New Roman"/>
                <w:b/>
                <w:bCs/>
                <w:color w:val="000000"/>
                <w:sz w:val="20"/>
                <w:szCs w:val="20"/>
              </w:rPr>
              <w:t>p</w:t>
            </w:r>
            <w:r w:rsidR="00792148" w:rsidRPr="000E5487">
              <w:rPr>
                <w:rFonts w:ascii="Times New Roman" w:hAnsi="Times New Roman"/>
                <w:b/>
                <w:bCs/>
                <w:color w:val="000000"/>
                <w:sz w:val="20"/>
                <w:szCs w:val="20"/>
              </w:rPr>
              <w:t>rodução</w:t>
            </w:r>
          </w:p>
        </w:tc>
        <w:tc>
          <w:tcPr>
            <w:tcW w:w="234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Sim</w:t>
            </w:r>
          </w:p>
        </w:tc>
        <w:tc>
          <w:tcPr>
            <w:tcW w:w="644"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4</w:t>
            </w:r>
          </w:p>
        </w:tc>
        <w:tc>
          <w:tcPr>
            <w:tcW w:w="61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17,39%</w:t>
            </w:r>
          </w:p>
        </w:tc>
      </w:tr>
      <w:tr w:rsidR="00792148" w:rsidRPr="000E5487" w:rsidTr="005D3924">
        <w:trPr>
          <w:trHeight w:val="255"/>
        </w:trPr>
        <w:tc>
          <w:tcPr>
            <w:tcW w:w="1406" w:type="pct"/>
            <w:vMerge/>
            <w:tcBorders>
              <w:top w:val="nil"/>
              <w:left w:val="nil"/>
              <w:bottom w:val="nil"/>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Não</w:t>
            </w:r>
          </w:p>
        </w:tc>
        <w:tc>
          <w:tcPr>
            <w:tcW w:w="644"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19</w:t>
            </w:r>
          </w:p>
        </w:tc>
        <w:tc>
          <w:tcPr>
            <w:tcW w:w="61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82,61%</w:t>
            </w:r>
          </w:p>
        </w:tc>
      </w:tr>
      <w:tr w:rsidR="00792148" w:rsidRPr="000E5487" w:rsidTr="005D3924">
        <w:trPr>
          <w:trHeight w:val="255"/>
        </w:trPr>
        <w:tc>
          <w:tcPr>
            <w:tcW w:w="1406" w:type="pct"/>
            <w:vMerge/>
            <w:tcBorders>
              <w:top w:val="nil"/>
              <w:left w:val="nil"/>
              <w:bottom w:val="nil"/>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nil"/>
              <w:right w:val="nil"/>
            </w:tcBorders>
            <w:shd w:val="clear" w:color="000000" w:fill="F2F2F2"/>
            <w:vAlign w:val="center"/>
            <w:hideMark/>
          </w:tcPr>
          <w:p w:rsidR="00792148" w:rsidRPr="000E5487" w:rsidRDefault="00792148" w:rsidP="00485D63">
            <w:pPr>
              <w:spacing w:after="0" w:line="240" w:lineRule="auto"/>
              <w:jc w:val="right"/>
              <w:rPr>
                <w:rFonts w:ascii="Times New Roman" w:hAnsi="Times New Roman"/>
                <w:b/>
                <w:bCs/>
                <w:color w:val="000000"/>
                <w:sz w:val="20"/>
                <w:szCs w:val="20"/>
              </w:rPr>
            </w:pPr>
            <w:r w:rsidRPr="000E5487">
              <w:rPr>
                <w:rFonts w:ascii="Times New Roman" w:hAnsi="Times New Roman"/>
                <w:b/>
                <w:bCs/>
                <w:color w:val="000000"/>
                <w:sz w:val="20"/>
                <w:szCs w:val="20"/>
              </w:rPr>
              <w:t>Total</w:t>
            </w:r>
          </w:p>
        </w:tc>
        <w:tc>
          <w:tcPr>
            <w:tcW w:w="644"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23</w:t>
            </w:r>
          </w:p>
        </w:tc>
        <w:tc>
          <w:tcPr>
            <w:tcW w:w="61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792148" w:rsidRPr="000E5487" w:rsidTr="005D3924">
        <w:trPr>
          <w:trHeight w:val="255"/>
        </w:trPr>
        <w:tc>
          <w:tcPr>
            <w:tcW w:w="1406"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ind w:firstLine="2"/>
              <w:rPr>
                <w:rFonts w:ascii="Times New Roman" w:hAnsi="Times New Roman"/>
                <w:color w:val="FF0000"/>
                <w:sz w:val="20"/>
                <w:szCs w:val="20"/>
              </w:rPr>
            </w:pPr>
          </w:p>
        </w:tc>
        <w:tc>
          <w:tcPr>
            <w:tcW w:w="234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rPr>
                <w:rFonts w:ascii="Times New Roman" w:hAnsi="Times New Roman"/>
                <w:color w:val="FF0000"/>
                <w:sz w:val="20"/>
                <w:szCs w:val="20"/>
              </w:rPr>
            </w:pPr>
          </w:p>
        </w:tc>
        <w:tc>
          <w:tcPr>
            <w:tcW w:w="644"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FF0000"/>
                <w:sz w:val="20"/>
                <w:szCs w:val="20"/>
              </w:rPr>
            </w:pPr>
          </w:p>
        </w:tc>
        <w:tc>
          <w:tcPr>
            <w:tcW w:w="61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FF0000"/>
                <w:sz w:val="20"/>
                <w:szCs w:val="20"/>
              </w:rPr>
            </w:pPr>
          </w:p>
        </w:tc>
      </w:tr>
      <w:tr w:rsidR="00792148" w:rsidRPr="000E5487" w:rsidTr="005D3924">
        <w:trPr>
          <w:trHeight w:val="255"/>
        </w:trPr>
        <w:tc>
          <w:tcPr>
            <w:tcW w:w="1406" w:type="pct"/>
            <w:vMerge w:val="restart"/>
            <w:tcBorders>
              <w:top w:val="nil"/>
              <w:left w:val="nil"/>
              <w:bottom w:val="nil"/>
              <w:right w:val="nil"/>
            </w:tcBorders>
            <w:shd w:val="clear" w:color="auto" w:fill="auto"/>
            <w:vAlign w:val="center"/>
            <w:hideMark/>
          </w:tcPr>
          <w:p w:rsidR="00792148" w:rsidRPr="000E5487" w:rsidRDefault="00753205" w:rsidP="00485D63">
            <w:pPr>
              <w:spacing w:after="0" w:line="240" w:lineRule="auto"/>
              <w:ind w:firstLine="2"/>
              <w:rPr>
                <w:rFonts w:ascii="Times New Roman" w:hAnsi="Times New Roman"/>
                <w:b/>
                <w:bCs/>
                <w:color w:val="000000"/>
                <w:sz w:val="20"/>
                <w:szCs w:val="20"/>
              </w:rPr>
            </w:pPr>
            <w:r w:rsidRPr="000E5487">
              <w:rPr>
                <w:rFonts w:ascii="Times New Roman" w:hAnsi="Times New Roman"/>
                <w:b/>
                <w:bCs/>
                <w:color w:val="000000"/>
                <w:sz w:val="20"/>
                <w:szCs w:val="20"/>
              </w:rPr>
              <w:t xml:space="preserve">Origem das </w:t>
            </w:r>
            <w:r w:rsidR="006D5335" w:rsidRPr="000E5487">
              <w:rPr>
                <w:rFonts w:ascii="Times New Roman" w:hAnsi="Times New Roman"/>
                <w:b/>
                <w:bCs/>
                <w:color w:val="000000"/>
                <w:sz w:val="20"/>
                <w:szCs w:val="20"/>
              </w:rPr>
              <w:t>i</w:t>
            </w:r>
            <w:r w:rsidR="00792148" w:rsidRPr="000E5487">
              <w:rPr>
                <w:rFonts w:ascii="Times New Roman" w:hAnsi="Times New Roman"/>
                <w:b/>
                <w:bCs/>
                <w:color w:val="000000"/>
                <w:sz w:val="20"/>
                <w:szCs w:val="20"/>
              </w:rPr>
              <w:t xml:space="preserve">nformações </w:t>
            </w:r>
            <w:r w:rsidR="006D5335" w:rsidRPr="000E5487">
              <w:rPr>
                <w:rFonts w:ascii="Times New Roman" w:hAnsi="Times New Roman"/>
                <w:b/>
                <w:bCs/>
                <w:color w:val="000000"/>
                <w:sz w:val="20"/>
                <w:szCs w:val="20"/>
              </w:rPr>
              <w:t>e</w:t>
            </w:r>
            <w:r w:rsidR="00792148" w:rsidRPr="000E5487">
              <w:rPr>
                <w:rFonts w:ascii="Times New Roman" w:hAnsi="Times New Roman"/>
                <w:b/>
                <w:bCs/>
                <w:color w:val="000000"/>
                <w:sz w:val="20"/>
                <w:szCs w:val="20"/>
              </w:rPr>
              <w:t xml:space="preserve">xternas </w:t>
            </w:r>
            <w:r w:rsidRPr="000E5487">
              <w:rPr>
                <w:rFonts w:ascii="Times New Roman" w:hAnsi="Times New Roman"/>
                <w:b/>
                <w:bCs/>
                <w:color w:val="000000"/>
                <w:sz w:val="20"/>
                <w:szCs w:val="20"/>
              </w:rPr>
              <w:t xml:space="preserve">na </w:t>
            </w:r>
            <w:r w:rsidR="006D5335" w:rsidRPr="000E5487">
              <w:rPr>
                <w:rFonts w:ascii="Times New Roman" w:hAnsi="Times New Roman"/>
                <w:b/>
                <w:bCs/>
                <w:color w:val="000000"/>
                <w:sz w:val="20"/>
                <w:szCs w:val="20"/>
              </w:rPr>
              <w:t>p</w:t>
            </w:r>
            <w:r w:rsidRPr="000E5487">
              <w:rPr>
                <w:rFonts w:ascii="Times New Roman" w:hAnsi="Times New Roman"/>
                <w:b/>
                <w:bCs/>
                <w:color w:val="000000"/>
                <w:sz w:val="20"/>
                <w:szCs w:val="20"/>
              </w:rPr>
              <w:t xml:space="preserve">adronização dos </w:t>
            </w:r>
            <w:r w:rsidR="006D5335" w:rsidRPr="000E5487">
              <w:rPr>
                <w:rFonts w:ascii="Times New Roman" w:hAnsi="Times New Roman"/>
                <w:b/>
                <w:bCs/>
                <w:color w:val="000000"/>
                <w:sz w:val="20"/>
                <w:szCs w:val="20"/>
              </w:rPr>
              <w:t>c</w:t>
            </w:r>
            <w:r w:rsidRPr="000E5487">
              <w:rPr>
                <w:rFonts w:ascii="Times New Roman" w:hAnsi="Times New Roman"/>
                <w:b/>
                <w:bCs/>
                <w:color w:val="000000"/>
                <w:sz w:val="20"/>
                <w:szCs w:val="20"/>
              </w:rPr>
              <w:t xml:space="preserve">ustos de </w:t>
            </w:r>
            <w:r w:rsidR="006D5335" w:rsidRPr="000E5487">
              <w:rPr>
                <w:rFonts w:ascii="Times New Roman" w:hAnsi="Times New Roman"/>
                <w:b/>
                <w:bCs/>
                <w:color w:val="000000"/>
                <w:sz w:val="20"/>
                <w:szCs w:val="20"/>
              </w:rPr>
              <w:t>p</w:t>
            </w:r>
            <w:r w:rsidRPr="000E5487">
              <w:rPr>
                <w:rFonts w:ascii="Times New Roman" w:hAnsi="Times New Roman"/>
                <w:b/>
                <w:bCs/>
                <w:color w:val="000000"/>
                <w:sz w:val="20"/>
                <w:szCs w:val="20"/>
              </w:rPr>
              <w:t>rodução</w:t>
            </w:r>
          </w:p>
        </w:tc>
        <w:tc>
          <w:tcPr>
            <w:tcW w:w="234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CONAB</w:t>
            </w:r>
          </w:p>
        </w:tc>
        <w:tc>
          <w:tcPr>
            <w:tcW w:w="644"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w:t>
            </w:r>
          </w:p>
        </w:tc>
        <w:tc>
          <w:tcPr>
            <w:tcW w:w="61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25,00%</w:t>
            </w:r>
          </w:p>
        </w:tc>
      </w:tr>
      <w:tr w:rsidR="00792148" w:rsidRPr="000E5487" w:rsidTr="005D3924">
        <w:trPr>
          <w:trHeight w:val="255"/>
        </w:trPr>
        <w:tc>
          <w:tcPr>
            <w:tcW w:w="1406" w:type="pct"/>
            <w:vMerge/>
            <w:tcBorders>
              <w:top w:val="nil"/>
              <w:left w:val="nil"/>
              <w:bottom w:val="nil"/>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CONSECANA</w:t>
            </w:r>
          </w:p>
        </w:tc>
        <w:tc>
          <w:tcPr>
            <w:tcW w:w="644"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w:t>
            </w:r>
          </w:p>
        </w:tc>
        <w:tc>
          <w:tcPr>
            <w:tcW w:w="61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25,00%</w:t>
            </w:r>
          </w:p>
        </w:tc>
      </w:tr>
      <w:tr w:rsidR="00792148" w:rsidRPr="000E5487" w:rsidTr="005D3924">
        <w:trPr>
          <w:trHeight w:val="151"/>
        </w:trPr>
        <w:tc>
          <w:tcPr>
            <w:tcW w:w="1406" w:type="pct"/>
            <w:vMerge/>
            <w:tcBorders>
              <w:top w:val="nil"/>
              <w:left w:val="nil"/>
              <w:bottom w:val="nil"/>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nil"/>
              <w:right w:val="nil"/>
            </w:tcBorders>
            <w:shd w:val="clear" w:color="000000" w:fill="F2F2F2"/>
            <w:vAlign w:val="center"/>
            <w:hideMark/>
          </w:tcPr>
          <w:p w:rsidR="00792148" w:rsidRPr="000E5487" w:rsidRDefault="00792148" w:rsidP="00485D63">
            <w:pPr>
              <w:spacing w:after="0" w:line="240" w:lineRule="auto"/>
              <w:jc w:val="both"/>
              <w:rPr>
                <w:rFonts w:ascii="Times New Roman" w:hAnsi="Times New Roman"/>
                <w:color w:val="000000"/>
                <w:sz w:val="20"/>
                <w:szCs w:val="20"/>
              </w:rPr>
            </w:pPr>
            <w:r w:rsidRPr="000E5487">
              <w:rPr>
                <w:rFonts w:ascii="Times New Roman" w:hAnsi="Times New Roman"/>
                <w:color w:val="000000"/>
                <w:sz w:val="20"/>
                <w:szCs w:val="20"/>
              </w:rPr>
              <w:t>EMBRAPA</w:t>
            </w:r>
          </w:p>
        </w:tc>
        <w:tc>
          <w:tcPr>
            <w:tcW w:w="644"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w:t>
            </w:r>
          </w:p>
        </w:tc>
        <w:tc>
          <w:tcPr>
            <w:tcW w:w="61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25,00%</w:t>
            </w:r>
          </w:p>
        </w:tc>
      </w:tr>
      <w:tr w:rsidR="00792148" w:rsidRPr="000E5487" w:rsidTr="005D3924">
        <w:trPr>
          <w:trHeight w:val="182"/>
        </w:trPr>
        <w:tc>
          <w:tcPr>
            <w:tcW w:w="1406" w:type="pct"/>
            <w:vMerge/>
            <w:tcBorders>
              <w:top w:val="nil"/>
              <w:left w:val="nil"/>
              <w:bottom w:val="nil"/>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nil"/>
              <w:right w:val="nil"/>
            </w:tcBorders>
            <w:shd w:val="clear" w:color="auto" w:fill="auto"/>
            <w:vAlign w:val="center"/>
            <w:hideMark/>
          </w:tcPr>
          <w:p w:rsidR="00792148" w:rsidRPr="000E5487" w:rsidRDefault="00792148" w:rsidP="00485D63">
            <w:pPr>
              <w:spacing w:after="0" w:line="240" w:lineRule="auto"/>
              <w:jc w:val="both"/>
              <w:rPr>
                <w:rFonts w:ascii="Times New Roman" w:hAnsi="Times New Roman"/>
                <w:color w:val="000000"/>
                <w:sz w:val="20"/>
                <w:szCs w:val="20"/>
              </w:rPr>
            </w:pPr>
            <w:r w:rsidRPr="000E5487">
              <w:rPr>
                <w:rFonts w:ascii="Times New Roman" w:hAnsi="Times New Roman"/>
                <w:color w:val="000000"/>
                <w:sz w:val="20"/>
                <w:szCs w:val="20"/>
              </w:rPr>
              <w:t>Sindicato Local</w:t>
            </w:r>
          </w:p>
        </w:tc>
        <w:tc>
          <w:tcPr>
            <w:tcW w:w="644"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w:t>
            </w:r>
          </w:p>
        </w:tc>
        <w:tc>
          <w:tcPr>
            <w:tcW w:w="61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25,00%</w:t>
            </w:r>
          </w:p>
        </w:tc>
      </w:tr>
      <w:tr w:rsidR="00792148" w:rsidRPr="000E5487" w:rsidTr="005D3924">
        <w:trPr>
          <w:trHeight w:val="255"/>
        </w:trPr>
        <w:tc>
          <w:tcPr>
            <w:tcW w:w="1406" w:type="pct"/>
            <w:vMerge/>
            <w:tcBorders>
              <w:top w:val="nil"/>
              <w:left w:val="nil"/>
              <w:bottom w:val="nil"/>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nil"/>
              <w:right w:val="nil"/>
            </w:tcBorders>
            <w:shd w:val="clear" w:color="000000" w:fill="F2F2F2"/>
            <w:vAlign w:val="center"/>
            <w:hideMark/>
          </w:tcPr>
          <w:p w:rsidR="00792148" w:rsidRPr="000E5487" w:rsidRDefault="00792148" w:rsidP="00485D63">
            <w:pPr>
              <w:spacing w:after="0" w:line="240" w:lineRule="auto"/>
              <w:jc w:val="right"/>
              <w:rPr>
                <w:rFonts w:ascii="Times New Roman" w:hAnsi="Times New Roman"/>
                <w:b/>
                <w:bCs/>
                <w:color w:val="000000"/>
                <w:sz w:val="20"/>
                <w:szCs w:val="20"/>
              </w:rPr>
            </w:pPr>
            <w:r w:rsidRPr="000E5487">
              <w:rPr>
                <w:rFonts w:ascii="Times New Roman" w:hAnsi="Times New Roman"/>
                <w:b/>
                <w:bCs/>
                <w:color w:val="000000"/>
                <w:sz w:val="20"/>
                <w:szCs w:val="20"/>
              </w:rPr>
              <w:t>Total</w:t>
            </w:r>
          </w:p>
        </w:tc>
        <w:tc>
          <w:tcPr>
            <w:tcW w:w="644"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4</w:t>
            </w:r>
          </w:p>
        </w:tc>
        <w:tc>
          <w:tcPr>
            <w:tcW w:w="61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792148" w:rsidRPr="000E5487" w:rsidTr="00DB5ED6">
        <w:trPr>
          <w:trHeight w:val="287"/>
        </w:trPr>
        <w:tc>
          <w:tcPr>
            <w:tcW w:w="1406" w:type="pct"/>
            <w:tcBorders>
              <w:top w:val="nil"/>
              <w:left w:val="nil"/>
              <w:right w:val="nil"/>
            </w:tcBorders>
            <w:shd w:val="clear" w:color="auto" w:fill="auto"/>
            <w:noWrap/>
            <w:vAlign w:val="center"/>
            <w:hideMark/>
          </w:tcPr>
          <w:p w:rsidR="00792148" w:rsidRPr="000E5487" w:rsidRDefault="00792148" w:rsidP="00485D63">
            <w:pPr>
              <w:spacing w:after="0" w:line="240" w:lineRule="auto"/>
              <w:ind w:firstLine="2"/>
              <w:rPr>
                <w:rFonts w:ascii="Times New Roman" w:hAnsi="Times New Roman"/>
                <w:color w:val="FF0000"/>
                <w:sz w:val="20"/>
                <w:szCs w:val="20"/>
              </w:rPr>
            </w:pPr>
          </w:p>
        </w:tc>
        <w:tc>
          <w:tcPr>
            <w:tcW w:w="2340" w:type="pct"/>
            <w:tcBorders>
              <w:top w:val="nil"/>
              <w:left w:val="nil"/>
              <w:right w:val="nil"/>
            </w:tcBorders>
            <w:shd w:val="clear" w:color="auto" w:fill="auto"/>
            <w:noWrap/>
            <w:vAlign w:val="center"/>
            <w:hideMark/>
          </w:tcPr>
          <w:p w:rsidR="00792148" w:rsidRPr="000E5487" w:rsidRDefault="00792148" w:rsidP="00485D63">
            <w:pPr>
              <w:spacing w:after="0" w:line="240" w:lineRule="auto"/>
              <w:rPr>
                <w:rFonts w:ascii="Times New Roman" w:hAnsi="Times New Roman"/>
                <w:color w:val="FF0000"/>
                <w:sz w:val="20"/>
                <w:szCs w:val="20"/>
              </w:rPr>
            </w:pPr>
          </w:p>
        </w:tc>
        <w:tc>
          <w:tcPr>
            <w:tcW w:w="644" w:type="pct"/>
            <w:tcBorders>
              <w:top w:val="nil"/>
              <w:left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FF0000"/>
                <w:sz w:val="20"/>
                <w:szCs w:val="20"/>
              </w:rPr>
            </w:pPr>
          </w:p>
        </w:tc>
        <w:tc>
          <w:tcPr>
            <w:tcW w:w="610" w:type="pct"/>
            <w:tcBorders>
              <w:top w:val="nil"/>
              <w:left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FF0000"/>
                <w:sz w:val="20"/>
                <w:szCs w:val="20"/>
              </w:rPr>
            </w:pPr>
          </w:p>
        </w:tc>
      </w:tr>
      <w:tr w:rsidR="00792148" w:rsidRPr="000E5487" w:rsidTr="005D3924">
        <w:trPr>
          <w:trHeight w:val="133"/>
        </w:trPr>
        <w:tc>
          <w:tcPr>
            <w:tcW w:w="1406" w:type="pct"/>
            <w:vMerge w:val="restart"/>
            <w:tcBorders>
              <w:top w:val="nil"/>
              <w:left w:val="nil"/>
              <w:bottom w:val="nil"/>
              <w:right w:val="nil"/>
            </w:tcBorders>
            <w:shd w:val="clear" w:color="000000" w:fill="F2F2F2"/>
            <w:vAlign w:val="center"/>
            <w:hideMark/>
          </w:tcPr>
          <w:p w:rsidR="00792148" w:rsidRPr="000E5487" w:rsidRDefault="00753205" w:rsidP="00485D63">
            <w:pPr>
              <w:spacing w:after="0" w:line="240" w:lineRule="auto"/>
              <w:ind w:firstLine="2"/>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Método de </w:t>
            </w:r>
            <w:r w:rsidR="006D5335" w:rsidRPr="000E5487">
              <w:rPr>
                <w:rFonts w:ascii="Times New Roman" w:hAnsi="Times New Roman"/>
                <w:b/>
                <w:bCs/>
                <w:color w:val="000000"/>
                <w:sz w:val="20"/>
                <w:szCs w:val="20"/>
              </w:rPr>
              <w:t>d</w:t>
            </w:r>
            <w:r w:rsidR="00792148" w:rsidRPr="000E5487">
              <w:rPr>
                <w:rFonts w:ascii="Times New Roman" w:hAnsi="Times New Roman"/>
                <w:b/>
                <w:bCs/>
                <w:color w:val="000000"/>
                <w:sz w:val="20"/>
                <w:szCs w:val="20"/>
              </w:rPr>
              <w:t xml:space="preserve">epreciação </w:t>
            </w:r>
          </w:p>
        </w:tc>
        <w:tc>
          <w:tcPr>
            <w:tcW w:w="234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Regulamento do Imposto de Renda</w:t>
            </w:r>
          </w:p>
        </w:tc>
        <w:tc>
          <w:tcPr>
            <w:tcW w:w="644"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12</w:t>
            </w:r>
          </w:p>
        </w:tc>
        <w:tc>
          <w:tcPr>
            <w:tcW w:w="610" w:type="pct"/>
            <w:tcBorders>
              <w:top w:val="nil"/>
              <w:left w:val="nil"/>
              <w:bottom w:val="nil"/>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52,17%</w:t>
            </w:r>
          </w:p>
        </w:tc>
      </w:tr>
      <w:tr w:rsidR="00792148" w:rsidRPr="000E5487" w:rsidTr="005D3924">
        <w:trPr>
          <w:trHeight w:val="308"/>
        </w:trPr>
        <w:tc>
          <w:tcPr>
            <w:tcW w:w="1406" w:type="pct"/>
            <w:vMerge/>
            <w:tcBorders>
              <w:top w:val="nil"/>
              <w:left w:val="nil"/>
              <w:bottom w:val="nil"/>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nil"/>
              <w:right w:val="nil"/>
            </w:tcBorders>
            <w:shd w:val="clear" w:color="auto" w:fill="auto"/>
            <w:vAlign w:val="center"/>
            <w:hideMark/>
          </w:tcPr>
          <w:p w:rsidR="00792148" w:rsidRPr="000E5487" w:rsidRDefault="00792148" w:rsidP="00485D63">
            <w:pPr>
              <w:spacing w:after="0" w:line="240" w:lineRule="auto"/>
              <w:rPr>
                <w:rFonts w:ascii="Times New Roman" w:hAnsi="Times New Roman"/>
                <w:color w:val="000000"/>
                <w:sz w:val="20"/>
                <w:szCs w:val="20"/>
              </w:rPr>
            </w:pPr>
            <w:r w:rsidRPr="000E5487">
              <w:rPr>
                <w:rFonts w:ascii="Times New Roman" w:hAnsi="Times New Roman"/>
                <w:color w:val="000000"/>
                <w:sz w:val="20"/>
                <w:szCs w:val="20"/>
              </w:rPr>
              <w:t>Método Linear com informações internas</w:t>
            </w:r>
          </w:p>
        </w:tc>
        <w:tc>
          <w:tcPr>
            <w:tcW w:w="644"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11</w:t>
            </w:r>
          </w:p>
        </w:tc>
        <w:tc>
          <w:tcPr>
            <w:tcW w:w="610" w:type="pct"/>
            <w:tcBorders>
              <w:top w:val="nil"/>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47,83%</w:t>
            </w:r>
          </w:p>
        </w:tc>
      </w:tr>
      <w:tr w:rsidR="00792148" w:rsidRPr="000E5487" w:rsidTr="00DB5ED6">
        <w:trPr>
          <w:trHeight w:val="88"/>
        </w:trPr>
        <w:tc>
          <w:tcPr>
            <w:tcW w:w="1406" w:type="pct"/>
            <w:vMerge/>
            <w:tcBorders>
              <w:top w:val="nil"/>
              <w:left w:val="nil"/>
              <w:bottom w:val="single" w:sz="4" w:space="0" w:color="auto"/>
              <w:right w:val="nil"/>
            </w:tcBorders>
            <w:vAlign w:val="center"/>
            <w:hideMark/>
          </w:tcPr>
          <w:p w:rsidR="00792148" w:rsidRPr="000E5487" w:rsidRDefault="00792148" w:rsidP="00485D63">
            <w:pPr>
              <w:spacing w:after="0" w:line="240" w:lineRule="auto"/>
              <w:ind w:firstLine="2"/>
              <w:rPr>
                <w:rFonts w:ascii="Times New Roman" w:hAnsi="Times New Roman"/>
                <w:b/>
                <w:bCs/>
                <w:color w:val="000000"/>
                <w:sz w:val="20"/>
                <w:szCs w:val="20"/>
              </w:rPr>
            </w:pPr>
          </w:p>
        </w:tc>
        <w:tc>
          <w:tcPr>
            <w:tcW w:w="2340" w:type="pct"/>
            <w:tcBorders>
              <w:top w:val="nil"/>
              <w:left w:val="nil"/>
              <w:bottom w:val="single" w:sz="4" w:space="0" w:color="auto"/>
              <w:right w:val="nil"/>
            </w:tcBorders>
            <w:shd w:val="clear" w:color="000000" w:fill="F2F2F2"/>
            <w:vAlign w:val="center"/>
            <w:hideMark/>
          </w:tcPr>
          <w:p w:rsidR="00792148" w:rsidRPr="000E5487" w:rsidRDefault="00792148" w:rsidP="00485D63">
            <w:pPr>
              <w:spacing w:after="0" w:line="240" w:lineRule="auto"/>
              <w:jc w:val="right"/>
              <w:rPr>
                <w:rFonts w:ascii="Times New Roman" w:hAnsi="Times New Roman"/>
                <w:b/>
                <w:bCs/>
                <w:color w:val="000000"/>
                <w:sz w:val="20"/>
                <w:szCs w:val="20"/>
              </w:rPr>
            </w:pPr>
            <w:r w:rsidRPr="000E5487">
              <w:rPr>
                <w:rFonts w:ascii="Times New Roman" w:hAnsi="Times New Roman"/>
                <w:b/>
                <w:bCs/>
                <w:color w:val="000000"/>
                <w:sz w:val="20"/>
                <w:szCs w:val="20"/>
              </w:rPr>
              <w:t>Total</w:t>
            </w:r>
          </w:p>
        </w:tc>
        <w:tc>
          <w:tcPr>
            <w:tcW w:w="644" w:type="pct"/>
            <w:tcBorders>
              <w:top w:val="nil"/>
              <w:left w:val="nil"/>
              <w:bottom w:val="single" w:sz="4" w:space="0" w:color="auto"/>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23</w:t>
            </w:r>
          </w:p>
        </w:tc>
        <w:tc>
          <w:tcPr>
            <w:tcW w:w="610" w:type="pct"/>
            <w:tcBorders>
              <w:top w:val="nil"/>
              <w:left w:val="nil"/>
              <w:bottom w:val="single" w:sz="4" w:space="0" w:color="auto"/>
              <w:right w:val="nil"/>
            </w:tcBorders>
            <w:shd w:val="clear" w:color="000000" w:fill="F2F2F2"/>
            <w:noWrap/>
            <w:vAlign w:val="center"/>
            <w:hideMark/>
          </w:tcPr>
          <w:p w:rsidR="00792148" w:rsidRPr="000E5487" w:rsidRDefault="00792148"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100,00%</w:t>
            </w:r>
          </w:p>
        </w:tc>
      </w:tr>
      <w:tr w:rsidR="00792148" w:rsidRPr="000E5487" w:rsidTr="00DB5ED6">
        <w:trPr>
          <w:trHeight w:val="218"/>
        </w:trPr>
        <w:tc>
          <w:tcPr>
            <w:tcW w:w="1406" w:type="pct"/>
            <w:tcBorders>
              <w:top w:val="single" w:sz="4" w:space="0" w:color="auto"/>
              <w:left w:val="nil"/>
              <w:bottom w:val="nil"/>
              <w:right w:val="nil"/>
            </w:tcBorders>
            <w:shd w:val="clear" w:color="auto" w:fill="auto"/>
            <w:noWrap/>
            <w:vAlign w:val="center"/>
            <w:hideMark/>
          </w:tcPr>
          <w:p w:rsidR="00792148" w:rsidRPr="000E5487" w:rsidRDefault="00792148" w:rsidP="00485D63">
            <w:pPr>
              <w:spacing w:after="0" w:line="240" w:lineRule="auto"/>
              <w:ind w:firstLine="2"/>
              <w:rPr>
                <w:rFonts w:ascii="Times New Roman" w:hAnsi="Times New Roman"/>
                <w:color w:val="FF0000"/>
                <w:sz w:val="20"/>
                <w:szCs w:val="20"/>
              </w:rPr>
            </w:pPr>
          </w:p>
        </w:tc>
        <w:tc>
          <w:tcPr>
            <w:tcW w:w="2340" w:type="pct"/>
            <w:tcBorders>
              <w:top w:val="single" w:sz="4" w:space="0" w:color="auto"/>
              <w:left w:val="nil"/>
              <w:bottom w:val="nil"/>
              <w:right w:val="nil"/>
            </w:tcBorders>
            <w:shd w:val="clear" w:color="auto" w:fill="auto"/>
            <w:noWrap/>
            <w:vAlign w:val="center"/>
            <w:hideMark/>
          </w:tcPr>
          <w:p w:rsidR="00792148" w:rsidRPr="000E5487" w:rsidRDefault="00792148" w:rsidP="00485D63">
            <w:pPr>
              <w:spacing w:after="0" w:line="240" w:lineRule="auto"/>
              <w:rPr>
                <w:rFonts w:ascii="Times New Roman" w:hAnsi="Times New Roman"/>
                <w:color w:val="FF0000"/>
                <w:sz w:val="20"/>
                <w:szCs w:val="20"/>
              </w:rPr>
            </w:pPr>
          </w:p>
        </w:tc>
        <w:tc>
          <w:tcPr>
            <w:tcW w:w="644" w:type="pct"/>
            <w:tcBorders>
              <w:top w:val="single" w:sz="4" w:space="0" w:color="auto"/>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FF0000"/>
                <w:sz w:val="20"/>
                <w:szCs w:val="20"/>
              </w:rPr>
            </w:pPr>
          </w:p>
        </w:tc>
        <w:tc>
          <w:tcPr>
            <w:tcW w:w="610" w:type="pct"/>
            <w:tcBorders>
              <w:top w:val="single" w:sz="4" w:space="0" w:color="auto"/>
              <w:left w:val="nil"/>
              <w:bottom w:val="nil"/>
              <w:right w:val="nil"/>
            </w:tcBorders>
            <w:shd w:val="clear" w:color="auto" w:fill="auto"/>
            <w:noWrap/>
            <w:vAlign w:val="center"/>
            <w:hideMark/>
          </w:tcPr>
          <w:p w:rsidR="00792148" w:rsidRPr="000E5487" w:rsidRDefault="00792148" w:rsidP="00485D63">
            <w:pPr>
              <w:spacing w:after="0" w:line="240" w:lineRule="auto"/>
              <w:jc w:val="center"/>
              <w:rPr>
                <w:rFonts w:ascii="Times New Roman" w:hAnsi="Times New Roman"/>
                <w:color w:val="FF0000"/>
                <w:sz w:val="20"/>
                <w:szCs w:val="20"/>
              </w:rPr>
            </w:pPr>
          </w:p>
        </w:tc>
      </w:tr>
    </w:tbl>
    <w:p w:rsidR="004E4C6A" w:rsidRPr="000E5487" w:rsidRDefault="001B17D3" w:rsidP="004E4C6A">
      <w:pPr>
        <w:spacing w:after="0" w:line="240" w:lineRule="auto"/>
        <w:ind w:firstLine="709"/>
        <w:jc w:val="both"/>
        <w:rPr>
          <w:rFonts w:ascii="Times New Roman" w:hAnsi="Times New Roman"/>
          <w:szCs w:val="24"/>
        </w:rPr>
      </w:pPr>
      <w:r w:rsidRPr="000E5487">
        <w:rPr>
          <w:rFonts w:ascii="Times New Roman" w:hAnsi="Times New Roman"/>
          <w:szCs w:val="24"/>
        </w:rPr>
        <w:t>A maioria dos respondentes afirma que n</w:t>
      </w:r>
      <w:r w:rsidR="00B45399" w:rsidRPr="000E5487">
        <w:rPr>
          <w:rFonts w:ascii="Times New Roman" w:hAnsi="Times New Roman"/>
          <w:szCs w:val="24"/>
        </w:rPr>
        <w:t>ão</w:t>
      </w:r>
      <w:r w:rsidRPr="000E5487">
        <w:rPr>
          <w:rFonts w:ascii="Times New Roman" w:hAnsi="Times New Roman"/>
          <w:szCs w:val="24"/>
        </w:rPr>
        <w:t xml:space="preserve"> há uma</w:t>
      </w:r>
      <w:r w:rsidR="00B45399" w:rsidRPr="000E5487">
        <w:rPr>
          <w:rFonts w:ascii="Times New Roman" w:hAnsi="Times New Roman"/>
          <w:szCs w:val="24"/>
        </w:rPr>
        <w:t xml:space="preserve"> </w:t>
      </w:r>
      <w:r w:rsidRPr="000E5487">
        <w:rPr>
          <w:rFonts w:ascii="Times New Roman" w:hAnsi="Times New Roman"/>
          <w:szCs w:val="24"/>
        </w:rPr>
        <w:t>p</w:t>
      </w:r>
      <w:r w:rsidR="00B45399" w:rsidRPr="000E5487">
        <w:rPr>
          <w:rFonts w:ascii="Times New Roman" w:hAnsi="Times New Roman"/>
          <w:szCs w:val="24"/>
        </w:rPr>
        <w:t xml:space="preserve">adronização dos custos de produção utilizados no cálculo do FCD, ou seja, a maioria utiliza os custos internos </w:t>
      </w:r>
      <w:r w:rsidR="00946F66" w:rsidRPr="000E5487">
        <w:rPr>
          <w:rFonts w:ascii="Times New Roman" w:hAnsi="Times New Roman"/>
          <w:szCs w:val="24"/>
        </w:rPr>
        <w:t xml:space="preserve">de produção </w:t>
      </w:r>
      <w:r w:rsidR="00B45399" w:rsidRPr="000E5487">
        <w:rPr>
          <w:rFonts w:ascii="Times New Roman" w:hAnsi="Times New Roman"/>
          <w:szCs w:val="24"/>
        </w:rPr>
        <w:t xml:space="preserve">na mensuração dos ativos biológicos. </w:t>
      </w:r>
      <w:r w:rsidR="004E4C6A">
        <w:rPr>
          <w:rFonts w:ascii="Times New Roman" w:hAnsi="Times New Roman"/>
          <w:szCs w:val="24"/>
        </w:rPr>
        <w:t>Quanto</w:t>
      </w:r>
      <w:r w:rsidR="004E4C6A" w:rsidRPr="000E5487">
        <w:rPr>
          <w:rFonts w:ascii="Times New Roman" w:hAnsi="Times New Roman"/>
          <w:szCs w:val="24"/>
        </w:rPr>
        <w:t xml:space="preserve"> a depreciação, há uma forte influência do fisco, pois boa parte dos profissionais utiliza o Regulamento do Imposto de Renda (RIR) para a definição de suas taxas, porém, 47,83% dos respondentes utilizam o método linear demonstrando uma preocupação em evidenciar o valor do ativo em sua essência, conforme orientado pela norma. Nota-se uma tendência de padronização da técnica, contudo, a base utilizada são as informações internas da empresa, </w:t>
      </w:r>
      <w:r w:rsidR="00E45714">
        <w:rPr>
          <w:rFonts w:ascii="Times New Roman" w:hAnsi="Times New Roman"/>
          <w:szCs w:val="24"/>
        </w:rPr>
        <w:t>refletindo n</w:t>
      </w:r>
      <w:r w:rsidR="004E4C6A" w:rsidRPr="000E5487">
        <w:rPr>
          <w:rFonts w:ascii="Times New Roman" w:hAnsi="Times New Roman"/>
          <w:szCs w:val="24"/>
        </w:rPr>
        <w:t>a comparabilidade da informação gerada.</w:t>
      </w:r>
    </w:p>
    <w:p w:rsidR="00485D63" w:rsidRPr="000E5487" w:rsidRDefault="00485D63" w:rsidP="00B747D7">
      <w:pPr>
        <w:spacing w:after="0" w:line="240" w:lineRule="auto"/>
        <w:ind w:firstLine="709"/>
        <w:jc w:val="both"/>
        <w:rPr>
          <w:rFonts w:ascii="Times New Roman" w:hAnsi="Times New Roman"/>
          <w:szCs w:val="24"/>
        </w:rPr>
      </w:pPr>
    </w:p>
    <w:p w:rsidR="00522F24" w:rsidRPr="000E5487" w:rsidRDefault="005D3924" w:rsidP="00485D63">
      <w:pPr>
        <w:spacing w:after="120" w:line="240" w:lineRule="auto"/>
        <w:jc w:val="both"/>
        <w:rPr>
          <w:rFonts w:ascii="Times New Roman" w:hAnsi="Times New Roman"/>
          <w:b/>
          <w:szCs w:val="24"/>
        </w:rPr>
      </w:pPr>
      <w:r w:rsidRPr="000E5487">
        <w:rPr>
          <w:rFonts w:ascii="Times New Roman" w:hAnsi="Times New Roman"/>
          <w:b/>
          <w:szCs w:val="24"/>
        </w:rPr>
        <w:t xml:space="preserve">3.3 Análise da </w:t>
      </w:r>
      <w:r w:rsidR="000B157E">
        <w:rPr>
          <w:rFonts w:ascii="Times New Roman" w:hAnsi="Times New Roman"/>
          <w:b/>
          <w:szCs w:val="24"/>
        </w:rPr>
        <w:t>Associação</w:t>
      </w:r>
      <w:r w:rsidRPr="000E5487">
        <w:rPr>
          <w:rFonts w:ascii="Times New Roman" w:hAnsi="Times New Roman"/>
          <w:b/>
          <w:szCs w:val="24"/>
        </w:rPr>
        <w:t xml:space="preserve"> entre as Escolhas Contábeis e o Perfil Profissional</w:t>
      </w:r>
    </w:p>
    <w:p w:rsidR="008F338F" w:rsidRDefault="008F338F" w:rsidP="00B747D7">
      <w:pPr>
        <w:spacing w:after="0" w:line="240" w:lineRule="auto"/>
        <w:ind w:firstLine="709"/>
        <w:jc w:val="both"/>
        <w:rPr>
          <w:rFonts w:ascii="Times New Roman" w:hAnsi="Times New Roman"/>
          <w:szCs w:val="24"/>
        </w:rPr>
      </w:pPr>
      <w:r w:rsidRPr="000E5487">
        <w:rPr>
          <w:rFonts w:ascii="Times New Roman" w:hAnsi="Times New Roman"/>
          <w:szCs w:val="24"/>
        </w:rPr>
        <w:t xml:space="preserve">Para verificar se as escolhas contábeis estão </w:t>
      </w:r>
      <w:r w:rsidR="000B157E">
        <w:rPr>
          <w:rFonts w:ascii="Times New Roman" w:hAnsi="Times New Roman"/>
          <w:szCs w:val="24"/>
        </w:rPr>
        <w:t>associadas</w:t>
      </w:r>
      <w:r w:rsidRPr="000E5487">
        <w:rPr>
          <w:rFonts w:ascii="Times New Roman" w:hAnsi="Times New Roman"/>
          <w:szCs w:val="24"/>
        </w:rPr>
        <w:t xml:space="preserve"> com o perfil do</w:t>
      </w:r>
      <w:r w:rsidR="00221AAC" w:rsidRPr="000E5487">
        <w:rPr>
          <w:rFonts w:ascii="Times New Roman" w:hAnsi="Times New Roman"/>
          <w:szCs w:val="24"/>
        </w:rPr>
        <w:t>s respondentes</w:t>
      </w:r>
      <w:r w:rsidRPr="000E5487">
        <w:rPr>
          <w:rFonts w:ascii="Times New Roman" w:hAnsi="Times New Roman"/>
          <w:szCs w:val="24"/>
        </w:rPr>
        <w:t>, foi realizado o teste exato de Fisher considerando as variáveis d</w:t>
      </w:r>
      <w:r w:rsidR="00221AAC" w:rsidRPr="000E5487">
        <w:rPr>
          <w:rFonts w:ascii="Times New Roman" w:hAnsi="Times New Roman"/>
          <w:szCs w:val="24"/>
        </w:rPr>
        <w:t xml:space="preserve">o perfil </w:t>
      </w:r>
      <w:r w:rsidR="000B157E">
        <w:rPr>
          <w:rFonts w:ascii="Times New Roman" w:hAnsi="Times New Roman"/>
          <w:szCs w:val="24"/>
        </w:rPr>
        <w:t xml:space="preserve">profissional </w:t>
      </w:r>
      <w:r w:rsidRPr="000E5487">
        <w:rPr>
          <w:rFonts w:ascii="Times New Roman" w:hAnsi="Times New Roman"/>
          <w:szCs w:val="24"/>
        </w:rPr>
        <w:t>e as escolhas contábeis</w:t>
      </w:r>
      <w:r w:rsidR="00873DA1" w:rsidRPr="000E5487">
        <w:rPr>
          <w:rFonts w:ascii="Times New Roman" w:hAnsi="Times New Roman"/>
          <w:szCs w:val="24"/>
        </w:rPr>
        <w:t xml:space="preserve"> descritas nas seções anteriores</w:t>
      </w:r>
      <w:r w:rsidR="00705E3D" w:rsidRPr="000E5487">
        <w:rPr>
          <w:rFonts w:ascii="Times New Roman" w:hAnsi="Times New Roman"/>
          <w:szCs w:val="24"/>
        </w:rPr>
        <w:t xml:space="preserve">, demonstrados na </w:t>
      </w:r>
      <w:r w:rsidR="00A06ADF" w:rsidRPr="000E5487">
        <w:rPr>
          <w:rFonts w:ascii="Times New Roman" w:hAnsi="Times New Roman"/>
          <w:szCs w:val="24"/>
        </w:rPr>
        <w:t>Tabela 5</w:t>
      </w:r>
      <w:r w:rsidR="00873DA1" w:rsidRPr="000E5487">
        <w:rPr>
          <w:rFonts w:ascii="Times New Roman" w:hAnsi="Times New Roman"/>
          <w:szCs w:val="24"/>
        </w:rPr>
        <w:t>.</w:t>
      </w:r>
    </w:p>
    <w:p w:rsidR="00485D63" w:rsidRPr="000E5487" w:rsidRDefault="00485D63" w:rsidP="00B747D7">
      <w:pPr>
        <w:spacing w:after="0" w:line="240" w:lineRule="auto"/>
        <w:ind w:firstLine="709"/>
        <w:jc w:val="both"/>
        <w:rPr>
          <w:rFonts w:ascii="Times New Roman" w:hAnsi="Times New Roman"/>
          <w:szCs w:val="24"/>
        </w:rPr>
      </w:pPr>
    </w:p>
    <w:p w:rsidR="00D33781" w:rsidRPr="00485D63" w:rsidRDefault="00A06ADF" w:rsidP="00485D63">
      <w:pPr>
        <w:spacing w:after="0" w:line="240" w:lineRule="auto"/>
        <w:jc w:val="center"/>
        <w:rPr>
          <w:rFonts w:ascii="Times New Roman" w:hAnsi="Times New Roman"/>
          <w:bCs/>
          <w:sz w:val="20"/>
          <w:szCs w:val="24"/>
        </w:rPr>
      </w:pPr>
      <w:r w:rsidRPr="00485D63">
        <w:rPr>
          <w:rFonts w:ascii="Times New Roman" w:hAnsi="Times New Roman"/>
          <w:bCs/>
          <w:sz w:val="20"/>
          <w:szCs w:val="24"/>
        </w:rPr>
        <w:t>Tabela 5</w:t>
      </w:r>
      <w:r w:rsidR="00D33781" w:rsidRPr="00485D63">
        <w:rPr>
          <w:rFonts w:ascii="Times New Roman" w:hAnsi="Times New Roman"/>
          <w:bCs/>
          <w:sz w:val="20"/>
          <w:szCs w:val="24"/>
        </w:rPr>
        <w:t xml:space="preserve"> – Resultados do teste exato de </w:t>
      </w:r>
      <w:r w:rsidR="00D33781" w:rsidRPr="00485D63">
        <w:rPr>
          <w:rFonts w:ascii="Times New Roman" w:hAnsi="Times New Roman"/>
          <w:bCs/>
          <w:i/>
          <w:sz w:val="20"/>
          <w:szCs w:val="24"/>
        </w:rPr>
        <w:t xml:space="preserve">Fisher </w:t>
      </w:r>
      <w:r w:rsidR="00D33781" w:rsidRPr="00485D63">
        <w:rPr>
          <w:rFonts w:ascii="Times New Roman" w:hAnsi="Times New Roman"/>
          <w:bCs/>
          <w:sz w:val="20"/>
          <w:szCs w:val="24"/>
        </w:rPr>
        <w:t xml:space="preserve">(valor </w:t>
      </w:r>
      <w:r w:rsidR="00D33781" w:rsidRPr="00485D63">
        <w:rPr>
          <w:rFonts w:ascii="Times New Roman" w:hAnsi="Times New Roman"/>
          <w:bCs/>
          <w:i/>
          <w:sz w:val="20"/>
          <w:szCs w:val="24"/>
        </w:rPr>
        <w:t>p</w:t>
      </w:r>
      <w:r w:rsidR="00D33781" w:rsidRPr="00485D63">
        <w:rPr>
          <w:rFonts w:ascii="Times New Roman" w:hAnsi="Times New Roman"/>
          <w:bCs/>
          <w:sz w:val="20"/>
          <w:szCs w:val="24"/>
        </w:rPr>
        <w:t>) para investigação d</w:t>
      </w:r>
      <w:r w:rsidR="00876A33" w:rsidRPr="00485D63">
        <w:rPr>
          <w:rFonts w:ascii="Times New Roman" w:hAnsi="Times New Roman"/>
          <w:bCs/>
          <w:sz w:val="20"/>
          <w:szCs w:val="24"/>
        </w:rPr>
        <w:t>a associação entre as variáveis</w:t>
      </w:r>
    </w:p>
    <w:tbl>
      <w:tblPr>
        <w:tblW w:w="4946" w:type="pct"/>
        <w:jc w:val="center"/>
        <w:tblCellMar>
          <w:left w:w="70" w:type="dxa"/>
          <w:right w:w="70" w:type="dxa"/>
        </w:tblCellMar>
        <w:tblLook w:val="04A0" w:firstRow="1" w:lastRow="0" w:firstColumn="1" w:lastColumn="0" w:noHBand="0" w:noVBand="1"/>
      </w:tblPr>
      <w:tblGrid>
        <w:gridCol w:w="4130"/>
        <w:gridCol w:w="1615"/>
        <w:gridCol w:w="1615"/>
        <w:gridCol w:w="1613"/>
      </w:tblGrid>
      <w:tr w:rsidR="00391CB2" w:rsidRPr="000E5487" w:rsidTr="001D52C3">
        <w:trPr>
          <w:trHeight w:val="464"/>
          <w:jc w:val="center"/>
        </w:trPr>
        <w:tc>
          <w:tcPr>
            <w:tcW w:w="2301" w:type="pct"/>
            <w:tcBorders>
              <w:top w:val="single" w:sz="4" w:space="0" w:color="auto"/>
              <w:left w:val="nil"/>
              <w:bottom w:val="single" w:sz="4" w:space="0" w:color="auto"/>
            </w:tcBorders>
            <w:shd w:val="clear" w:color="auto" w:fill="auto"/>
            <w:vAlign w:val="center"/>
            <w:hideMark/>
          </w:tcPr>
          <w:p w:rsidR="00391CB2" w:rsidRPr="000E5487" w:rsidRDefault="00391CB2"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Componente</w:t>
            </w:r>
          </w:p>
        </w:tc>
        <w:tc>
          <w:tcPr>
            <w:tcW w:w="900" w:type="pct"/>
            <w:tcBorders>
              <w:top w:val="single" w:sz="4" w:space="0" w:color="auto"/>
              <w:bottom w:val="single" w:sz="4" w:space="0" w:color="auto"/>
              <w:right w:val="nil"/>
            </w:tcBorders>
            <w:shd w:val="clear" w:color="auto" w:fill="auto"/>
            <w:vAlign w:val="center"/>
            <w:hideMark/>
          </w:tcPr>
          <w:p w:rsidR="00391CB2" w:rsidRPr="000E5487" w:rsidRDefault="00391CB2" w:rsidP="00485D63">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Nível de </w:t>
            </w:r>
            <w:r w:rsidR="00124269" w:rsidRPr="000E5487">
              <w:rPr>
                <w:rFonts w:ascii="Times New Roman" w:hAnsi="Times New Roman"/>
                <w:b/>
                <w:bCs/>
                <w:color w:val="000000"/>
                <w:sz w:val="20"/>
                <w:szCs w:val="20"/>
              </w:rPr>
              <w:t>Qualificação</w:t>
            </w:r>
          </w:p>
        </w:tc>
        <w:tc>
          <w:tcPr>
            <w:tcW w:w="900" w:type="pct"/>
            <w:tcBorders>
              <w:top w:val="single" w:sz="4" w:space="0" w:color="auto"/>
              <w:left w:val="nil"/>
              <w:bottom w:val="single" w:sz="4" w:space="0" w:color="auto"/>
              <w:right w:val="nil"/>
            </w:tcBorders>
            <w:shd w:val="clear" w:color="auto" w:fill="auto"/>
            <w:vAlign w:val="center"/>
            <w:hideMark/>
          </w:tcPr>
          <w:p w:rsidR="00391CB2" w:rsidRPr="000E5487" w:rsidRDefault="00391CB2" w:rsidP="000B157E">
            <w:pPr>
              <w:spacing w:after="0" w:line="240" w:lineRule="auto"/>
              <w:ind w:hanging="3"/>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Tempo de </w:t>
            </w:r>
            <w:r w:rsidR="000B157E">
              <w:rPr>
                <w:rFonts w:ascii="Times New Roman" w:hAnsi="Times New Roman"/>
                <w:b/>
                <w:bCs/>
                <w:color w:val="000000"/>
                <w:sz w:val="20"/>
                <w:szCs w:val="20"/>
              </w:rPr>
              <w:t>Experiência</w:t>
            </w:r>
            <w:r w:rsidRPr="000E5487">
              <w:rPr>
                <w:rFonts w:ascii="Times New Roman" w:hAnsi="Times New Roman"/>
                <w:b/>
                <w:bCs/>
                <w:color w:val="000000"/>
                <w:sz w:val="20"/>
                <w:szCs w:val="20"/>
              </w:rPr>
              <w:t xml:space="preserve"> Profissional</w:t>
            </w:r>
          </w:p>
        </w:tc>
        <w:tc>
          <w:tcPr>
            <w:tcW w:w="899" w:type="pct"/>
            <w:tcBorders>
              <w:top w:val="single" w:sz="4" w:space="0" w:color="auto"/>
              <w:left w:val="nil"/>
              <w:bottom w:val="single" w:sz="4" w:space="0" w:color="auto"/>
              <w:right w:val="nil"/>
            </w:tcBorders>
            <w:shd w:val="clear" w:color="auto" w:fill="auto"/>
            <w:vAlign w:val="center"/>
            <w:hideMark/>
          </w:tcPr>
          <w:p w:rsidR="00391CB2" w:rsidRPr="000E5487" w:rsidRDefault="00391CB2" w:rsidP="000B157E">
            <w:pPr>
              <w:spacing w:after="0" w:line="240" w:lineRule="auto"/>
              <w:jc w:val="center"/>
              <w:rPr>
                <w:rFonts w:ascii="Times New Roman" w:hAnsi="Times New Roman"/>
                <w:b/>
                <w:bCs/>
                <w:color w:val="000000"/>
                <w:sz w:val="20"/>
                <w:szCs w:val="20"/>
              </w:rPr>
            </w:pPr>
            <w:r w:rsidRPr="000E5487">
              <w:rPr>
                <w:rFonts w:ascii="Times New Roman" w:hAnsi="Times New Roman"/>
                <w:b/>
                <w:bCs/>
                <w:color w:val="000000"/>
                <w:sz w:val="20"/>
                <w:szCs w:val="20"/>
              </w:rPr>
              <w:t xml:space="preserve">Tempo de </w:t>
            </w:r>
            <w:r w:rsidR="000B157E">
              <w:rPr>
                <w:rFonts w:ascii="Times New Roman" w:hAnsi="Times New Roman"/>
                <w:b/>
                <w:bCs/>
                <w:color w:val="000000"/>
                <w:sz w:val="20"/>
                <w:szCs w:val="20"/>
              </w:rPr>
              <w:t>Experiência</w:t>
            </w:r>
            <w:r w:rsidRPr="000E5487">
              <w:rPr>
                <w:rFonts w:ascii="Times New Roman" w:hAnsi="Times New Roman"/>
                <w:b/>
                <w:bCs/>
                <w:color w:val="000000"/>
                <w:sz w:val="20"/>
                <w:szCs w:val="20"/>
              </w:rPr>
              <w:t xml:space="preserve"> na Mensuração</w:t>
            </w:r>
          </w:p>
        </w:tc>
      </w:tr>
      <w:tr w:rsidR="00391CB2" w:rsidRPr="000E5487" w:rsidTr="001D52C3">
        <w:trPr>
          <w:trHeight w:val="260"/>
          <w:jc w:val="center"/>
        </w:trPr>
        <w:tc>
          <w:tcPr>
            <w:tcW w:w="2301" w:type="pct"/>
            <w:tcBorders>
              <w:top w:val="nil"/>
              <w:left w:val="nil"/>
              <w:bottom w:val="nil"/>
            </w:tcBorders>
            <w:shd w:val="clear" w:color="auto" w:fill="F2F2F2"/>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Método de mensuração</w:t>
            </w:r>
          </w:p>
        </w:tc>
        <w:tc>
          <w:tcPr>
            <w:tcW w:w="900" w:type="pct"/>
            <w:tcBorders>
              <w:top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0,6486</w:t>
            </w:r>
          </w:p>
        </w:tc>
        <w:tc>
          <w:tcPr>
            <w:tcW w:w="900"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0,6747</w:t>
            </w:r>
          </w:p>
        </w:tc>
        <w:tc>
          <w:tcPr>
            <w:tcW w:w="899"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0,0287*</w:t>
            </w:r>
          </w:p>
        </w:tc>
      </w:tr>
      <w:tr w:rsidR="00391CB2" w:rsidRPr="000E5487" w:rsidTr="001D52C3">
        <w:trPr>
          <w:trHeight w:val="260"/>
          <w:jc w:val="center"/>
        </w:trPr>
        <w:tc>
          <w:tcPr>
            <w:tcW w:w="2301" w:type="pct"/>
            <w:tcBorders>
              <w:top w:val="nil"/>
              <w:left w:val="nil"/>
              <w:bottom w:val="nil"/>
            </w:tcBorders>
            <w:shd w:val="clear" w:color="auto" w:fill="auto"/>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Abordagem do FCD</w:t>
            </w:r>
          </w:p>
        </w:tc>
        <w:tc>
          <w:tcPr>
            <w:tcW w:w="900" w:type="pct"/>
            <w:tcBorders>
              <w:top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0,4190</w:t>
            </w:r>
          </w:p>
        </w:tc>
        <w:tc>
          <w:tcPr>
            <w:tcW w:w="900"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0,7233</w:t>
            </w:r>
          </w:p>
        </w:tc>
        <w:tc>
          <w:tcPr>
            <w:tcW w:w="899"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0,6957</w:t>
            </w:r>
          </w:p>
        </w:tc>
      </w:tr>
      <w:tr w:rsidR="00391CB2" w:rsidRPr="000E5487" w:rsidTr="001D52C3">
        <w:trPr>
          <w:trHeight w:val="260"/>
          <w:jc w:val="center"/>
        </w:trPr>
        <w:tc>
          <w:tcPr>
            <w:tcW w:w="2301" w:type="pct"/>
            <w:tcBorders>
              <w:top w:val="nil"/>
              <w:left w:val="nil"/>
              <w:bottom w:val="nil"/>
            </w:tcBorders>
            <w:shd w:val="clear" w:color="auto" w:fill="F2F2F2"/>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Taxa de desconto do FCD</w:t>
            </w:r>
          </w:p>
        </w:tc>
        <w:tc>
          <w:tcPr>
            <w:tcW w:w="900" w:type="pct"/>
            <w:tcBorders>
              <w:top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0,8835</w:t>
            </w:r>
          </w:p>
        </w:tc>
        <w:tc>
          <w:tcPr>
            <w:tcW w:w="900"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0,3379</w:t>
            </w:r>
          </w:p>
        </w:tc>
        <w:tc>
          <w:tcPr>
            <w:tcW w:w="899"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0,0045*</w:t>
            </w:r>
          </w:p>
        </w:tc>
      </w:tr>
      <w:tr w:rsidR="00391CB2" w:rsidRPr="000E5487" w:rsidTr="001D52C3">
        <w:trPr>
          <w:trHeight w:val="258"/>
          <w:jc w:val="center"/>
        </w:trPr>
        <w:tc>
          <w:tcPr>
            <w:tcW w:w="2301" w:type="pct"/>
            <w:tcBorders>
              <w:top w:val="nil"/>
              <w:left w:val="nil"/>
              <w:bottom w:val="nil"/>
            </w:tcBorders>
            <w:shd w:val="clear" w:color="auto" w:fill="F2F2F2"/>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Custo do capital próprio</w:t>
            </w:r>
          </w:p>
        </w:tc>
        <w:tc>
          <w:tcPr>
            <w:tcW w:w="900" w:type="pct"/>
            <w:tcBorders>
              <w:top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1,0000</w:t>
            </w:r>
          </w:p>
        </w:tc>
        <w:tc>
          <w:tcPr>
            <w:tcW w:w="900"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0,3043</w:t>
            </w:r>
          </w:p>
        </w:tc>
        <w:tc>
          <w:tcPr>
            <w:tcW w:w="899"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0,2940</w:t>
            </w:r>
          </w:p>
        </w:tc>
      </w:tr>
      <w:tr w:rsidR="00391CB2" w:rsidRPr="000E5487" w:rsidTr="001D52C3">
        <w:trPr>
          <w:trHeight w:val="260"/>
          <w:jc w:val="center"/>
        </w:trPr>
        <w:tc>
          <w:tcPr>
            <w:tcW w:w="2301" w:type="pct"/>
            <w:tcBorders>
              <w:top w:val="nil"/>
              <w:left w:val="nil"/>
              <w:bottom w:val="nil"/>
            </w:tcBorders>
            <w:shd w:val="clear" w:color="auto" w:fill="auto"/>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Coeficiente beta</w:t>
            </w:r>
          </w:p>
        </w:tc>
        <w:tc>
          <w:tcPr>
            <w:tcW w:w="900" w:type="pct"/>
            <w:tcBorders>
              <w:top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0,8043</w:t>
            </w:r>
          </w:p>
        </w:tc>
        <w:tc>
          <w:tcPr>
            <w:tcW w:w="900"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1,0000</w:t>
            </w:r>
          </w:p>
        </w:tc>
        <w:tc>
          <w:tcPr>
            <w:tcW w:w="899"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0,0470*</w:t>
            </w:r>
          </w:p>
        </w:tc>
      </w:tr>
      <w:tr w:rsidR="00391CB2" w:rsidRPr="000E5487" w:rsidTr="001D52C3">
        <w:trPr>
          <w:trHeight w:val="260"/>
          <w:jc w:val="center"/>
        </w:trPr>
        <w:tc>
          <w:tcPr>
            <w:tcW w:w="2301" w:type="pct"/>
            <w:tcBorders>
              <w:top w:val="nil"/>
              <w:left w:val="nil"/>
              <w:bottom w:val="nil"/>
            </w:tcBorders>
            <w:shd w:val="clear" w:color="auto" w:fill="F2F2F2"/>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Taxa livre de risco</w:t>
            </w:r>
          </w:p>
        </w:tc>
        <w:tc>
          <w:tcPr>
            <w:tcW w:w="900" w:type="pct"/>
            <w:tcBorders>
              <w:top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0,4449</w:t>
            </w:r>
          </w:p>
        </w:tc>
        <w:tc>
          <w:tcPr>
            <w:tcW w:w="900"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0,8062</w:t>
            </w:r>
          </w:p>
        </w:tc>
        <w:tc>
          <w:tcPr>
            <w:tcW w:w="899"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0,2739</w:t>
            </w:r>
          </w:p>
        </w:tc>
      </w:tr>
      <w:tr w:rsidR="00391CB2" w:rsidRPr="000E5487" w:rsidTr="001D52C3">
        <w:trPr>
          <w:trHeight w:val="260"/>
          <w:jc w:val="center"/>
        </w:trPr>
        <w:tc>
          <w:tcPr>
            <w:tcW w:w="2301" w:type="pct"/>
            <w:tcBorders>
              <w:top w:val="nil"/>
              <w:left w:val="nil"/>
              <w:bottom w:val="nil"/>
            </w:tcBorders>
            <w:shd w:val="clear" w:color="auto" w:fill="auto"/>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Risco país</w:t>
            </w:r>
          </w:p>
        </w:tc>
        <w:tc>
          <w:tcPr>
            <w:tcW w:w="900" w:type="pct"/>
            <w:tcBorders>
              <w:top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0,8835</w:t>
            </w:r>
          </w:p>
        </w:tc>
        <w:tc>
          <w:tcPr>
            <w:tcW w:w="900"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0,2120</w:t>
            </w:r>
          </w:p>
        </w:tc>
        <w:tc>
          <w:tcPr>
            <w:tcW w:w="899"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0,0195*</w:t>
            </w:r>
          </w:p>
        </w:tc>
      </w:tr>
      <w:tr w:rsidR="00391CB2" w:rsidRPr="000E5487" w:rsidTr="001D52C3">
        <w:trPr>
          <w:trHeight w:val="260"/>
          <w:jc w:val="center"/>
        </w:trPr>
        <w:tc>
          <w:tcPr>
            <w:tcW w:w="2301" w:type="pct"/>
            <w:tcBorders>
              <w:top w:val="nil"/>
              <w:left w:val="nil"/>
              <w:bottom w:val="nil"/>
            </w:tcBorders>
            <w:shd w:val="clear" w:color="auto" w:fill="auto"/>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Quantidade no cálculo da receita</w:t>
            </w:r>
          </w:p>
        </w:tc>
        <w:tc>
          <w:tcPr>
            <w:tcW w:w="900" w:type="pct"/>
            <w:tcBorders>
              <w:top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0,3399</w:t>
            </w:r>
          </w:p>
        </w:tc>
        <w:tc>
          <w:tcPr>
            <w:tcW w:w="900"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0,0209*</w:t>
            </w:r>
          </w:p>
        </w:tc>
        <w:tc>
          <w:tcPr>
            <w:tcW w:w="899" w:type="pct"/>
            <w:tcBorders>
              <w:top w:val="nil"/>
              <w:left w:val="nil"/>
              <w:bottom w:val="nil"/>
              <w:right w:val="nil"/>
            </w:tcBorders>
            <w:shd w:val="clear" w:color="auto" w:fill="auto"/>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1,0000</w:t>
            </w:r>
          </w:p>
        </w:tc>
      </w:tr>
      <w:tr w:rsidR="00391CB2" w:rsidRPr="000E5487" w:rsidTr="001D52C3">
        <w:trPr>
          <w:trHeight w:val="260"/>
          <w:jc w:val="center"/>
        </w:trPr>
        <w:tc>
          <w:tcPr>
            <w:tcW w:w="2301" w:type="pct"/>
            <w:tcBorders>
              <w:top w:val="nil"/>
              <w:left w:val="nil"/>
              <w:bottom w:val="nil"/>
            </w:tcBorders>
            <w:shd w:val="clear" w:color="auto" w:fill="F2F2F2"/>
            <w:vAlign w:val="center"/>
            <w:hideMark/>
          </w:tcPr>
          <w:p w:rsidR="00391CB2" w:rsidRPr="000E5487" w:rsidRDefault="00391CB2" w:rsidP="00485D63">
            <w:pPr>
              <w:spacing w:after="0" w:line="240" w:lineRule="auto"/>
              <w:rPr>
                <w:rFonts w:ascii="Times New Roman" w:hAnsi="Times New Roman"/>
                <w:sz w:val="20"/>
                <w:szCs w:val="20"/>
              </w:rPr>
            </w:pPr>
            <w:r w:rsidRPr="000E5487">
              <w:rPr>
                <w:rFonts w:ascii="Times New Roman" w:hAnsi="Times New Roman"/>
                <w:sz w:val="20"/>
                <w:szCs w:val="20"/>
              </w:rPr>
              <w:t>Preço de venda no cálculo da receita</w:t>
            </w:r>
          </w:p>
        </w:tc>
        <w:tc>
          <w:tcPr>
            <w:tcW w:w="900" w:type="pct"/>
            <w:tcBorders>
              <w:top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0,7311</w:t>
            </w:r>
          </w:p>
        </w:tc>
        <w:tc>
          <w:tcPr>
            <w:tcW w:w="900"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0,2782</w:t>
            </w:r>
          </w:p>
        </w:tc>
        <w:tc>
          <w:tcPr>
            <w:tcW w:w="899" w:type="pct"/>
            <w:tcBorders>
              <w:top w:val="nil"/>
              <w:left w:val="nil"/>
              <w:bottom w:val="nil"/>
              <w:right w:val="nil"/>
            </w:tcBorders>
            <w:shd w:val="clear" w:color="auto" w:fill="F2F2F2"/>
            <w:noWrap/>
            <w:vAlign w:val="center"/>
            <w:hideMark/>
          </w:tcPr>
          <w:p w:rsidR="00391CB2" w:rsidRPr="000E5487" w:rsidRDefault="00391CB2"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0,2618</w:t>
            </w:r>
          </w:p>
        </w:tc>
      </w:tr>
      <w:tr w:rsidR="00677C93" w:rsidRPr="000E5487" w:rsidTr="001D52C3">
        <w:trPr>
          <w:trHeight w:val="260"/>
          <w:jc w:val="center"/>
        </w:trPr>
        <w:tc>
          <w:tcPr>
            <w:tcW w:w="2301" w:type="pct"/>
            <w:tcBorders>
              <w:top w:val="nil"/>
              <w:left w:val="nil"/>
              <w:bottom w:val="nil"/>
            </w:tcBorders>
            <w:shd w:val="clear" w:color="auto" w:fill="F2F2F2"/>
            <w:vAlign w:val="center"/>
          </w:tcPr>
          <w:p w:rsidR="00677C93" w:rsidRPr="000E5487" w:rsidRDefault="00677C93" w:rsidP="00485D63">
            <w:pPr>
              <w:spacing w:after="0" w:line="240" w:lineRule="auto"/>
              <w:rPr>
                <w:rFonts w:ascii="Times New Roman" w:hAnsi="Times New Roman"/>
                <w:sz w:val="20"/>
                <w:szCs w:val="20"/>
              </w:rPr>
            </w:pPr>
            <w:r w:rsidRPr="000E5487">
              <w:rPr>
                <w:rFonts w:ascii="Times New Roman" w:hAnsi="Times New Roman"/>
                <w:sz w:val="20"/>
                <w:szCs w:val="20"/>
              </w:rPr>
              <w:t>Horizonte de projeção dos fluxos de caixa</w:t>
            </w:r>
          </w:p>
        </w:tc>
        <w:tc>
          <w:tcPr>
            <w:tcW w:w="900" w:type="pct"/>
            <w:tcBorders>
              <w:top w:val="nil"/>
              <w:bottom w:val="nil"/>
              <w:right w:val="nil"/>
            </w:tcBorders>
            <w:shd w:val="clear" w:color="auto" w:fill="F2F2F2"/>
            <w:noWrap/>
            <w:vAlign w:val="center"/>
          </w:tcPr>
          <w:p w:rsidR="00677C93" w:rsidRPr="000E5487" w:rsidRDefault="00677C93"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0,6403</w:t>
            </w:r>
          </w:p>
        </w:tc>
        <w:tc>
          <w:tcPr>
            <w:tcW w:w="900" w:type="pct"/>
            <w:tcBorders>
              <w:top w:val="nil"/>
              <w:left w:val="nil"/>
              <w:bottom w:val="nil"/>
              <w:right w:val="nil"/>
            </w:tcBorders>
            <w:shd w:val="clear" w:color="auto" w:fill="F2F2F2"/>
            <w:noWrap/>
            <w:vAlign w:val="center"/>
          </w:tcPr>
          <w:p w:rsidR="00677C93" w:rsidRPr="000E5487" w:rsidRDefault="00677C93"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0,7233</w:t>
            </w:r>
          </w:p>
        </w:tc>
        <w:tc>
          <w:tcPr>
            <w:tcW w:w="899" w:type="pct"/>
            <w:tcBorders>
              <w:top w:val="nil"/>
              <w:left w:val="nil"/>
              <w:bottom w:val="nil"/>
              <w:right w:val="nil"/>
            </w:tcBorders>
            <w:shd w:val="clear" w:color="auto" w:fill="F2F2F2"/>
            <w:noWrap/>
            <w:vAlign w:val="center"/>
          </w:tcPr>
          <w:p w:rsidR="00677C93" w:rsidRPr="000E5487" w:rsidRDefault="00677C93"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0,0158*</w:t>
            </w:r>
          </w:p>
        </w:tc>
      </w:tr>
      <w:tr w:rsidR="00677C93" w:rsidRPr="000E5487" w:rsidTr="00677C93">
        <w:trPr>
          <w:trHeight w:val="260"/>
          <w:jc w:val="center"/>
        </w:trPr>
        <w:tc>
          <w:tcPr>
            <w:tcW w:w="2301" w:type="pct"/>
            <w:tcBorders>
              <w:top w:val="nil"/>
              <w:left w:val="nil"/>
            </w:tcBorders>
            <w:shd w:val="clear" w:color="auto" w:fill="auto"/>
            <w:vAlign w:val="center"/>
            <w:hideMark/>
          </w:tcPr>
          <w:p w:rsidR="00677C93" w:rsidRPr="000E5487" w:rsidRDefault="00677C93" w:rsidP="00485D63">
            <w:pPr>
              <w:spacing w:after="0" w:line="240" w:lineRule="auto"/>
              <w:rPr>
                <w:rFonts w:ascii="Times New Roman" w:hAnsi="Times New Roman"/>
                <w:sz w:val="20"/>
                <w:szCs w:val="20"/>
              </w:rPr>
            </w:pPr>
            <w:r w:rsidRPr="000E5487">
              <w:rPr>
                <w:rFonts w:ascii="Times New Roman" w:hAnsi="Times New Roman"/>
                <w:sz w:val="20"/>
                <w:szCs w:val="20"/>
              </w:rPr>
              <w:t>Padronização dos custos de produção</w:t>
            </w:r>
          </w:p>
        </w:tc>
        <w:tc>
          <w:tcPr>
            <w:tcW w:w="900" w:type="pct"/>
            <w:tcBorders>
              <w:top w:val="nil"/>
              <w:right w:val="nil"/>
            </w:tcBorders>
            <w:shd w:val="clear" w:color="auto" w:fill="auto"/>
            <w:noWrap/>
            <w:vAlign w:val="center"/>
            <w:hideMark/>
          </w:tcPr>
          <w:p w:rsidR="00677C93" w:rsidRPr="000E5487" w:rsidRDefault="00677C93"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0,4142</w:t>
            </w:r>
          </w:p>
        </w:tc>
        <w:tc>
          <w:tcPr>
            <w:tcW w:w="900" w:type="pct"/>
            <w:tcBorders>
              <w:top w:val="nil"/>
              <w:left w:val="nil"/>
              <w:right w:val="nil"/>
            </w:tcBorders>
            <w:shd w:val="clear" w:color="auto" w:fill="auto"/>
            <w:noWrap/>
            <w:vAlign w:val="center"/>
            <w:hideMark/>
          </w:tcPr>
          <w:p w:rsidR="00677C93" w:rsidRPr="000E5487" w:rsidRDefault="00677C93"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0,6917</w:t>
            </w:r>
          </w:p>
        </w:tc>
        <w:tc>
          <w:tcPr>
            <w:tcW w:w="899" w:type="pct"/>
            <w:tcBorders>
              <w:top w:val="nil"/>
              <w:left w:val="nil"/>
              <w:right w:val="nil"/>
            </w:tcBorders>
            <w:shd w:val="clear" w:color="auto" w:fill="auto"/>
            <w:noWrap/>
            <w:vAlign w:val="center"/>
            <w:hideMark/>
          </w:tcPr>
          <w:p w:rsidR="00677C93" w:rsidRPr="000E5487" w:rsidRDefault="00677C93"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0,6087</w:t>
            </w:r>
          </w:p>
        </w:tc>
      </w:tr>
      <w:tr w:rsidR="00677C93" w:rsidRPr="000E5487" w:rsidTr="00677C93">
        <w:trPr>
          <w:trHeight w:val="258"/>
          <w:jc w:val="center"/>
        </w:trPr>
        <w:tc>
          <w:tcPr>
            <w:tcW w:w="2301" w:type="pct"/>
            <w:tcBorders>
              <w:top w:val="nil"/>
              <w:left w:val="nil"/>
              <w:bottom w:val="single" w:sz="4" w:space="0" w:color="auto"/>
            </w:tcBorders>
            <w:shd w:val="clear" w:color="auto" w:fill="F2F2F2"/>
            <w:vAlign w:val="center"/>
            <w:hideMark/>
          </w:tcPr>
          <w:p w:rsidR="00677C93" w:rsidRPr="000E5487" w:rsidRDefault="00677C93" w:rsidP="00485D63">
            <w:pPr>
              <w:spacing w:after="0" w:line="240" w:lineRule="auto"/>
              <w:rPr>
                <w:rFonts w:ascii="Times New Roman" w:hAnsi="Times New Roman"/>
                <w:sz w:val="20"/>
                <w:szCs w:val="20"/>
              </w:rPr>
            </w:pPr>
            <w:r w:rsidRPr="000E5487">
              <w:rPr>
                <w:rFonts w:ascii="Times New Roman" w:hAnsi="Times New Roman"/>
                <w:sz w:val="20"/>
                <w:szCs w:val="20"/>
              </w:rPr>
              <w:t>Depreciação</w:t>
            </w:r>
          </w:p>
        </w:tc>
        <w:tc>
          <w:tcPr>
            <w:tcW w:w="900" w:type="pct"/>
            <w:tcBorders>
              <w:top w:val="nil"/>
              <w:bottom w:val="single" w:sz="4" w:space="0" w:color="auto"/>
              <w:right w:val="nil"/>
            </w:tcBorders>
            <w:shd w:val="clear" w:color="auto" w:fill="F2F2F2"/>
            <w:noWrap/>
            <w:vAlign w:val="center"/>
            <w:hideMark/>
          </w:tcPr>
          <w:p w:rsidR="00677C93" w:rsidRPr="000E5487" w:rsidRDefault="00677C93"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1,0000</w:t>
            </w:r>
          </w:p>
        </w:tc>
        <w:tc>
          <w:tcPr>
            <w:tcW w:w="900" w:type="pct"/>
            <w:tcBorders>
              <w:top w:val="nil"/>
              <w:left w:val="nil"/>
              <w:bottom w:val="single" w:sz="4" w:space="0" w:color="auto"/>
              <w:right w:val="nil"/>
            </w:tcBorders>
            <w:shd w:val="clear" w:color="auto" w:fill="F2F2F2"/>
            <w:noWrap/>
            <w:vAlign w:val="center"/>
            <w:hideMark/>
          </w:tcPr>
          <w:p w:rsidR="00677C93" w:rsidRPr="000E5487" w:rsidRDefault="00677C93" w:rsidP="00485D63">
            <w:pPr>
              <w:spacing w:after="0" w:line="240" w:lineRule="auto"/>
              <w:ind w:hanging="3"/>
              <w:jc w:val="center"/>
              <w:rPr>
                <w:rFonts w:ascii="Times New Roman" w:hAnsi="Times New Roman"/>
                <w:color w:val="000000"/>
                <w:sz w:val="20"/>
                <w:szCs w:val="20"/>
              </w:rPr>
            </w:pPr>
            <w:r w:rsidRPr="000E5487">
              <w:rPr>
                <w:rFonts w:ascii="Times New Roman" w:hAnsi="Times New Roman"/>
                <w:color w:val="000000"/>
                <w:sz w:val="20"/>
                <w:szCs w:val="20"/>
              </w:rPr>
              <w:t>0,4458</w:t>
            </w:r>
          </w:p>
        </w:tc>
        <w:tc>
          <w:tcPr>
            <w:tcW w:w="899" w:type="pct"/>
            <w:tcBorders>
              <w:top w:val="nil"/>
              <w:left w:val="nil"/>
              <w:bottom w:val="single" w:sz="4" w:space="0" w:color="auto"/>
              <w:right w:val="nil"/>
            </w:tcBorders>
            <w:shd w:val="clear" w:color="auto" w:fill="F2F2F2"/>
            <w:noWrap/>
            <w:vAlign w:val="center"/>
            <w:hideMark/>
          </w:tcPr>
          <w:p w:rsidR="00677C93" w:rsidRPr="000E5487" w:rsidRDefault="00677C93" w:rsidP="00485D63">
            <w:pPr>
              <w:spacing w:after="0" w:line="240" w:lineRule="auto"/>
              <w:jc w:val="center"/>
              <w:rPr>
                <w:rFonts w:ascii="Times New Roman" w:hAnsi="Times New Roman"/>
                <w:color w:val="000000"/>
                <w:sz w:val="20"/>
                <w:szCs w:val="20"/>
              </w:rPr>
            </w:pPr>
            <w:r w:rsidRPr="000E5487">
              <w:rPr>
                <w:rFonts w:ascii="Times New Roman" w:hAnsi="Times New Roman"/>
                <w:color w:val="000000"/>
                <w:sz w:val="20"/>
                <w:szCs w:val="20"/>
              </w:rPr>
              <w:t>0,6904</w:t>
            </w:r>
          </w:p>
        </w:tc>
      </w:tr>
    </w:tbl>
    <w:p w:rsidR="00D33781" w:rsidRPr="000E5487" w:rsidRDefault="00041088" w:rsidP="00557D9C">
      <w:pPr>
        <w:spacing w:after="0" w:line="240" w:lineRule="auto"/>
        <w:ind w:left="142"/>
        <w:rPr>
          <w:rFonts w:ascii="Times New Roman" w:eastAsia="Arial Unicode MS" w:hAnsi="Times New Roman"/>
          <w:szCs w:val="24"/>
          <w:bdr w:val="nil"/>
        </w:rPr>
      </w:pPr>
      <w:r w:rsidRPr="000E5487">
        <w:rPr>
          <w:rFonts w:ascii="Times New Roman" w:eastAsia="Arial Unicode MS" w:hAnsi="Times New Roman"/>
          <w:sz w:val="20"/>
          <w:szCs w:val="24"/>
          <w:bdr w:val="nil"/>
        </w:rPr>
        <w:t xml:space="preserve">Legenda: </w:t>
      </w:r>
      <w:r w:rsidR="00D33781" w:rsidRPr="000E5487">
        <w:rPr>
          <w:rFonts w:ascii="Times New Roman" w:eastAsia="Arial Unicode MS" w:hAnsi="Times New Roman"/>
          <w:sz w:val="20"/>
          <w:szCs w:val="24"/>
          <w:bdr w:val="nil"/>
        </w:rPr>
        <w:t xml:space="preserve">* Valor </w:t>
      </w:r>
      <w:r w:rsidR="00D33781" w:rsidRPr="000E5487">
        <w:rPr>
          <w:rFonts w:ascii="Times New Roman" w:eastAsia="Arial Unicode MS" w:hAnsi="Times New Roman"/>
          <w:i/>
          <w:sz w:val="20"/>
          <w:szCs w:val="24"/>
          <w:bdr w:val="nil"/>
        </w:rPr>
        <w:t>p</w:t>
      </w:r>
      <w:r w:rsidR="00D33781" w:rsidRPr="000E5487">
        <w:rPr>
          <w:rFonts w:ascii="Times New Roman" w:eastAsia="Arial Unicode MS" w:hAnsi="Times New Roman"/>
          <w:sz w:val="20"/>
          <w:szCs w:val="24"/>
          <w:bdr w:val="nil"/>
        </w:rPr>
        <w:t xml:space="preserve"> &lt; 0,05.</w:t>
      </w:r>
    </w:p>
    <w:p w:rsidR="00041088" w:rsidRPr="000E5487" w:rsidRDefault="00041088" w:rsidP="00B747D7">
      <w:pPr>
        <w:spacing w:after="0" w:line="240" w:lineRule="auto"/>
        <w:ind w:firstLine="709"/>
        <w:jc w:val="both"/>
        <w:rPr>
          <w:rFonts w:ascii="Times New Roman" w:hAnsi="Times New Roman"/>
          <w:noProof/>
          <w:color w:val="000000"/>
          <w:szCs w:val="24"/>
        </w:rPr>
      </w:pPr>
    </w:p>
    <w:p w:rsidR="000B157E" w:rsidRDefault="0040384C" w:rsidP="00B747D7">
      <w:pPr>
        <w:spacing w:after="0" w:line="240" w:lineRule="auto"/>
        <w:ind w:firstLine="709"/>
        <w:jc w:val="both"/>
        <w:rPr>
          <w:rFonts w:ascii="Times New Roman" w:hAnsi="Times New Roman"/>
          <w:noProof/>
          <w:szCs w:val="24"/>
        </w:rPr>
      </w:pPr>
      <w:r w:rsidRPr="000E5487">
        <w:rPr>
          <w:rFonts w:ascii="Times New Roman" w:hAnsi="Times New Roman"/>
          <w:noProof/>
          <w:color w:val="000000"/>
          <w:szCs w:val="24"/>
        </w:rPr>
        <w:t>Há evidências amostrais suficientes, conforme apresentado na</w:t>
      </w:r>
      <w:r w:rsidR="003A0590" w:rsidRPr="000E5487">
        <w:rPr>
          <w:rFonts w:ascii="Times New Roman" w:hAnsi="Times New Roman"/>
          <w:noProof/>
          <w:szCs w:val="24"/>
        </w:rPr>
        <w:t xml:space="preserve"> Tabela 5</w:t>
      </w:r>
      <w:r w:rsidRPr="000E5487">
        <w:rPr>
          <w:rFonts w:ascii="Times New Roman" w:hAnsi="Times New Roman"/>
          <w:noProof/>
          <w:szCs w:val="24"/>
        </w:rPr>
        <w:t>, de</w:t>
      </w:r>
      <w:r w:rsidR="003A0590" w:rsidRPr="000E5487">
        <w:rPr>
          <w:rFonts w:ascii="Times New Roman" w:hAnsi="Times New Roman"/>
          <w:noProof/>
          <w:szCs w:val="24"/>
        </w:rPr>
        <w:t xml:space="preserve"> que </w:t>
      </w:r>
      <w:r w:rsidR="00891844" w:rsidRPr="000E5487">
        <w:rPr>
          <w:rFonts w:ascii="Times New Roman" w:hAnsi="Times New Roman"/>
          <w:noProof/>
          <w:szCs w:val="24"/>
        </w:rPr>
        <w:t xml:space="preserve">o tempo de </w:t>
      </w:r>
      <w:r w:rsidR="00C65B7B" w:rsidRPr="000E5487">
        <w:rPr>
          <w:rFonts w:ascii="Times New Roman" w:hAnsi="Times New Roman"/>
          <w:noProof/>
          <w:szCs w:val="24"/>
        </w:rPr>
        <w:t>experiência</w:t>
      </w:r>
      <w:r w:rsidR="00891844" w:rsidRPr="000E5487">
        <w:rPr>
          <w:rFonts w:ascii="Times New Roman" w:hAnsi="Times New Roman"/>
          <w:noProof/>
          <w:szCs w:val="24"/>
        </w:rPr>
        <w:t xml:space="preserve"> na mensuração de ativos biológicos apresentou associação significativa com as questões relativas ao método de mensuração do ativo biológico, definição da taxa de desconto do </w:t>
      </w:r>
      <w:r w:rsidR="00221AAC" w:rsidRPr="000E5487">
        <w:rPr>
          <w:rFonts w:ascii="Times New Roman" w:hAnsi="Times New Roman"/>
          <w:noProof/>
          <w:szCs w:val="24"/>
        </w:rPr>
        <w:t xml:space="preserve">fluxo de caixa, </w:t>
      </w:r>
      <w:r w:rsidR="00891844" w:rsidRPr="000E5487">
        <w:rPr>
          <w:rFonts w:ascii="Times New Roman" w:hAnsi="Times New Roman"/>
          <w:noProof/>
          <w:szCs w:val="24"/>
        </w:rPr>
        <w:t>coeficiente beta, utilização do risco</w:t>
      </w:r>
      <w:r w:rsidR="00221AAC" w:rsidRPr="000E5487">
        <w:rPr>
          <w:rFonts w:ascii="Times New Roman" w:hAnsi="Times New Roman"/>
          <w:noProof/>
          <w:szCs w:val="24"/>
        </w:rPr>
        <w:t xml:space="preserve"> </w:t>
      </w:r>
      <w:r w:rsidR="00C50B4B" w:rsidRPr="000E5487">
        <w:rPr>
          <w:rFonts w:ascii="Times New Roman" w:hAnsi="Times New Roman"/>
          <w:noProof/>
          <w:szCs w:val="24"/>
        </w:rPr>
        <w:t xml:space="preserve">país </w:t>
      </w:r>
      <w:r w:rsidR="00891844" w:rsidRPr="000E5487">
        <w:rPr>
          <w:rFonts w:ascii="Times New Roman" w:hAnsi="Times New Roman"/>
          <w:noProof/>
          <w:szCs w:val="24"/>
        </w:rPr>
        <w:t xml:space="preserve">e definição do horizonte de </w:t>
      </w:r>
      <w:r w:rsidR="00221AAC" w:rsidRPr="000E5487">
        <w:rPr>
          <w:rFonts w:ascii="Times New Roman" w:hAnsi="Times New Roman"/>
          <w:noProof/>
          <w:szCs w:val="24"/>
        </w:rPr>
        <w:t xml:space="preserve">projeção </w:t>
      </w:r>
      <w:r w:rsidR="00891844" w:rsidRPr="000E5487">
        <w:rPr>
          <w:rFonts w:ascii="Times New Roman" w:hAnsi="Times New Roman"/>
          <w:noProof/>
          <w:szCs w:val="24"/>
        </w:rPr>
        <w:t xml:space="preserve">do fluxo de caixa, com valores </w:t>
      </w:r>
      <w:r w:rsidR="00221AAC" w:rsidRPr="000E5487">
        <w:rPr>
          <w:rFonts w:ascii="Times New Roman" w:hAnsi="Times New Roman"/>
          <w:noProof/>
          <w:szCs w:val="24"/>
        </w:rPr>
        <w:t xml:space="preserve">para </w:t>
      </w:r>
      <w:r w:rsidR="00891844" w:rsidRPr="000E5487">
        <w:rPr>
          <w:rFonts w:ascii="Times New Roman" w:hAnsi="Times New Roman"/>
          <w:i/>
          <w:iCs/>
          <w:noProof/>
          <w:szCs w:val="24"/>
        </w:rPr>
        <w:t>p</w:t>
      </w:r>
      <w:r w:rsidR="00891844" w:rsidRPr="000E5487">
        <w:rPr>
          <w:rFonts w:ascii="Times New Roman" w:hAnsi="Times New Roman"/>
          <w:noProof/>
          <w:szCs w:val="24"/>
        </w:rPr>
        <w:t xml:space="preserve"> iguais a 0,0287; 0,045; 0,0470; 0,0195 e 0,158, respectivamente.</w:t>
      </w:r>
      <w:r w:rsidR="00ED78EF" w:rsidRPr="000E5487">
        <w:rPr>
          <w:rFonts w:ascii="Times New Roman" w:hAnsi="Times New Roman"/>
          <w:noProof/>
          <w:szCs w:val="24"/>
        </w:rPr>
        <w:t xml:space="preserve"> </w:t>
      </w:r>
      <w:r w:rsidR="000B157E" w:rsidRPr="000B157E">
        <w:rPr>
          <w:rFonts w:ascii="Times New Roman" w:hAnsi="Times New Roman"/>
          <w:noProof/>
          <w:szCs w:val="24"/>
        </w:rPr>
        <w:t>Quanto as demais associações investigadas, não foram encontradas evidências amostrais suficientes de que são significativas, de acordo com o teste exato de Fisher ao nível de 5% de significância.</w:t>
      </w:r>
    </w:p>
    <w:p w:rsidR="00285D1B" w:rsidRDefault="00374AD9"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Na Figura </w:t>
      </w:r>
      <w:r w:rsidR="00677C93">
        <w:rPr>
          <w:rFonts w:ascii="Times New Roman" w:hAnsi="Times New Roman"/>
          <w:noProof/>
          <w:szCs w:val="24"/>
        </w:rPr>
        <w:t>2</w:t>
      </w:r>
      <w:r w:rsidR="00C65B7B" w:rsidRPr="000E5487">
        <w:rPr>
          <w:rFonts w:ascii="Times New Roman" w:hAnsi="Times New Roman"/>
          <w:noProof/>
          <w:szCs w:val="24"/>
        </w:rPr>
        <w:t xml:space="preserve"> são detalhadas as faixas de experiência e os métodos de mensuração</w:t>
      </w:r>
      <w:r w:rsidR="009444C3" w:rsidRPr="000E5487">
        <w:rPr>
          <w:rFonts w:ascii="Times New Roman" w:hAnsi="Times New Roman"/>
          <w:noProof/>
          <w:szCs w:val="24"/>
        </w:rPr>
        <w:t xml:space="preserve"> de ativos biológicos mencionados</w:t>
      </w:r>
      <w:r w:rsidR="00C65B7B" w:rsidRPr="000E5487">
        <w:rPr>
          <w:rFonts w:ascii="Times New Roman" w:hAnsi="Times New Roman"/>
          <w:noProof/>
          <w:szCs w:val="24"/>
        </w:rPr>
        <w:t>.</w:t>
      </w:r>
    </w:p>
    <w:p w:rsidR="00557D9C" w:rsidRPr="000E5487" w:rsidRDefault="00557D9C" w:rsidP="00B747D7">
      <w:pPr>
        <w:spacing w:after="0" w:line="240" w:lineRule="auto"/>
        <w:ind w:firstLine="709"/>
        <w:jc w:val="both"/>
        <w:rPr>
          <w:rFonts w:ascii="Times New Roman" w:hAnsi="Times New Roman"/>
          <w:noProof/>
          <w:szCs w:val="24"/>
        </w:rPr>
      </w:pPr>
    </w:p>
    <w:p w:rsidR="00285D1B" w:rsidRPr="000E5487" w:rsidRDefault="000A1444" w:rsidP="00B747D7">
      <w:pPr>
        <w:pBdr>
          <w:top w:val="nil"/>
          <w:left w:val="nil"/>
          <w:bottom w:val="nil"/>
          <w:right w:val="nil"/>
          <w:between w:val="nil"/>
          <w:bar w:val="nil"/>
        </w:pBdr>
        <w:spacing w:after="0" w:line="240" w:lineRule="auto"/>
        <w:ind w:firstLine="709"/>
        <w:jc w:val="center"/>
        <w:rPr>
          <w:rFonts w:ascii="Times New Roman" w:eastAsia="Arial Unicode MS" w:hAnsi="Times New Roman"/>
          <w:szCs w:val="24"/>
          <w:bdr w:val="nil"/>
        </w:rPr>
      </w:pPr>
      <w:r w:rsidRPr="000E5487">
        <w:rPr>
          <w:rFonts w:ascii="Times New Roman" w:hAnsi="Times New Roman"/>
          <w:noProof/>
        </w:rPr>
        <w:drawing>
          <wp:inline distT="0" distB="0" distL="0" distR="0" wp14:anchorId="15D52A8C" wp14:editId="2DCDE83F">
            <wp:extent cx="4275190" cy="289585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5190" cy="2895851"/>
                    </a:xfrm>
                    <a:prstGeom prst="rect">
                      <a:avLst/>
                    </a:prstGeom>
                  </pic:spPr>
                </pic:pic>
              </a:graphicData>
            </a:graphic>
          </wp:inline>
        </w:drawing>
      </w:r>
    </w:p>
    <w:p w:rsidR="00285D1B" w:rsidRPr="00557D9C" w:rsidRDefault="00374AD9" w:rsidP="00557D9C">
      <w:pPr>
        <w:pBdr>
          <w:top w:val="nil"/>
          <w:left w:val="nil"/>
          <w:bottom w:val="nil"/>
          <w:right w:val="nil"/>
          <w:between w:val="nil"/>
          <w:bar w:val="nil"/>
        </w:pBdr>
        <w:spacing w:after="0" w:line="240" w:lineRule="auto"/>
        <w:jc w:val="center"/>
        <w:rPr>
          <w:rFonts w:ascii="Times New Roman" w:eastAsia="Arial Unicode MS" w:hAnsi="Times New Roman"/>
          <w:sz w:val="20"/>
          <w:szCs w:val="24"/>
          <w:bdr w:val="nil"/>
          <w:lang w:eastAsia="en-US"/>
        </w:rPr>
      </w:pPr>
      <w:r w:rsidRPr="00557D9C">
        <w:rPr>
          <w:rFonts w:ascii="Times New Roman" w:eastAsia="Arial Unicode MS" w:hAnsi="Times New Roman"/>
          <w:sz w:val="20"/>
          <w:szCs w:val="24"/>
          <w:bdr w:val="nil"/>
          <w:lang w:eastAsia="en-US"/>
        </w:rPr>
        <w:t xml:space="preserve">Figura </w:t>
      </w:r>
      <w:r w:rsidR="00041088" w:rsidRPr="00557D9C">
        <w:rPr>
          <w:rFonts w:ascii="Times New Roman" w:eastAsia="Arial Unicode MS" w:hAnsi="Times New Roman"/>
          <w:sz w:val="20"/>
          <w:szCs w:val="24"/>
          <w:bdr w:val="nil"/>
          <w:lang w:eastAsia="en-US"/>
        </w:rPr>
        <w:t>3</w:t>
      </w:r>
      <w:r w:rsidR="00285D1B" w:rsidRPr="00557D9C">
        <w:rPr>
          <w:rFonts w:ascii="Times New Roman" w:eastAsia="Arial Unicode MS" w:hAnsi="Times New Roman"/>
          <w:sz w:val="20"/>
          <w:szCs w:val="24"/>
          <w:bdr w:val="nil"/>
          <w:lang w:eastAsia="en-US"/>
        </w:rPr>
        <w:t xml:space="preserve"> –</w:t>
      </w:r>
      <w:r w:rsidR="00285D1B" w:rsidRPr="00557D9C">
        <w:rPr>
          <w:rFonts w:ascii="Times New Roman" w:eastAsia="Arial Unicode MS" w:hAnsi="Times New Roman"/>
          <w:b/>
          <w:sz w:val="20"/>
          <w:szCs w:val="24"/>
          <w:bdr w:val="nil"/>
          <w:lang w:eastAsia="en-US"/>
        </w:rPr>
        <w:t xml:space="preserve"> </w:t>
      </w:r>
      <w:r w:rsidR="00221AAC" w:rsidRPr="00557D9C">
        <w:rPr>
          <w:rFonts w:ascii="Times New Roman" w:eastAsia="Arial Unicode MS" w:hAnsi="Times New Roman"/>
          <w:sz w:val="20"/>
          <w:szCs w:val="24"/>
          <w:bdr w:val="nil"/>
          <w:lang w:eastAsia="en-US"/>
        </w:rPr>
        <w:t>M</w:t>
      </w:r>
      <w:r w:rsidR="00285D1B" w:rsidRPr="00557D9C">
        <w:rPr>
          <w:rFonts w:ascii="Times New Roman" w:eastAsia="Arial Unicode MS" w:hAnsi="Times New Roman"/>
          <w:sz w:val="20"/>
          <w:szCs w:val="24"/>
          <w:bdr w:val="nil"/>
          <w:lang w:eastAsia="en-US"/>
        </w:rPr>
        <w:t>étodo de mensuração do ativo biológico</w:t>
      </w:r>
      <w:r w:rsidR="00221AAC" w:rsidRPr="00557D9C">
        <w:rPr>
          <w:rFonts w:ascii="Times New Roman" w:eastAsia="Arial Unicode MS" w:hAnsi="Times New Roman"/>
          <w:sz w:val="20"/>
          <w:szCs w:val="24"/>
          <w:bdr w:val="nil"/>
          <w:lang w:eastAsia="en-US"/>
        </w:rPr>
        <w:t xml:space="preserve"> e </w:t>
      </w:r>
      <w:r w:rsidR="00285D1B" w:rsidRPr="00557D9C">
        <w:rPr>
          <w:rFonts w:ascii="Times New Roman" w:eastAsia="Arial Unicode MS" w:hAnsi="Times New Roman"/>
          <w:sz w:val="20"/>
          <w:szCs w:val="24"/>
          <w:bdr w:val="nil"/>
          <w:lang w:eastAsia="en-US"/>
        </w:rPr>
        <w:t xml:space="preserve">tempo de atuação </w:t>
      </w:r>
      <w:r w:rsidR="00221AAC" w:rsidRPr="00557D9C">
        <w:rPr>
          <w:rFonts w:ascii="Times New Roman" w:eastAsia="Arial Unicode MS" w:hAnsi="Times New Roman"/>
          <w:sz w:val="20"/>
          <w:szCs w:val="24"/>
          <w:bdr w:val="nil"/>
          <w:lang w:eastAsia="en-US"/>
        </w:rPr>
        <w:t xml:space="preserve">profissional em sua </w:t>
      </w:r>
      <w:r w:rsidR="00285D1B" w:rsidRPr="00557D9C">
        <w:rPr>
          <w:rFonts w:ascii="Times New Roman" w:eastAsia="Arial Unicode MS" w:hAnsi="Times New Roman"/>
          <w:sz w:val="20"/>
          <w:szCs w:val="24"/>
          <w:bdr w:val="nil"/>
          <w:lang w:eastAsia="en-US"/>
        </w:rPr>
        <w:t>mensuração</w:t>
      </w:r>
    </w:p>
    <w:p w:rsidR="00041088" w:rsidRPr="000E5487" w:rsidRDefault="00041088" w:rsidP="00B747D7">
      <w:pPr>
        <w:pBdr>
          <w:top w:val="nil"/>
          <w:left w:val="nil"/>
          <w:bottom w:val="nil"/>
          <w:right w:val="nil"/>
          <w:between w:val="nil"/>
          <w:bar w:val="nil"/>
        </w:pBdr>
        <w:spacing w:after="0" w:line="240" w:lineRule="auto"/>
        <w:ind w:firstLine="709"/>
        <w:rPr>
          <w:rFonts w:ascii="Times New Roman" w:eastAsia="Arial Unicode MS" w:hAnsi="Times New Roman"/>
          <w:szCs w:val="24"/>
          <w:bdr w:val="nil"/>
          <w:lang w:eastAsia="en-US"/>
        </w:rPr>
      </w:pPr>
    </w:p>
    <w:p w:rsidR="00285D1B" w:rsidRPr="000E5487" w:rsidRDefault="00285D1B"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Observa-se na Figura </w:t>
      </w:r>
      <w:r w:rsidR="00677C93">
        <w:rPr>
          <w:rFonts w:ascii="Times New Roman" w:hAnsi="Times New Roman"/>
          <w:noProof/>
          <w:szCs w:val="24"/>
        </w:rPr>
        <w:t>2</w:t>
      </w:r>
      <w:r w:rsidRPr="000E5487">
        <w:rPr>
          <w:rFonts w:ascii="Times New Roman" w:hAnsi="Times New Roman"/>
          <w:noProof/>
          <w:szCs w:val="24"/>
        </w:rPr>
        <w:t xml:space="preserve"> que tanto os </w:t>
      </w:r>
      <w:r w:rsidR="00221AAC" w:rsidRPr="000E5487">
        <w:rPr>
          <w:rFonts w:ascii="Times New Roman" w:hAnsi="Times New Roman"/>
          <w:noProof/>
          <w:szCs w:val="24"/>
        </w:rPr>
        <w:t xml:space="preserve">respondentes </w:t>
      </w:r>
      <w:r w:rsidRPr="000E5487">
        <w:rPr>
          <w:rFonts w:ascii="Times New Roman" w:hAnsi="Times New Roman"/>
          <w:noProof/>
          <w:szCs w:val="24"/>
        </w:rPr>
        <w:t xml:space="preserve">que possuem entre 3 e 4 anos de atuação na mensuração de ativos biológicos, quanto os que têm mais de 7 anos e a maior parte dos que têm de 5 a 7 anos utilizam o </w:t>
      </w:r>
      <w:r w:rsidR="008F14CC" w:rsidRPr="000E5487">
        <w:rPr>
          <w:rFonts w:ascii="Times New Roman" w:hAnsi="Times New Roman"/>
          <w:noProof/>
          <w:szCs w:val="24"/>
        </w:rPr>
        <w:t>V</w:t>
      </w:r>
      <w:r w:rsidRPr="000E5487">
        <w:rPr>
          <w:rFonts w:ascii="Times New Roman" w:hAnsi="Times New Roman"/>
          <w:noProof/>
          <w:szCs w:val="24"/>
        </w:rPr>
        <w:t xml:space="preserve">alor </w:t>
      </w:r>
      <w:r w:rsidR="008F14CC" w:rsidRPr="000E5487">
        <w:rPr>
          <w:rFonts w:ascii="Times New Roman" w:hAnsi="Times New Roman"/>
          <w:noProof/>
          <w:szCs w:val="24"/>
        </w:rPr>
        <w:t>J</w:t>
      </w:r>
      <w:r w:rsidRPr="000E5487">
        <w:rPr>
          <w:rFonts w:ascii="Times New Roman" w:hAnsi="Times New Roman"/>
          <w:noProof/>
          <w:szCs w:val="24"/>
        </w:rPr>
        <w:t xml:space="preserve">usto – </w:t>
      </w:r>
      <w:r w:rsidR="008F14CC" w:rsidRPr="000E5487">
        <w:rPr>
          <w:rFonts w:ascii="Times New Roman" w:hAnsi="Times New Roman"/>
          <w:noProof/>
          <w:szCs w:val="24"/>
        </w:rPr>
        <w:t>F</w:t>
      </w:r>
      <w:r w:rsidRPr="000E5487">
        <w:rPr>
          <w:rFonts w:ascii="Times New Roman" w:hAnsi="Times New Roman"/>
          <w:noProof/>
          <w:szCs w:val="24"/>
        </w:rPr>
        <w:t xml:space="preserve">luxo de </w:t>
      </w:r>
      <w:r w:rsidR="008F14CC" w:rsidRPr="000E5487">
        <w:rPr>
          <w:rFonts w:ascii="Times New Roman" w:hAnsi="Times New Roman"/>
          <w:noProof/>
          <w:szCs w:val="24"/>
        </w:rPr>
        <w:t>C</w:t>
      </w:r>
      <w:r w:rsidRPr="000E5487">
        <w:rPr>
          <w:rFonts w:ascii="Times New Roman" w:hAnsi="Times New Roman"/>
          <w:noProof/>
          <w:szCs w:val="24"/>
        </w:rPr>
        <w:t>aixa Descontado</w:t>
      </w:r>
      <w:r w:rsidR="00221AAC" w:rsidRPr="000E5487">
        <w:rPr>
          <w:rFonts w:ascii="Times New Roman" w:hAnsi="Times New Roman"/>
          <w:noProof/>
          <w:szCs w:val="24"/>
        </w:rPr>
        <w:t>,</w:t>
      </w:r>
      <w:r w:rsidRPr="000E5487">
        <w:rPr>
          <w:rFonts w:ascii="Times New Roman" w:hAnsi="Times New Roman"/>
          <w:noProof/>
          <w:szCs w:val="24"/>
        </w:rPr>
        <w:t xml:space="preserve"> como método de mensuração do ativo biológico</w:t>
      </w:r>
      <w:r w:rsidR="00221AAC" w:rsidRPr="000E5487">
        <w:rPr>
          <w:rFonts w:ascii="Times New Roman" w:hAnsi="Times New Roman"/>
          <w:noProof/>
          <w:szCs w:val="24"/>
        </w:rPr>
        <w:t>;</w:t>
      </w:r>
      <w:r w:rsidRPr="000E5487">
        <w:rPr>
          <w:rFonts w:ascii="Times New Roman" w:hAnsi="Times New Roman"/>
          <w:noProof/>
          <w:szCs w:val="24"/>
        </w:rPr>
        <w:t xml:space="preserve"> enquanto entre os </w:t>
      </w:r>
      <w:r w:rsidR="00221AAC" w:rsidRPr="000E5487">
        <w:rPr>
          <w:rFonts w:ascii="Times New Roman" w:hAnsi="Times New Roman"/>
          <w:noProof/>
          <w:szCs w:val="24"/>
        </w:rPr>
        <w:t xml:space="preserve">respondentes </w:t>
      </w:r>
      <w:r w:rsidRPr="000E5487">
        <w:rPr>
          <w:rFonts w:ascii="Times New Roman" w:hAnsi="Times New Roman"/>
          <w:noProof/>
          <w:szCs w:val="24"/>
        </w:rPr>
        <w:t>que têm até dois anos de exper</w:t>
      </w:r>
      <w:r w:rsidR="009444C3" w:rsidRPr="000E5487">
        <w:rPr>
          <w:rFonts w:ascii="Times New Roman" w:hAnsi="Times New Roman"/>
          <w:noProof/>
          <w:szCs w:val="24"/>
        </w:rPr>
        <w:t xml:space="preserve">iência, quase </w:t>
      </w:r>
      <w:r w:rsidR="00221AAC" w:rsidRPr="000E5487">
        <w:rPr>
          <w:rFonts w:ascii="Times New Roman" w:hAnsi="Times New Roman"/>
          <w:noProof/>
          <w:szCs w:val="24"/>
        </w:rPr>
        <w:t xml:space="preserve">a </w:t>
      </w:r>
      <w:r w:rsidR="009444C3" w:rsidRPr="000E5487">
        <w:rPr>
          <w:rFonts w:ascii="Times New Roman" w:hAnsi="Times New Roman"/>
          <w:noProof/>
          <w:szCs w:val="24"/>
        </w:rPr>
        <w:t>metade</w:t>
      </w:r>
      <w:r w:rsidR="00221AAC" w:rsidRPr="000E5487">
        <w:rPr>
          <w:rFonts w:ascii="Times New Roman" w:hAnsi="Times New Roman"/>
          <w:noProof/>
          <w:szCs w:val="24"/>
        </w:rPr>
        <w:t>,</w:t>
      </w:r>
      <w:r w:rsidR="009444C3" w:rsidRPr="000E5487">
        <w:rPr>
          <w:rFonts w:ascii="Times New Roman" w:hAnsi="Times New Roman"/>
          <w:noProof/>
          <w:szCs w:val="24"/>
        </w:rPr>
        <w:t xml:space="preserve"> utiliza o V</w:t>
      </w:r>
      <w:r w:rsidRPr="000E5487">
        <w:rPr>
          <w:rFonts w:ascii="Times New Roman" w:hAnsi="Times New Roman"/>
          <w:noProof/>
          <w:szCs w:val="24"/>
        </w:rPr>
        <w:t xml:space="preserve">alor </w:t>
      </w:r>
      <w:r w:rsidR="009444C3" w:rsidRPr="000E5487">
        <w:rPr>
          <w:rFonts w:ascii="Times New Roman" w:hAnsi="Times New Roman"/>
          <w:noProof/>
          <w:szCs w:val="24"/>
        </w:rPr>
        <w:t>J</w:t>
      </w:r>
      <w:r w:rsidRPr="000E5487">
        <w:rPr>
          <w:rFonts w:ascii="Times New Roman" w:hAnsi="Times New Roman"/>
          <w:noProof/>
          <w:szCs w:val="24"/>
        </w:rPr>
        <w:t xml:space="preserve">usto – Mercado </w:t>
      </w:r>
      <w:r w:rsidR="00221AAC" w:rsidRPr="000E5487">
        <w:rPr>
          <w:rFonts w:ascii="Times New Roman" w:hAnsi="Times New Roman"/>
          <w:noProof/>
          <w:szCs w:val="24"/>
        </w:rPr>
        <w:t>A</w:t>
      </w:r>
      <w:r w:rsidRPr="000E5487">
        <w:rPr>
          <w:rFonts w:ascii="Times New Roman" w:hAnsi="Times New Roman"/>
          <w:noProof/>
          <w:szCs w:val="24"/>
        </w:rPr>
        <w:t xml:space="preserve">tivo e  mais de 20% utilizam o </w:t>
      </w:r>
      <w:r w:rsidR="008F14CC" w:rsidRPr="000E5487">
        <w:rPr>
          <w:rFonts w:ascii="Times New Roman" w:hAnsi="Times New Roman"/>
          <w:noProof/>
          <w:szCs w:val="24"/>
        </w:rPr>
        <w:t>C</w:t>
      </w:r>
      <w:r w:rsidRPr="000E5487">
        <w:rPr>
          <w:rFonts w:ascii="Times New Roman" w:hAnsi="Times New Roman"/>
          <w:noProof/>
          <w:szCs w:val="24"/>
        </w:rPr>
        <w:t xml:space="preserve">usto </w:t>
      </w:r>
      <w:r w:rsidR="008F14CC" w:rsidRPr="000E5487">
        <w:rPr>
          <w:rFonts w:ascii="Times New Roman" w:hAnsi="Times New Roman"/>
          <w:noProof/>
          <w:szCs w:val="24"/>
        </w:rPr>
        <w:t>H</w:t>
      </w:r>
      <w:r w:rsidRPr="000E5487">
        <w:rPr>
          <w:rFonts w:ascii="Times New Roman" w:hAnsi="Times New Roman"/>
          <w:noProof/>
          <w:szCs w:val="24"/>
        </w:rPr>
        <w:t>istórico.</w:t>
      </w:r>
    </w:p>
    <w:p w:rsidR="009444C3" w:rsidRDefault="008204FF"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O tempo de experiência na mensuração de ativos biológicos também apresentou associação com a</w:t>
      </w:r>
      <w:r w:rsidR="009444C3" w:rsidRPr="000E5487">
        <w:rPr>
          <w:rFonts w:ascii="Times New Roman" w:hAnsi="Times New Roman"/>
          <w:noProof/>
          <w:szCs w:val="24"/>
        </w:rPr>
        <w:t xml:space="preserve"> definição da taxa de desconto </w:t>
      </w:r>
      <w:r w:rsidRPr="000E5487">
        <w:rPr>
          <w:rFonts w:ascii="Times New Roman" w:hAnsi="Times New Roman"/>
          <w:noProof/>
          <w:szCs w:val="24"/>
        </w:rPr>
        <w:t xml:space="preserve">do </w:t>
      </w:r>
      <w:r w:rsidR="008F14CC" w:rsidRPr="000E5487">
        <w:rPr>
          <w:rFonts w:ascii="Times New Roman" w:hAnsi="Times New Roman"/>
          <w:noProof/>
          <w:szCs w:val="24"/>
        </w:rPr>
        <w:t>fluxo de caixa</w:t>
      </w:r>
      <w:r w:rsidRPr="000E5487">
        <w:rPr>
          <w:rFonts w:ascii="Times New Roman" w:hAnsi="Times New Roman"/>
          <w:noProof/>
          <w:szCs w:val="24"/>
        </w:rPr>
        <w:t>.</w:t>
      </w:r>
      <w:r w:rsidR="009444C3" w:rsidRPr="000E5487">
        <w:rPr>
          <w:rFonts w:ascii="Times New Roman" w:hAnsi="Times New Roman"/>
          <w:noProof/>
          <w:szCs w:val="24"/>
        </w:rPr>
        <w:t xml:space="preserve"> </w:t>
      </w:r>
      <w:r w:rsidR="00A51B57" w:rsidRPr="000E5487">
        <w:rPr>
          <w:rFonts w:ascii="Times New Roman" w:hAnsi="Times New Roman"/>
          <w:noProof/>
          <w:szCs w:val="24"/>
        </w:rPr>
        <w:t xml:space="preserve">Essa relação é detalhada na </w:t>
      </w:r>
      <w:r w:rsidR="00677C93">
        <w:rPr>
          <w:rFonts w:ascii="Times New Roman" w:hAnsi="Times New Roman"/>
          <w:noProof/>
          <w:szCs w:val="24"/>
        </w:rPr>
        <w:t>Figura 3</w:t>
      </w:r>
      <w:r w:rsidR="00041088" w:rsidRPr="000E5487">
        <w:rPr>
          <w:rFonts w:ascii="Times New Roman" w:hAnsi="Times New Roman"/>
          <w:noProof/>
          <w:szCs w:val="24"/>
        </w:rPr>
        <w:t>.</w:t>
      </w:r>
    </w:p>
    <w:p w:rsidR="00557D9C" w:rsidRPr="000E5487" w:rsidRDefault="00557D9C" w:rsidP="00B747D7">
      <w:pPr>
        <w:spacing w:after="0" w:line="240" w:lineRule="auto"/>
        <w:ind w:firstLine="709"/>
        <w:jc w:val="both"/>
        <w:rPr>
          <w:rFonts w:ascii="Times New Roman" w:hAnsi="Times New Roman"/>
          <w:noProof/>
          <w:szCs w:val="24"/>
        </w:rPr>
      </w:pPr>
    </w:p>
    <w:p w:rsidR="00285D1B" w:rsidRPr="000E5487" w:rsidRDefault="000A1444" w:rsidP="00B747D7">
      <w:pPr>
        <w:pBdr>
          <w:top w:val="nil"/>
          <w:left w:val="nil"/>
          <w:bottom w:val="nil"/>
          <w:right w:val="nil"/>
          <w:between w:val="nil"/>
          <w:bar w:val="nil"/>
        </w:pBdr>
        <w:spacing w:after="0" w:line="240" w:lineRule="auto"/>
        <w:ind w:firstLine="709"/>
        <w:jc w:val="center"/>
        <w:rPr>
          <w:rFonts w:ascii="Times New Roman" w:eastAsia="Arial Unicode MS" w:hAnsi="Times New Roman"/>
          <w:szCs w:val="24"/>
          <w:bdr w:val="nil"/>
        </w:rPr>
      </w:pPr>
      <w:r w:rsidRPr="000E5487">
        <w:rPr>
          <w:rFonts w:ascii="Times New Roman" w:hAnsi="Times New Roman"/>
          <w:noProof/>
        </w:rPr>
        <w:drawing>
          <wp:inline distT="0" distB="0" distL="0" distR="0" wp14:anchorId="4F5372E1" wp14:editId="4F6B1234">
            <wp:extent cx="4275190" cy="289585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5190" cy="2895851"/>
                    </a:xfrm>
                    <a:prstGeom prst="rect">
                      <a:avLst/>
                    </a:prstGeom>
                  </pic:spPr>
                </pic:pic>
              </a:graphicData>
            </a:graphic>
          </wp:inline>
        </w:drawing>
      </w:r>
    </w:p>
    <w:p w:rsidR="00285D1B" w:rsidRPr="00557D9C" w:rsidRDefault="00374AD9" w:rsidP="00557D9C">
      <w:pPr>
        <w:pBdr>
          <w:top w:val="nil"/>
          <w:left w:val="nil"/>
          <w:bottom w:val="nil"/>
          <w:right w:val="nil"/>
          <w:between w:val="nil"/>
          <w:bar w:val="nil"/>
        </w:pBdr>
        <w:spacing w:after="0" w:line="240" w:lineRule="auto"/>
        <w:jc w:val="center"/>
        <w:rPr>
          <w:rFonts w:ascii="Times New Roman" w:eastAsia="Arial Unicode MS" w:hAnsi="Times New Roman"/>
          <w:sz w:val="20"/>
          <w:szCs w:val="24"/>
          <w:bdr w:val="nil"/>
          <w:lang w:eastAsia="en-US"/>
        </w:rPr>
      </w:pPr>
      <w:r w:rsidRPr="00557D9C">
        <w:rPr>
          <w:rFonts w:ascii="Times New Roman" w:eastAsia="Arial Unicode MS" w:hAnsi="Times New Roman"/>
          <w:sz w:val="20"/>
          <w:szCs w:val="24"/>
          <w:bdr w:val="nil"/>
          <w:lang w:eastAsia="en-US"/>
        </w:rPr>
        <w:t xml:space="preserve">Figura </w:t>
      </w:r>
      <w:r w:rsidR="00677C93" w:rsidRPr="00557D9C">
        <w:rPr>
          <w:rFonts w:ascii="Times New Roman" w:eastAsia="Arial Unicode MS" w:hAnsi="Times New Roman"/>
          <w:sz w:val="20"/>
          <w:szCs w:val="24"/>
          <w:bdr w:val="nil"/>
          <w:lang w:eastAsia="en-US"/>
        </w:rPr>
        <w:t>3</w:t>
      </w:r>
      <w:r w:rsidR="00285D1B" w:rsidRPr="00557D9C">
        <w:rPr>
          <w:rFonts w:ascii="Times New Roman" w:eastAsia="Arial Unicode MS" w:hAnsi="Times New Roman"/>
          <w:b/>
          <w:sz w:val="20"/>
          <w:szCs w:val="24"/>
          <w:bdr w:val="nil"/>
          <w:lang w:eastAsia="en-US"/>
        </w:rPr>
        <w:t xml:space="preserve"> – </w:t>
      </w:r>
      <w:r w:rsidR="008F14CC" w:rsidRPr="00557D9C">
        <w:rPr>
          <w:rFonts w:ascii="Times New Roman" w:eastAsia="Arial Unicode MS" w:hAnsi="Times New Roman"/>
          <w:sz w:val="20"/>
          <w:szCs w:val="24"/>
          <w:bdr w:val="nil"/>
          <w:lang w:eastAsia="en-US"/>
        </w:rPr>
        <w:t>T</w:t>
      </w:r>
      <w:r w:rsidR="00285D1B" w:rsidRPr="00557D9C">
        <w:rPr>
          <w:rFonts w:ascii="Times New Roman" w:eastAsia="Arial Unicode MS" w:hAnsi="Times New Roman"/>
          <w:sz w:val="20"/>
          <w:szCs w:val="24"/>
          <w:bdr w:val="nil"/>
          <w:lang w:eastAsia="en-US"/>
        </w:rPr>
        <w:t xml:space="preserve">axa de desconto </w:t>
      </w:r>
      <w:r w:rsidR="008F14CC" w:rsidRPr="00557D9C">
        <w:rPr>
          <w:rFonts w:ascii="Times New Roman" w:eastAsia="Arial Unicode MS" w:hAnsi="Times New Roman"/>
          <w:sz w:val="20"/>
          <w:szCs w:val="24"/>
          <w:bdr w:val="nil"/>
          <w:lang w:eastAsia="en-US"/>
        </w:rPr>
        <w:t xml:space="preserve">e </w:t>
      </w:r>
      <w:r w:rsidR="00285D1B" w:rsidRPr="00557D9C">
        <w:rPr>
          <w:rFonts w:ascii="Times New Roman" w:eastAsia="Arial Unicode MS" w:hAnsi="Times New Roman"/>
          <w:sz w:val="20"/>
          <w:szCs w:val="24"/>
          <w:bdr w:val="nil"/>
          <w:lang w:eastAsia="en-US"/>
        </w:rPr>
        <w:t xml:space="preserve">tempo de atuação </w:t>
      </w:r>
      <w:r w:rsidR="008F14CC" w:rsidRPr="00557D9C">
        <w:rPr>
          <w:rFonts w:ascii="Times New Roman" w:eastAsia="Arial Unicode MS" w:hAnsi="Times New Roman"/>
          <w:sz w:val="20"/>
          <w:szCs w:val="24"/>
          <w:bdr w:val="nil"/>
          <w:lang w:eastAsia="en-US"/>
        </w:rPr>
        <w:t xml:space="preserve">profissional </w:t>
      </w:r>
      <w:r w:rsidR="00285D1B" w:rsidRPr="00557D9C">
        <w:rPr>
          <w:rFonts w:ascii="Times New Roman" w:eastAsia="Arial Unicode MS" w:hAnsi="Times New Roman"/>
          <w:sz w:val="20"/>
          <w:szCs w:val="24"/>
          <w:bdr w:val="nil"/>
          <w:lang w:eastAsia="en-US"/>
        </w:rPr>
        <w:t>na mensuração de ativos biológicos</w:t>
      </w:r>
    </w:p>
    <w:p w:rsidR="00041088" w:rsidRPr="000E5487" w:rsidRDefault="00041088" w:rsidP="00B747D7">
      <w:pPr>
        <w:pBdr>
          <w:top w:val="nil"/>
          <w:left w:val="nil"/>
          <w:bottom w:val="nil"/>
          <w:right w:val="nil"/>
          <w:between w:val="nil"/>
          <w:bar w:val="nil"/>
        </w:pBdr>
        <w:spacing w:after="0" w:line="240" w:lineRule="auto"/>
        <w:ind w:firstLine="709"/>
        <w:rPr>
          <w:rFonts w:ascii="Times New Roman" w:eastAsia="Arial Unicode MS" w:hAnsi="Times New Roman"/>
          <w:szCs w:val="24"/>
          <w:bdr w:val="nil"/>
          <w:lang w:eastAsia="en-US"/>
        </w:rPr>
      </w:pPr>
    </w:p>
    <w:p w:rsidR="00285D1B" w:rsidRPr="000E5487" w:rsidRDefault="00041088"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Pela Figura </w:t>
      </w:r>
      <w:r w:rsidR="00677C93">
        <w:rPr>
          <w:rFonts w:ascii="Times New Roman" w:hAnsi="Times New Roman"/>
          <w:noProof/>
          <w:szCs w:val="24"/>
        </w:rPr>
        <w:t>3</w:t>
      </w:r>
      <w:r w:rsidR="00285D1B" w:rsidRPr="000E5487">
        <w:rPr>
          <w:rFonts w:ascii="Times New Roman" w:hAnsi="Times New Roman"/>
          <w:noProof/>
          <w:szCs w:val="24"/>
        </w:rPr>
        <w:t xml:space="preserve">, vê-se que entre os </w:t>
      </w:r>
      <w:r w:rsidR="008F14CC" w:rsidRPr="000E5487">
        <w:rPr>
          <w:rFonts w:ascii="Times New Roman" w:hAnsi="Times New Roman"/>
          <w:noProof/>
          <w:szCs w:val="24"/>
        </w:rPr>
        <w:t xml:space="preserve">respondentes </w:t>
      </w:r>
      <w:r w:rsidR="00285D1B" w:rsidRPr="000E5487">
        <w:rPr>
          <w:rFonts w:ascii="Times New Roman" w:hAnsi="Times New Roman"/>
          <w:noProof/>
          <w:szCs w:val="24"/>
        </w:rPr>
        <w:t>que possuem entre 3 e 4 anos de experiência na mensuração dos ativos biológicos, quase três quartos utilizam taxas de juros obtidas com base nas teorias de precificação</w:t>
      </w:r>
      <w:r w:rsidR="005A2933" w:rsidRPr="000E5487">
        <w:rPr>
          <w:rFonts w:ascii="Times New Roman" w:hAnsi="Times New Roman"/>
          <w:noProof/>
          <w:szCs w:val="24"/>
        </w:rPr>
        <w:t xml:space="preserve"> de ativos</w:t>
      </w:r>
      <w:r w:rsidR="00285D1B" w:rsidRPr="000E5487">
        <w:rPr>
          <w:rFonts w:ascii="Times New Roman" w:hAnsi="Times New Roman"/>
          <w:noProof/>
          <w:szCs w:val="24"/>
        </w:rPr>
        <w:t xml:space="preserve">, enquanto um terço dos que têm até dois anos de atuação </w:t>
      </w:r>
      <w:r w:rsidR="008F14CC" w:rsidRPr="000E5487">
        <w:rPr>
          <w:rFonts w:ascii="Times New Roman" w:hAnsi="Times New Roman"/>
          <w:noProof/>
          <w:szCs w:val="24"/>
        </w:rPr>
        <w:t xml:space="preserve">também o utilizam e </w:t>
      </w:r>
      <w:r w:rsidR="00285D1B" w:rsidRPr="000E5487">
        <w:rPr>
          <w:rFonts w:ascii="Times New Roman" w:hAnsi="Times New Roman"/>
          <w:noProof/>
          <w:szCs w:val="24"/>
        </w:rPr>
        <w:t>nenhum dos respondentes com mais de 5 anos de atuação fazem uso de tal taxa</w:t>
      </w:r>
      <w:r w:rsidR="005A2933" w:rsidRPr="000E5487">
        <w:rPr>
          <w:rFonts w:ascii="Times New Roman" w:hAnsi="Times New Roman"/>
          <w:noProof/>
          <w:szCs w:val="24"/>
        </w:rPr>
        <w:t xml:space="preserve">, pois optam pela utilização de taxas obtidas com base nos números contábeis, como o </w:t>
      </w:r>
      <w:r w:rsidR="00677C93">
        <w:rPr>
          <w:rFonts w:ascii="Times New Roman" w:hAnsi="Times New Roman"/>
          <w:noProof/>
          <w:szCs w:val="24"/>
        </w:rPr>
        <w:t>WACC</w:t>
      </w:r>
      <w:r w:rsidR="00285D1B" w:rsidRPr="000E5487">
        <w:rPr>
          <w:rFonts w:ascii="Times New Roman" w:hAnsi="Times New Roman"/>
          <w:noProof/>
          <w:szCs w:val="24"/>
        </w:rPr>
        <w:t>.</w:t>
      </w:r>
    </w:p>
    <w:p w:rsidR="00A51B57" w:rsidRDefault="00A51B57" w:rsidP="00B747D7">
      <w:pPr>
        <w:spacing w:after="0" w:line="240" w:lineRule="auto"/>
        <w:ind w:firstLine="709"/>
        <w:jc w:val="both"/>
        <w:rPr>
          <w:rFonts w:ascii="Times New Roman" w:eastAsia="Arial Unicode MS" w:hAnsi="Times New Roman"/>
          <w:szCs w:val="24"/>
          <w:bdr w:val="nil"/>
          <w:lang w:eastAsia="en-US"/>
        </w:rPr>
      </w:pPr>
      <w:r w:rsidRPr="000E5487">
        <w:rPr>
          <w:rFonts w:ascii="Times New Roman" w:hAnsi="Times New Roman"/>
          <w:noProof/>
          <w:szCs w:val="24"/>
        </w:rPr>
        <w:t xml:space="preserve">A Figura </w:t>
      </w:r>
      <w:r w:rsidR="00677C93">
        <w:rPr>
          <w:rFonts w:ascii="Times New Roman" w:hAnsi="Times New Roman"/>
          <w:noProof/>
          <w:szCs w:val="24"/>
        </w:rPr>
        <w:t>4</w:t>
      </w:r>
      <w:r w:rsidRPr="000E5487">
        <w:rPr>
          <w:rFonts w:ascii="Times New Roman" w:hAnsi="Times New Roman"/>
          <w:noProof/>
          <w:szCs w:val="24"/>
        </w:rPr>
        <w:t xml:space="preserve"> demonstra a associação da escolha do </w:t>
      </w:r>
      <w:r w:rsidRPr="000E5487">
        <w:rPr>
          <w:rFonts w:ascii="Times New Roman" w:eastAsia="Arial Unicode MS" w:hAnsi="Times New Roman"/>
          <w:szCs w:val="24"/>
          <w:bdr w:val="nil"/>
          <w:lang w:eastAsia="en-US"/>
        </w:rPr>
        <w:t>coeficiente beta com o tempo de experiência na mensuração de ativos biológicos dos</w:t>
      </w:r>
      <w:r w:rsidR="00DF42F4" w:rsidRPr="000E5487">
        <w:rPr>
          <w:rFonts w:ascii="Times New Roman" w:eastAsia="Arial Unicode MS" w:hAnsi="Times New Roman"/>
          <w:szCs w:val="24"/>
          <w:bdr w:val="nil"/>
          <w:lang w:eastAsia="en-US"/>
        </w:rPr>
        <w:t xml:space="preserve"> </w:t>
      </w:r>
      <w:r w:rsidRPr="000E5487">
        <w:rPr>
          <w:rFonts w:ascii="Times New Roman" w:eastAsia="Arial Unicode MS" w:hAnsi="Times New Roman"/>
          <w:szCs w:val="24"/>
          <w:bdr w:val="nil"/>
          <w:lang w:eastAsia="en-US"/>
        </w:rPr>
        <w:t xml:space="preserve"> profissionais participantes da pesquisa.</w:t>
      </w:r>
    </w:p>
    <w:p w:rsidR="00EC257C" w:rsidRPr="000E5487" w:rsidRDefault="00EC257C" w:rsidP="00B747D7">
      <w:pPr>
        <w:spacing w:after="0" w:line="240" w:lineRule="auto"/>
        <w:ind w:firstLine="709"/>
        <w:jc w:val="both"/>
        <w:rPr>
          <w:rFonts w:ascii="Times New Roman" w:hAnsi="Times New Roman"/>
          <w:noProof/>
          <w:szCs w:val="24"/>
        </w:rPr>
      </w:pPr>
    </w:p>
    <w:p w:rsidR="00285D1B" w:rsidRPr="000E5487" w:rsidRDefault="000A1444" w:rsidP="00B747D7">
      <w:pPr>
        <w:pBdr>
          <w:top w:val="nil"/>
          <w:left w:val="nil"/>
          <w:bottom w:val="nil"/>
          <w:right w:val="nil"/>
          <w:between w:val="nil"/>
          <w:bar w:val="nil"/>
        </w:pBdr>
        <w:spacing w:after="0" w:line="240" w:lineRule="auto"/>
        <w:ind w:firstLine="709"/>
        <w:jc w:val="center"/>
        <w:rPr>
          <w:rFonts w:ascii="Times New Roman" w:eastAsia="Arial Unicode MS" w:hAnsi="Times New Roman"/>
          <w:szCs w:val="24"/>
          <w:bdr w:val="nil"/>
        </w:rPr>
      </w:pPr>
      <w:r w:rsidRPr="000E5487">
        <w:rPr>
          <w:rFonts w:ascii="Times New Roman" w:hAnsi="Times New Roman"/>
          <w:noProof/>
        </w:rPr>
        <w:drawing>
          <wp:inline distT="0" distB="0" distL="0" distR="0" wp14:anchorId="59A64761" wp14:editId="5B0D430E">
            <wp:extent cx="4275190" cy="289585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5190" cy="2895851"/>
                    </a:xfrm>
                    <a:prstGeom prst="rect">
                      <a:avLst/>
                    </a:prstGeom>
                  </pic:spPr>
                </pic:pic>
              </a:graphicData>
            </a:graphic>
          </wp:inline>
        </w:drawing>
      </w:r>
    </w:p>
    <w:p w:rsidR="00285D1B" w:rsidRPr="00EC257C" w:rsidRDefault="00677C93" w:rsidP="00EC257C">
      <w:pPr>
        <w:pBdr>
          <w:top w:val="nil"/>
          <w:left w:val="nil"/>
          <w:bottom w:val="nil"/>
          <w:right w:val="nil"/>
          <w:between w:val="nil"/>
          <w:bar w:val="nil"/>
        </w:pBdr>
        <w:spacing w:after="0" w:line="240" w:lineRule="auto"/>
        <w:jc w:val="center"/>
        <w:rPr>
          <w:rFonts w:ascii="Times New Roman" w:eastAsia="Arial Unicode MS" w:hAnsi="Times New Roman"/>
          <w:sz w:val="20"/>
          <w:szCs w:val="24"/>
          <w:bdr w:val="nil"/>
          <w:lang w:eastAsia="en-US"/>
        </w:rPr>
      </w:pPr>
      <w:r w:rsidRPr="00EC257C">
        <w:rPr>
          <w:rFonts w:ascii="Times New Roman" w:eastAsia="Arial Unicode MS" w:hAnsi="Times New Roman"/>
          <w:sz w:val="20"/>
          <w:szCs w:val="24"/>
          <w:bdr w:val="nil"/>
          <w:lang w:eastAsia="en-US"/>
        </w:rPr>
        <w:t>Figura 4</w:t>
      </w:r>
      <w:r w:rsidR="00285D1B" w:rsidRPr="00EC257C">
        <w:rPr>
          <w:rFonts w:ascii="Times New Roman" w:eastAsia="Arial Unicode MS" w:hAnsi="Times New Roman"/>
          <w:sz w:val="20"/>
          <w:szCs w:val="24"/>
          <w:bdr w:val="nil"/>
          <w:lang w:eastAsia="en-US"/>
        </w:rPr>
        <w:t xml:space="preserve"> – </w:t>
      </w:r>
      <w:r w:rsidR="00DF42F4" w:rsidRPr="00EC257C">
        <w:rPr>
          <w:rFonts w:ascii="Times New Roman" w:eastAsia="Arial Unicode MS" w:hAnsi="Times New Roman"/>
          <w:sz w:val="20"/>
          <w:szCs w:val="24"/>
          <w:bdr w:val="nil"/>
          <w:lang w:eastAsia="en-US"/>
        </w:rPr>
        <w:t>Co</w:t>
      </w:r>
      <w:r w:rsidR="00285D1B" w:rsidRPr="00EC257C">
        <w:rPr>
          <w:rFonts w:ascii="Times New Roman" w:eastAsia="Arial Unicode MS" w:hAnsi="Times New Roman"/>
          <w:sz w:val="20"/>
          <w:szCs w:val="24"/>
          <w:bdr w:val="nil"/>
          <w:lang w:eastAsia="en-US"/>
        </w:rPr>
        <w:t>eficiente beta</w:t>
      </w:r>
      <w:r w:rsidR="00DF42F4" w:rsidRPr="00EC257C">
        <w:rPr>
          <w:rFonts w:ascii="Times New Roman" w:eastAsia="Arial Unicode MS" w:hAnsi="Times New Roman"/>
          <w:sz w:val="20"/>
          <w:szCs w:val="24"/>
          <w:bdr w:val="nil"/>
          <w:lang w:eastAsia="en-US"/>
        </w:rPr>
        <w:t xml:space="preserve"> e </w:t>
      </w:r>
      <w:r w:rsidR="00285D1B" w:rsidRPr="00EC257C">
        <w:rPr>
          <w:rFonts w:ascii="Times New Roman" w:eastAsia="Arial Unicode MS" w:hAnsi="Times New Roman"/>
          <w:sz w:val="20"/>
          <w:szCs w:val="24"/>
          <w:bdr w:val="nil"/>
          <w:lang w:eastAsia="en-US"/>
        </w:rPr>
        <w:t xml:space="preserve">tempo de </w:t>
      </w:r>
      <w:r w:rsidR="00DF42F4" w:rsidRPr="00EC257C">
        <w:rPr>
          <w:rFonts w:ascii="Times New Roman" w:eastAsia="Arial Unicode MS" w:hAnsi="Times New Roman"/>
          <w:sz w:val="20"/>
          <w:szCs w:val="24"/>
          <w:bdr w:val="nil"/>
          <w:lang w:eastAsia="en-US"/>
        </w:rPr>
        <w:t xml:space="preserve">atuação profissional na </w:t>
      </w:r>
      <w:r w:rsidR="00285D1B" w:rsidRPr="00EC257C">
        <w:rPr>
          <w:rFonts w:ascii="Times New Roman" w:eastAsia="Arial Unicode MS" w:hAnsi="Times New Roman"/>
          <w:sz w:val="20"/>
          <w:szCs w:val="24"/>
          <w:bdr w:val="nil"/>
          <w:lang w:eastAsia="en-US"/>
        </w:rPr>
        <w:t>mensuração de ativos biológicos</w:t>
      </w:r>
    </w:p>
    <w:p w:rsidR="00184173" w:rsidRPr="000E5487" w:rsidRDefault="00184173" w:rsidP="00B747D7">
      <w:pPr>
        <w:pBdr>
          <w:top w:val="nil"/>
          <w:left w:val="nil"/>
          <w:bottom w:val="nil"/>
          <w:right w:val="nil"/>
          <w:between w:val="nil"/>
          <w:bar w:val="nil"/>
        </w:pBdr>
        <w:spacing w:after="0" w:line="240" w:lineRule="auto"/>
        <w:ind w:firstLine="709"/>
        <w:jc w:val="both"/>
        <w:rPr>
          <w:rFonts w:ascii="Times New Roman" w:eastAsia="Arial Unicode MS" w:hAnsi="Times New Roman"/>
          <w:szCs w:val="24"/>
          <w:bdr w:val="nil"/>
          <w:lang w:eastAsia="en-US"/>
        </w:rPr>
      </w:pPr>
    </w:p>
    <w:p w:rsidR="00285D1B" w:rsidRPr="000E5487" w:rsidRDefault="00285D1B"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Como apresentado na Figura </w:t>
      </w:r>
      <w:r w:rsidR="00677C93">
        <w:rPr>
          <w:rFonts w:ascii="Times New Roman" w:hAnsi="Times New Roman"/>
          <w:noProof/>
          <w:szCs w:val="24"/>
        </w:rPr>
        <w:t>4</w:t>
      </w:r>
      <w:r w:rsidRPr="000E5487">
        <w:rPr>
          <w:rFonts w:ascii="Times New Roman" w:hAnsi="Times New Roman"/>
          <w:noProof/>
          <w:szCs w:val="24"/>
        </w:rPr>
        <w:t>, nota-se que a desalavancagem d</w:t>
      </w:r>
      <w:r w:rsidR="00DF42F4" w:rsidRPr="000E5487">
        <w:rPr>
          <w:rFonts w:ascii="Times New Roman" w:hAnsi="Times New Roman"/>
          <w:noProof/>
          <w:szCs w:val="24"/>
        </w:rPr>
        <w:t xml:space="preserve">o </w:t>
      </w:r>
      <w:r w:rsidRPr="000E5487">
        <w:rPr>
          <w:rFonts w:ascii="Times New Roman" w:hAnsi="Times New Roman"/>
          <w:noProof/>
          <w:szCs w:val="24"/>
        </w:rPr>
        <w:t xml:space="preserve">beta de uma empresa comparável </w:t>
      </w:r>
      <w:r w:rsidR="00DF42F4" w:rsidRPr="000E5487">
        <w:rPr>
          <w:rFonts w:ascii="Times New Roman" w:hAnsi="Times New Roman"/>
          <w:noProof/>
          <w:szCs w:val="24"/>
        </w:rPr>
        <w:t xml:space="preserve">e a consequente alavancagem na empresa onde se mensura o ativo biológico com o objetivo de determinar seu risco sistemático, </w:t>
      </w:r>
      <w:r w:rsidRPr="000E5487">
        <w:rPr>
          <w:rFonts w:ascii="Times New Roman" w:hAnsi="Times New Roman"/>
          <w:noProof/>
          <w:szCs w:val="24"/>
        </w:rPr>
        <w:t xml:space="preserve">é a </w:t>
      </w:r>
      <w:r w:rsidR="00DF42F4" w:rsidRPr="000E5487">
        <w:rPr>
          <w:rFonts w:ascii="Times New Roman" w:hAnsi="Times New Roman"/>
          <w:noProof/>
          <w:szCs w:val="24"/>
        </w:rPr>
        <w:t xml:space="preserve">prática utilizada por 70% dos respondentes </w:t>
      </w:r>
      <w:r w:rsidRPr="000E5487">
        <w:rPr>
          <w:rFonts w:ascii="Times New Roman" w:hAnsi="Times New Roman"/>
          <w:noProof/>
          <w:szCs w:val="24"/>
        </w:rPr>
        <w:t>que possuem de 3 a 4 anos de experiência na mensuração de ativos biológicos</w:t>
      </w:r>
      <w:r w:rsidR="00DF42F4" w:rsidRPr="000E5487">
        <w:rPr>
          <w:rFonts w:ascii="Times New Roman" w:hAnsi="Times New Roman"/>
          <w:noProof/>
          <w:szCs w:val="24"/>
        </w:rPr>
        <w:t xml:space="preserve">. </w:t>
      </w:r>
      <w:r w:rsidRPr="000E5487">
        <w:rPr>
          <w:rFonts w:ascii="Times New Roman" w:hAnsi="Times New Roman"/>
          <w:noProof/>
          <w:szCs w:val="24"/>
        </w:rPr>
        <w:t xml:space="preserve">Por outro lado, </w:t>
      </w:r>
      <w:r w:rsidR="002A22E4" w:rsidRPr="000E5487">
        <w:rPr>
          <w:rFonts w:ascii="Times New Roman" w:hAnsi="Times New Roman"/>
          <w:noProof/>
          <w:szCs w:val="24"/>
        </w:rPr>
        <w:t xml:space="preserve">a </w:t>
      </w:r>
      <w:r w:rsidRPr="000E5487">
        <w:rPr>
          <w:rFonts w:ascii="Times New Roman" w:hAnsi="Times New Roman"/>
          <w:noProof/>
          <w:szCs w:val="24"/>
        </w:rPr>
        <w:t xml:space="preserve"> </w:t>
      </w:r>
      <w:r w:rsidR="002A22E4" w:rsidRPr="000E5487">
        <w:rPr>
          <w:rFonts w:ascii="Times New Roman" w:hAnsi="Times New Roman"/>
          <w:noProof/>
          <w:szCs w:val="24"/>
        </w:rPr>
        <w:t xml:space="preserve">identificação do </w:t>
      </w:r>
      <w:r w:rsidRPr="000E5487">
        <w:rPr>
          <w:rFonts w:ascii="Times New Roman" w:hAnsi="Times New Roman"/>
          <w:noProof/>
          <w:szCs w:val="24"/>
        </w:rPr>
        <w:t xml:space="preserve">coeficiente beta pela regressão dos </w:t>
      </w:r>
      <w:r w:rsidR="008E1ABE" w:rsidRPr="000E5487">
        <w:rPr>
          <w:rFonts w:ascii="Times New Roman" w:hAnsi="Times New Roman"/>
          <w:noProof/>
          <w:szCs w:val="24"/>
        </w:rPr>
        <w:t>r</w:t>
      </w:r>
      <w:r w:rsidRPr="000E5487">
        <w:rPr>
          <w:rFonts w:ascii="Times New Roman" w:hAnsi="Times New Roman"/>
          <w:noProof/>
          <w:szCs w:val="24"/>
        </w:rPr>
        <w:t>etornos da empresa em relação a uma carteira de</w:t>
      </w:r>
      <w:r w:rsidR="008E1ABE" w:rsidRPr="000E5487">
        <w:rPr>
          <w:rFonts w:ascii="Times New Roman" w:hAnsi="Times New Roman"/>
          <w:noProof/>
          <w:szCs w:val="24"/>
        </w:rPr>
        <w:t xml:space="preserve"> mercado</w:t>
      </w:r>
      <w:r w:rsidRPr="000E5487">
        <w:rPr>
          <w:rFonts w:ascii="Times New Roman" w:hAnsi="Times New Roman"/>
          <w:noProof/>
          <w:szCs w:val="24"/>
        </w:rPr>
        <w:t xml:space="preserve"> é o </w:t>
      </w:r>
      <w:r w:rsidR="00DF42F4" w:rsidRPr="000E5487">
        <w:rPr>
          <w:rFonts w:ascii="Times New Roman" w:hAnsi="Times New Roman"/>
          <w:noProof/>
          <w:szCs w:val="24"/>
        </w:rPr>
        <w:t xml:space="preserve">método de cálculo utilizado pela </w:t>
      </w:r>
      <w:r w:rsidRPr="000E5487">
        <w:rPr>
          <w:rFonts w:ascii="Times New Roman" w:hAnsi="Times New Roman"/>
          <w:noProof/>
          <w:szCs w:val="24"/>
        </w:rPr>
        <w:t>maior parte dos profissionais com até 2 anos e com mais de 5 anos de experiência.</w:t>
      </w:r>
    </w:p>
    <w:p w:rsidR="0040384C" w:rsidRDefault="0040384C"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A utilização do risco país na </w:t>
      </w:r>
      <w:r w:rsidR="009C354C" w:rsidRPr="000E5487">
        <w:rPr>
          <w:rFonts w:ascii="Times New Roman" w:hAnsi="Times New Roman"/>
          <w:noProof/>
          <w:szCs w:val="24"/>
        </w:rPr>
        <w:t xml:space="preserve">determinação </w:t>
      </w:r>
      <w:r w:rsidRPr="000E5487">
        <w:rPr>
          <w:rFonts w:ascii="Times New Roman" w:hAnsi="Times New Roman"/>
          <w:noProof/>
          <w:szCs w:val="24"/>
        </w:rPr>
        <w:t xml:space="preserve">da taxa de desconto </w:t>
      </w:r>
      <w:r w:rsidR="00425159" w:rsidRPr="000E5487">
        <w:rPr>
          <w:rFonts w:ascii="Times New Roman" w:hAnsi="Times New Roman"/>
          <w:noProof/>
          <w:szCs w:val="24"/>
        </w:rPr>
        <w:t xml:space="preserve">do fluxo de caixa </w:t>
      </w:r>
      <w:r w:rsidRPr="000E5487">
        <w:rPr>
          <w:rFonts w:ascii="Times New Roman" w:hAnsi="Times New Roman"/>
          <w:noProof/>
          <w:szCs w:val="24"/>
        </w:rPr>
        <w:t xml:space="preserve">está associada </w:t>
      </w:r>
      <w:r w:rsidR="00425159" w:rsidRPr="000E5487">
        <w:rPr>
          <w:rFonts w:ascii="Times New Roman" w:hAnsi="Times New Roman"/>
          <w:noProof/>
          <w:szCs w:val="24"/>
        </w:rPr>
        <w:t xml:space="preserve">à </w:t>
      </w:r>
      <w:r w:rsidRPr="000E5487">
        <w:rPr>
          <w:rFonts w:ascii="Times New Roman" w:hAnsi="Times New Roman"/>
          <w:noProof/>
          <w:szCs w:val="24"/>
        </w:rPr>
        <w:t xml:space="preserve">experiência na mensuração de ativos biológicos, conforme detalhado na Figura </w:t>
      </w:r>
      <w:r w:rsidR="00677C93">
        <w:rPr>
          <w:rFonts w:ascii="Times New Roman" w:hAnsi="Times New Roman"/>
          <w:noProof/>
          <w:szCs w:val="24"/>
        </w:rPr>
        <w:t>5</w:t>
      </w:r>
      <w:r w:rsidRPr="000E5487">
        <w:rPr>
          <w:rFonts w:ascii="Times New Roman" w:hAnsi="Times New Roman"/>
          <w:noProof/>
          <w:szCs w:val="24"/>
        </w:rPr>
        <w:t>.</w:t>
      </w:r>
    </w:p>
    <w:p w:rsidR="00A421FF" w:rsidRPr="000E5487" w:rsidRDefault="00A421FF" w:rsidP="00B747D7">
      <w:pPr>
        <w:spacing w:after="0" w:line="240" w:lineRule="auto"/>
        <w:ind w:firstLine="709"/>
        <w:jc w:val="both"/>
        <w:rPr>
          <w:rFonts w:ascii="Times New Roman" w:hAnsi="Times New Roman"/>
          <w:noProof/>
          <w:szCs w:val="24"/>
        </w:rPr>
      </w:pPr>
    </w:p>
    <w:p w:rsidR="00285D1B" w:rsidRPr="000E5487" w:rsidRDefault="000A1444" w:rsidP="00B747D7">
      <w:pPr>
        <w:pBdr>
          <w:top w:val="nil"/>
          <w:left w:val="nil"/>
          <w:bottom w:val="nil"/>
          <w:right w:val="nil"/>
          <w:between w:val="nil"/>
          <w:bar w:val="nil"/>
        </w:pBdr>
        <w:spacing w:after="0" w:line="240" w:lineRule="auto"/>
        <w:ind w:firstLine="709"/>
        <w:jc w:val="center"/>
        <w:rPr>
          <w:rFonts w:ascii="Times New Roman" w:eastAsia="Arial Unicode MS" w:hAnsi="Times New Roman"/>
          <w:szCs w:val="24"/>
          <w:bdr w:val="nil"/>
        </w:rPr>
      </w:pPr>
      <w:r w:rsidRPr="000E5487">
        <w:rPr>
          <w:rFonts w:ascii="Times New Roman" w:hAnsi="Times New Roman"/>
          <w:noProof/>
        </w:rPr>
        <w:drawing>
          <wp:inline distT="0" distB="0" distL="0" distR="0" wp14:anchorId="26D262BA" wp14:editId="70224FF6">
            <wp:extent cx="3627434" cy="2895851"/>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7434" cy="2895851"/>
                    </a:xfrm>
                    <a:prstGeom prst="rect">
                      <a:avLst/>
                    </a:prstGeom>
                  </pic:spPr>
                </pic:pic>
              </a:graphicData>
            </a:graphic>
          </wp:inline>
        </w:drawing>
      </w:r>
    </w:p>
    <w:p w:rsidR="00285D1B" w:rsidRPr="00A421FF" w:rsidRDefault="00285D1B" w:rsidP="00A421FF">
      <w:pPr>
        <w:pBdr>
          <w:top w:val="nil"/>
          <w:left w:val="nil"/>
          <w:bottom w:val="nil"/>
          <w:right w:val="nil"/>
          <w:between w:val="nil"/>
          <w:bar w:val="nil"/>
        </w:pBdr>
        <w:spacing w:after="0" w:line="240" w:lineRule="auto"/>
        <w:jc w:val="center"/>
        <w:rPr>
          <w:rFonts w:ascii="Times New Roman" w:eastAsia="Arial Unicode MS" w:hAnsi="Times New Roman"/>
          <w:sz w:val="20"/>
          <w:szCs w:val="24"/>
          <w:bdr w:val="nil"/>
          <w:lang w:eastAsia="en-US"/>
        </w:rPr>
      </w:pPr>
      <w:r w:rsidRPr="00A421FF">
        <w:rPr>
          <w:rFonts w:ascii="Times New Roman" w:eastAsia="Arial Unicode MS" w:hAnsi="Times New Roman"/>
          <w:sz w:val="20"/>
          <w:szCs w:val="24"/>
          <w:bdr w:val="nil"/>
          <w:lang w:eastAsia="en-US"/>
        </w:rPr>
        <w:t xml:space="preserve">Figura </w:t>
      </w:r>
      <w:r w:rsidR="00677C93" w:rsidRPr="00A421FF">
        <w:rPr>
          <w:rFonts w:ascii="Times New Roman" w:eastAsia="Arial Unicode MS" w:hAnsi="Times New Roman"/>
          <w:sz w:val="20"/>
          <w:szCs w:val="24"/>
          <w:bdr w:val="nil"/>
          <w:lang w:eastAsia="en-US"/>
        </w:rPr>
        <w:t>5</w:t>
      </w:r>
      <w:r w:rsidRPr="00A421FF">
        <w:rPr>
          <w:rFonts w:ascii="Times New Roman" w:eastAsia="Arial Unicode MS" w:hAnsi="Times New Roman"/>
          <w:sz w:val="20"/>
          <w:szCs w:val="24"/>
          <w:bdr w:val="nil"/>
          <w:lang w:eastAsia="en-US"/>
        </w:rPr>
        <w:t xml:space="preserve"> – </w:t>
      </w:r>
      <w:r w:rsidR="00425159" w:rsidRPr="00A421FF">
        <w:rPr>
          <w:rFonts w:ascii="Times New Roman" w:eastAsia="Arial Unicode MS" w:hAnsi="Times New Roman"/>
          <w:sz w:val="20"/>
          <w:szCs w:val="24"/>
          <w:bdr w:val="nil"/>
          <w:lang w:eastAsia="en-US"/>
        </w:rPr>
        <w:t>R</w:t>
      </w:r>
      <w:r w:rsidRPr="00A421FF">
        <w:rPr>
          <w:rFonts w:ascii="Times New Roman" w:eastAsia="Arial Unicode MS" w:hAnsi="Times New Roman"/>
          <w:sz w:val="20"/>
          <w:szCs w:val="24"/>
          <w:bdr w:val="nil"/>
          <w:lang w:eastAsia="en-US"/>
        </w:rPr>
        <w:t xml:space="preserve">isco país </w:t>
      </w:r>
      <w:r w:rsidR="00425159" w:rsidRPr="00A421FF">
        <w:rPr>
          <w:rFonts w:ascii="Times New Roman" w:eastAsia="Arial Unicode MS" w:hAnsi="Times New Roman"/>
          <w:sz w:val="20"/>
          <w:szCs w:val="24"/>
          <w:bdr w:val="nil"/>
          <w:lang w:eastAsia="en-US"/>
        </w:rPr>
        <w:t xml:space="preserve">e </w:t>
      </w:r>
      <w:r w:rsidRPr="00A421FF">
        <w:rPr>
          <w:rFonts w:ascii="Times New Roman" w:eastAsia="Arial Unicode MS" w:hAnsi="Times New Roman"/>
          <w:sz w:val="20"/>
          <w:szCs w:val="24"/>
          <w:bdr w:val="nil"/>
          <w:lang w:eastAsia="en-US"/>
        </w:rPr>
        <w:t xml:space="preserve">tempo de atuação </w:t>
      </w:r>
      <w:r w:rsidR="00425159" w:rsidRPr="00A421FF">
        <w:rPr>
          <w:rFonts w:ascii="Times New Roman" w:eastAsia="Arial Unicode MS" w:hAnsi="Times New Roman"/>
          <w:sz w:val="20"/>
          <w:szCs w:val="24"/>
          <w:bdr w:val="nil"/>
          <w:lang w:eastAsia="en-US"/>
        </w:rPr>
        <w:t xml:space="preserve">profissional na </w:t>
      </w:r>
      <w:r w:rsidRPr="00A421FF">
        <w:rPr>
          <w:rFonts w:ascii="Times New Roman" w:eastAsia="Arial Unicode MS" w:hAnsi="Times New Roman"/>
          <w:sz w:val="20"/>
          <w:szCs w:val="24"/>
          <w:bdr w:val="nil"/>
          <w:lang w:eastAsia="en-US"/>
        </w:rPr>
        <w:t>mensuração de ativos biológicos</w:t>
      </w:r>
    </w:p>
    <w:p w:rsidR="0028732D" w:rsidRPr="000E5487" w:rsidRDefault="0028732D" w:rsidP="00B747D7">
      <w:pPr>
        <w:spacing w:after="0" w:line="240" w:lineRule="auto"/>
        <w:ind w:firstLine="709"/>
        <w:jc w:val="both"/>
        <w:rPr>
          <w:rFonts w:ascii="Times New Roman" w:hAnsi="Times New Roman"/>
          <w:noProof/>
          <w:szCs w:val="24"/>
        </w:rPr>
      </w:pPr>
    </w:p>
    <w:p w:rsidR="00285D1B" w:rsidRPr="000E5487" w:rsidRDefault="00285D1B"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Pela Figura </w:t>
      </w:r>
      <w:r w:rsidR="00677C93">
        <w:rPr>
          <w:rFonts w:ascii="Times New Roman" w:hAnsi="Times New Roman"/>
          <w:noProof/>
          <w:szCs w:val="24"/>
        </w:rPr>
        <w:t>5</w:t>
      </w:r>
      <w:r w:rsidRPr="000E5487">
        <w:rPr>
          <w:rFonts w:ascii="Times New Roman" w:hAnsi="Times New Roman"/>
          <w:noProof/>
          <w:szCs w:val="24"/>
        </w:rPr>
        <w:t xml:space="preserve">, nota-se que todos os </w:t>
      </w:r>
      <w:r w:rsidR="008738AE" w:rsidRPr="000E5487">
        <w:rPr>
          <w:rFonts w:ascii="Times New Roman" w:hAnsi="Times New Roman"/>
          <w:noProof/>
          <w:szCs w:val="24"/>
        </w:rPr>
        <w:t xml:space="preserve">respondentes </w:t>
      </w:r>
      <w:r w:rsidRPr="000E5487">
        <w:rPr>
          <w:rFonts w:ascii="Times New Roman" w:hAnsi="Times New Roman"/>
          <w:noProof/>
          <w:szCs w:val="24"/>
        </w:rPr>
        <w:t xml:space="preserve">com até 2 anos </w:t>
      </w:r>
      <w:r w:rsidR="000E08D0" w:rsidRPr="000E5487">
        <w:rPr>
          <w:rFonts w:ascii="Times New Roman" w:hAnsi="Times New Roman"/>
          <w:noProof/>
          <w:szCs w:val="24"/>
        </w:rPr>
        <w:t xml:space="preserve">e </w:t>
      </w:r>
      <w:r w:rsidRPr="000E5487">
        <w:rPr>
          <w:rFonts w:ascii="Times New Roman" w:hAnsi="Times New Roman"/>
          <w:noProof/>
          <w:szCs w:val="24"/>
        </w:rPr>
        <w:t xml:space="preserve">mais de 7 anos de atuação </w:t>
      </w:r>
      <w:r w:rsidR="00AC419C" w:rsidRPr="000E5487">
        <w:rPr>
          <w:rFonts w:ascii="Times New Roman" w:hAnsi="Times New Roman"/>
          <w:noProof/>
          <w:szCs w:val="24"/>
        </w:rPr>
        <w:t xml:space="preserve">profissional </w:t>
      </w:r>
      <w:r w:rsidRPr="000E5487">
        <w:rPr>
          <w:rFonts w:ascii="Times New Roman" w:hAnsi="Times New Roman"/>
          <w:noProof/>
          <w:szCs w:val="24"/>
        </w:rPr>
        <w:t>na mensuração dos ativos biológicos</w:t>
      </w:r>
      <w:r w:rsidR="000E08D0" w:rsidRPr="000E5487">
        <w:rPr>
          <w:rFonts w:ascii="Times New Roman" w:hAnsi="Times New Roman"/>
          <w:noProof/>
          <w:szCs w:val="24"/>
        </w:rPr>
        <w:t>,</w:t>
      </w:r>
      <w:r w:rsidRPr="000E5487">
        <w:rPr>
          <w:rFonts w:ascii="Times New Roman" w:hAnsi="Times New Roman"/>
          <w:noProof/>
          <w:szCs w:val="24"/>
        </w:rPr>
        <w:t xml:space="preserve"> não consideram o risco país no cálculo</w:t>
      </w:r>
      <w:r w:rsidR="000E08D0" w:rsidRPr="000E5487">
        <w:rPr>
          <w:rFonts w:ascii="Times New Roman" w:hAnsi="Times New Roman"/>
          <w:noProof/>
          <w:szCs w:val="24"/>
        </w:rPr>
        <w:t xml:space="preserve"> da taxa de desconto que irá atualizar os fluxos de caixa, </w:t>
      </w:r>
      <w:r w:rsidR="008738AE" w:rsidRPr="000E5487">
        <w:rPr>
          <w:rFonts w:ascii="Times New Roman" w:hAnsi="Times New Roman"/>
          <w:noProof/>
          <w:szCs w:val="24"/>
        </w:rPr>
        <w:t xml:space="preserve">como também o mesmo ocorre com </w:t>
      </w:r>
      <w:r w:rsidR="000E08D0" w:rsidRPr="000E5487">
        <w:rPr>
          <w:rFonts w:ascii="Times New Roman" w:hAnsi="Times New Roman"/>
          <w:noProof/>
          <w:szCs w:val="24"/>
        </w:rPr>
        <w:t xml:space="preserve">aproximadamente </w:t>
      </w:r>
      <w:r w:rsidRPr="000E5487">
        <w:rPr>
          <w:rFonts w:ascii="Times New Roman" w:hAnsi="Times New Roman"/>
          <w:noProof/>
          <w:szCs w:val="24"/>
        </w:rPr>
        <w:t xml:space="preserve">90% dos </w:t>
      </w:r>
      <w:r w:rsidR="008738AE" w:rsidRPr="000E5487">
        <w:rPr>
          <w:rFonts w:ascii="Times New Roman" w:hAnsi="Times New Roman"/>
          <w:noProof/>
          <w:szCs w:val="24"/>
        </w:rPr>
        <w:t xml:space="preserve">respondentes </w:t>
      </w:r>
      <w:r w:rsidRPr="000E5487">
        <w:rPr>
          <w:rFonts w:ascii="Times New Roman" w:hAnsi="Times New Roman"/>
          <w:noProof/>
          <w:szCs w:val="24"/>
        </w:rPr>
        <w:t>que possuem entre 5 e 7 anos de experiência</w:t>
      </w:r>
      <w:r w:rsidR="008738AE" w:rsidRPr="000E5487">
        <w:rPr>
          <w:rFonts w:ascii="Times New Roman" w:hAnsi="Times New Roman"/>
          <w:noProof/>
          <w:szCs w:val="24"/>
        </w:rPr>
        <w:t xml:space="preserve"> na mensuração dos ativos biológico. O risco </w:t>
      </w:r>
      <w:r w:rsidRPr="000E5487">
        <w:rPr>
          <w:rFonts w:ascii="Times New Roman" w:hAnsi="Times New Roman"/>
          <w:noProof/>
          <w:szCs w:val="24"/>
        </w:rPr>
        <w:t>país é mais freq</w:t>
      </w:r>
      <w:r w:rsidR="008738AE" w:rsidRPr="000E5487">
        <w:rPr>
          <w:rFonts w:ascii="Times New Roman" w:hAnsi="Times New Roman"/>
          <w:noProof/>
          <w:szCs w:val="24"/>
        </w:rPr>
        <w:t>u</w:t>
      </w:r>
      <w:r w:rsidRPr="000E5487">
        <w:rPr>
          <w:rFonts w:ascii="Times New Roman" w:hAnsi="Times New Roman"/>
          <w:noProof/>
          <w:szCs w:val="24"/>
        </w:rPr>
        <w:t xml:space="preserve">entemente utilizado entre </w:t>
      </w:r>
      <w:r w:rsidR="008738AE" w:rsidRPr="000E5487">
        <w:rPr>
          <w:rFonts w:ascii="Times New Roman" w:hAnsi="Times New Roman"/>
          <w:noProof/>
          <w:szCs w:val="24"/>
        </w:rPr>
        <w:t xml:space="preserve">os respondentes que possuem entre </w:t>
      </w:r>
      <w:r w:rsidRPr="000E5487">
        <w:rPr>
          <w:rFonts w:ascii="Times New Roman" w:hAnsi="Times New Roman"/>
          <w:noProof/>
          <w:szCs w:val="24"/>
        </w:rPr>
        <w:t>3 a 4 anos de experiência</w:t>
      </w:r>
      <w:r w:rsidR="008738AE" w:rsidRPr="000E5487">
        <w:rPr>
          <w:rFonts w:ascii="Times New Roman" w:hAnsi="Times New Roman"/>
          <w:noProof/>
          <w:szCs w:val="24"/>
        </w:rPr>
        <w:t xml:space="preserve"> profissional.</w:t>
      </w:r>
    </w:p>
    <w:p w:rsidR="0040384C" w:rsidRPr="000E5487" w:rsidRDefault="0040384C" w:rsidP="00B747D7">
      <w:pPr>
        <w:spacing w:after="0" w:line="240" w:lineRule="auto"/>
        <w:ind w:firstLine="709"/>
        <w:jc w:val="both"/>
        <w:rPr>
          <w:rFonts w:ascii="Times New Roman" w:hAnsi="Times New Roman"/>
          <w:noProof/>
          <w:szCs w:val="24"/>
        </w:rPr>
      </w:pPr>
      <w:r w:rsidRPr="000E5487">
        <w:rPr>
          <w:rFonts w:ascii="Times New Roman" w:eastAsia="Arial Unicode MS" w:hAnsi="Times New Roman"/>
          <w:szCs w:val="24"/>
          <w:bdr w:val="nil"/>
          <w:lang w:eastAsia="en-US"/>
        </w:rPr>
        <w:t xml:space="preserve">A definição do horizonte de projeção dos fluxos de caixa também está associado ao tempo de atuação na mensuração de ativos biológicos dos profissionais contábeis responsáveis pela avaliação. O detalhamento dessa associação é apresentado na Figura </w:t>
      </w:r>
      <w:r w:rsidR="00677C93">
        <w:rPr>
          <w:rFonts w:ascii="Times New Roman" w:eastAsia="Arial Unicode MS" w:hAnsi="Times New Roman"/>
          <w:szCs w:val="24"/>
          <w:bdr w:val="nil"/>
          <w:lang w:eastAsia="en-US"/>
        </w:rPr>
        <w:t>6</w:t>
      </w:r>
      <w:r w:rsidRPr="000E5487">
        <w:rPr>
          <w:rFonts w:ascii="Times New Roman" w:eastAsia="Arial Unicode MS" w:hAnsi="Times New Roman"/>
          <w:szCs w:val="24"/>
          <w:bdr w:val="nil"/>
          <w:lang w:eastAsia="en-US"/>
        </w:rPr>
        <w:t>.</w:t>
      </w:r>
    </w:p>
    <w:p w:rsidR="00285D1B" w:rsidRPr="000E5487" w:rsidRDefault="000A1444" w:rsidP="00B747D7">
      <w:pPr>
        <w:pBdr>
          <w:top w:val="nil"/>
          <w:left w:val="nil"/>
          <w:bottom w:val="nil"/>
          <w:right w:val="nil"/>
          <w:between w:val="nil"/>
          <w:bar w:val="nil"/>
        </w:pBdr>
        <w:spacing w:after="0" w:line="240" w:lineRule="auto"/>
        <w:ind w:firstLine="709"/>
        <w:jc w:val="center"/>
        <w:rPr>
          <w:rFonts w:ascii="Times New Roman" w:eastAsia="Arial Unicode MS" w:hAnsi="Times New Roman"/>
          <w:szCs w:val="24"/>
          <w:bdr w:val="nil"/>
        </w:rPr>
      </w:pPr>
      <w:r w:rsidRPr="000E5487">
        <w:rPr>
          <w:rFonts w:ascii="Times New Roman" w:hAnsi="Times New Roman"/>
          <w:noProof/>
        </w:rPr>
        <w:drawing>
          <wp:inline distT="0" distB="0" distL="0" distR="0" wp14:anchorId="6F627AC3" wp14:editId="300C8859">
            <wp:extent cx="4107536" cy="2895851"/>
            <wp:effectExtent l="0" t="0" r="762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7536" cy="2895851"/>
                    </a:xfrm>
                    <a:prstGeom prst="rect">
                      <a:avLst/>
                    </a:prstGeom>
                  </pic:spPr>
                </pic:pic>
              </a:graphicData>
            </a:graphic>
          </wp:inline>
        </w:drawing>
      </w:r>
    </w:p>
    <w:p w:rsidR="00285D1B" w:rsidRPr="002317A4" w:rsidRDefault="00374AD9" w:rsidP="002317A4">
      <w:pPr>
        <w:pBdr>
          <w:top w:val="nil"/>
          <w:left w:val="nil"/>
          <w:bottom w:val="nil"/>
          <w:right w:val="nil"/>
          <w:between w:val="nil"/>
          <w:bar w:val="nil"/>
        </w:pBdr>
        <w:spacing w:after="0" w:line="240" w:lineRule="auto"/>
        <w:jc w:val="center"/>
        <w:rPr>
          <w:rFonts w:ascii="Times New Roman" w:eastAsia="Arial Unicode MS" w:hAnsi="Times New Roman"/>
          <w:sz w:val="20"/>
          <w:szCs w:val="24"/>
          <w:bdr w:val="nil"/>
          <w:lang w:eastAsia="en-US"/>
        </w:rPr>
      </w:pPr>
      <w:r w:rsidRPr="002317A4">
        <w:rPr>
          <w:rFonts w:ascii="Times New Roman" w:eastAsia="Arial Unicode MS" w:hAnsi="Times New Roman"/>
          <w:sz w:val="20"/>
          <w:szCs w:val="24"/>
          <w:bdr w:val="nil"/>
          <w:lang w:eastAsia="en-US"/>
        </w:rPr>
        <w:t xml:space="preserve">Figura </w:t>
      </w:r>
      <w:r w:rsidR="00677C93" w:rsidRPr="002317A4">
        <w:rPr>
          <w:rFonts w:ascii="Times New Roman" w:eastAsia="Arial Unicode MS" w:hAnsi="Times New Roman"/>
          <w:sz w:val="20"/>
          <w:szCs w:val="24"/>
          <w:bdr w:val="nil"/>
          <w:lang w:eastAsia="en-US"/>
        </w:rPr>
        <w:t>6</w:t>
      </w:r>
      <w:r w:rsidR="00285D1B" w:rsidRPr="002317A4">
        <w:rPr>
          <w:rFonts w:ascii="Times New Roman" w:eastAsia="Arial Unicode MS" w:hAnsi="Times New Roman"/>
          <w:sz w:val="20"/>
          <w:szCs w:val="24"/>
          <w:bdr w:val="nil"/>
          <w:lang w:eastAsia="en-US"/>
        </w:rPr>
        <w:t xml:space="preserve"> – </w:t>
      </w:r>
      <w:r w:rsidR="00327C17" w:rsidRPr="002317A4">
        <w:rPr>
          <w:rFonts w:ascii="Times New Roman" w:eastAsia="Arial Unicode MS" w:hAnsi="Times New Roman"/>
          <w:sz w:val="20"/>
          <w:szCs w:val="24"/>
          <w:bdr w:val="nil"/>
          <w:lang w:eastAsia="en-US"/>
        </w:rPr>
        <w:t>Ho</w:t>
      </w:r>
      <w:r w:rsidR="00285D1B" w:rsidRPr="002317A4">
        <w:rPr>
          <w:rFonts w:ascii="Times New Roman" w:eastAsia="Arial Unicode MS" w:hAnsi="Times New Roman"/>
          <w:sz w:val="20"/>
          <w:szCs w:val="24"/>
          <w:bdr w:val="nil"/>
          <w:lang w:eastAsia="en-US"/>
        </w:rPr>
        <w:t xml:space="preserve">rizonte de </w:t>
      </w:r>
      <w:r w:rsidR="00327C17" w:rsidRPr="002317A4">
        <w:rPr>
          <w:rFonts w:ascii="Times New Roman" w:eastAsia="Arial Unicode MS" w:hAnsi="Times New Roman"/>
          <w:sz w:val="20"/>
          <w:szCs w:val="24"/>
          <w:bdr w:val="nil"/>
          <w:lang w:eastAsia="en-US"/>
        </w:rPr>
        <w:t xml:space="preserve">projeção </w:t>
      </w:r>
      <w:r w:rsidR="00285D1B" w:rsidRPr="002317A4">
        <w:rPr>
          <w:rFonts w:ascii="Times New Roman" w:eastAsia="Arial Unicode MS" w:hAnsi="Times New Roman"/>
          <w:sz w:val="20"/>
          <w:szCs w:val="24"/>
          <w:bdr w:val="nil"/>
          <w:lang w:eastAsia="en-US"/>
        </w:rPr>
        <w:t>do fluxo de caixa</w:t>
      </w:r>
      <w:r w:rsidR="00327C17" w:rsidRPr="002317A4">
        <w:rPr>
          <w:rFonts w:ascii="Times New Roman" w:eastAsia="Arial Unicode MS" w:hAnsi="Times New Roman"/>
          <w:sz w:val="20"/>
          <w:szCs w:val="24"/>
          <w:bdr w:val="nil"/>
          <w:lang w:eastAsia="en-US"/>
        </w:rPr>
        <w:t xml:space="preserve"> e </w:t>
      </w:r>
      <w:r w:rsidR="00285D1B" w:rsidRPr="002317A4">
        <w:rPr>
          <w:rFonts w:ascii="Times New Roman" w:eastAsia="Arial Unicode MS" w:hAnsi="Times New Roman"/>
          <w:sz w:val="20"/>
          <w:szCs w:val="24"/>
          <w:bdr w:val="nil"/>
          <w:lang w:eastAsia="en-US"/>
        </w:rPr>
        <w:t xml:space="preserve">tempo de atuação </w:t>
      </w:r>
      <w:r w:rsidR="00327C17" w:rsidRPr="002317A4">
        <w:rPr>
          <w:rFonts w:ascii="Times New Roman" w:eastAsia="Arial Unicode MS" w:hAnsi="Times New Roman"/>
          <w:sz w:val="20"/>
          <w:szCs w:val="24"/>
          <w:bdr w:val="nil"/>
          <w:lang w:eastAsia="en-US"/>
        </w:rPr>
        <w:t xml:space="preserve">profissional </w:t>
      </w:r>
      <w:r w:rsidR="00285D1B" w:rsidRPr="002317A4">
        <w:rPr>
          <w:rFonts w:ascii="Times New Roman" w:eastAsia="Arial Unicode MS" w:hAnsi="Times New Roman"/>
          <w:sz w:val="20"/>
          <w:szCs w:val="24"/>
          <w:bdr w:val="nil"/>
          <w:lang w:eastAsia="en-US"/>
        </w:rPr>
        <w:t>na mensuração de ativos biológicos</w:t>
      </w:r>
    </w:p>
    <w:p w:rsidR="00C65B7B" w:rsidRPr="000E5487" w:rsidRDefault="00C65B7B" w:rsidP="00B747D7">
      <w:pPr>
        <w:pBdr>
          <w:top w:val="nil"/>
          <w:left w:val="nil"/>
          <w:bottom w:val="nil"/>
          <w:right w:val="nil"/>
          <w:between w:val="nil"/>
          <w:bar w:val="nil"/>
        </w:pBdr>
        <w:spacing w:after="0" w:line="240" w:lineRule="auto"/>
        <w:ind w:firstLine="709"/>
        <w:rPr>
          <w:rFonts w:ascii="Times New Roman" w:eastAsia="Arial Unicode MS" w:hAnsi="Times New Roman"/>
          <w:szCs w:val="24"/>
          <w:bdr w:val="nil"/>
          <w:lang w:eastAsia="en-US"/>
        </w:rPr>
      </w:pPr>
    </w:p>
    <w:p w:rsidR="00285D1B" w:rsidRPr="000E5487" w:rsidRDefault="00285D1B" w:rsidP="00B747D7">
      <w:pPr>
        <w:spacing w:after="0" w:line="240" w:lineRule="auto"/>
        <w:ind w:firstLine="709"/>
        <w:jc w:val="both"/>
        <w:rPr>
          <w:rFonts w:ascii="Times New Roman" w:hAnsi="Times New Roman"/>
          <w:noProof/>
          <w:szCs w:val="24"/>
        </w:rPr>
      </w:pPr>
      <w:r w:rsidRPr="000E5487">
        <w:rPr>
          <w:rFonts w:ascii="Times New Roman" w:hAnsi="Times New Roman"/>
          <w:noProof/>
          <w:szCs w:val="24"/>
        </w:rPr>
        <w:t xml:space="preserve">Em relação ao modo como é definido o horizonte de </w:t>
      </w:r>
      <w:r w:rsidR="00327C17" w:rsidRPr="000E5487">
        <w:rPr>
          <w:rFonts w:ascii="Times New Roman" w:hAnsi="Times New Roman"/>
          <w:noProof/>
          <w:szCs w:val="24"/>
        </w:rPr>
        <w:t xml:space="preserve">projeção </w:t>
      </w:r>
      <w:r w:rsidRPr="000E5487">
        <w:rPr>
          <w:rFonts w:ascii="Times New Roman" w:hAnsi="Times New Roman"/>
          <w:noProof/>
          <w:szCs w:val="24"/>
        </w:rPr>
        <w:t xml:space="preserve">fluxo de caixa, vê-se na Figura </w:t>
      </w:r>
      <w:r w:rsidR="00677C93">
        <w:rPr>
          <w:rFonts w:ascii="Times New Roman" w:hAnsi="Times New Roman"/>
          <w:noProof/>
          <w:szCs w:val="24"/>
        </w:rPr>
        <w:t>6</w:t>
      </w:r>
      <w:r w:rsidRPr="000E5487">
        <w:rPr>
          <w:rFonts w:ascii="Times New Roman" w:hAnsi="Times New Roman"/>
          <w:noProof/>
          <w:szCs w:val="24"/>
        </w:rPr>
        <w:t xml:space="preserve"> que apenas dois terços dos </w:t>
      </w:r>
      <w:r w:rsidR="00327C17" w:rsidRPr="000E5487">
        <w:rPr>
          <w:rFonts w:ascii="Times New Roman" w:hAnsi="Times New Roman"/>
          <w:noProof/>
          <w:szCs w:val="24"/>
        </w:rPr>
        <w:t>respondentes</w:t>
      </w:r>
      <w:r w:rsidR="00280AD9" w:rsidRPr="000E5487">
        <w:rPr>
          <w:rFonts w:ascii="Times New Roman" w:hAnsi="Times New Roman"/>
          <w:noProof/>
          <w:szCs w:val="24"/>
        </w:rPr>
        <w:t>,</w:t>
      </w:r>
      <w:r w:rsidR="00327C17" w:rsidRPr="000E5487">
        <w:rPr>
          <w:rFonts w:ascii="Times New Roman" w:hAnsi="Times New Roman"/>
          <w:noProof/>
          <w:szCs w:val="24"/>
        </w:rPr>
        <w:t xml:space="preserve"> </w:t>
      </w:r>
      <w:r w:rsidRPr="000E5487">
        <w:rPr>
          <w:rFonts w:ascii="Times New Roman" w:hAnsi="Times New Roman"/>
          <w:noProof/>
          <w:szCs w:val="24"/>
        </w:rPr>
        <w:t>com até dois anos de experiência na mensuração de ativos biológicos</w:t>
      </w:r>
      <w:r w:rsidR="00280AD9" w:rsidRPr="000E5487">
        <w:rPr>
          <w:rFonts w:ascii="Times New Roman" w:hAnsi="Times New Roman"/>
          <w:noProof/>
          <w:szCs w:val="24"/>
        </w:rPr>
        <w:t>,</w:t>
      </w:r>
      <w:r w:rsidRPr="000E5487">
        <w:rPr>
          <w:rFonts w:ascii="Times New Roman" w:hAnsi="Times New Roman"/>
          <w:noProof/>
          <w:szCs w:val="24"/>
        </w:rPr>
        <w:t xml:space="preserve"> utiliza o tempo para plantio, desenvolvimento e colheita estimado, enquando todos os </w:t>
      </w:r>
      <w:r w:rsidR="00327C17" w:rsidRPr="000E5487">
        <w:rPr>
          <w:rFonts w:ascii="Times New Roman" w:hAnsi="Times New Roman"/>
          <w:noProof/>
          <w:szCs w:val="24"/>
        </w:rPr>
        <w:t xml:space="preserve">respondentes </w:t>
      </w:r>
      <w:r w:rsidRPr="000E5487">
        <w:rPr>
          <w:rFonts w:ascii="Times New Roman" w:hAnsi="Times New Roman"/>
          <w:noProof/>
          <w:szCs w:val="24"/>
        </w:rPr>
        <w:t xml:space="preserve">com mais de </w:t>
      </w:r>
      <w:r w:rsidR="00280AD9" w:rsidRPr="000E5487">
        <w:rPr>
          <w:rFonts w:ascii="Times New Roman" w:hAnsi="Times New Roman"/>
          <w:noProof/>
          <w:szCs w:val="24"/>
        </w:rPr>
        <w:t xml:space="preserve">dois </w:t>
      </w:r>
      <w:r w:rsidRPr="000E5487">
        <w:rPr>
          <w:rFonts w:ascii="Times New Roman" w:hAnsi="Times New Roman"/>
          <w:noProof/>
          <w:szCs w:val="24"/>
        </w:rPr>
        <w:t>anos de experiência utiliza a média histórica do tempo de vida da planta.</w:t>
      </w:r>
    </w:p>
    <w:p w:rsidR="00A64F4A" w:rsidRDefault="00DE7B6A" w:rsidP="00B747D7">
      <w:pPr>
        <w:spacing w:after="0" w:line="240" w:lineRule="auto"/>
        <w:ind w:firstLine="709"/>
        <w:jc w:val="both"/>
        <w:rPr>
          <w:rFonts w:ascii="Times New Roman" w:hAnsi="Times New Roman"/>
          <w:noProof/>
          <w:szCs w:val="24"/>
        </w:rPr>
      </w:pPr>
      <w:r>
        <w:rPr>
          <w:rFonts w:ascii="Times New Roman" w:hAnsi="Times New Roman"/>
          <w:noProof/>
          <w:szCs w:val="24"/>
        </w:rPr>
        <w:t>Os</w:t>
      </w:r>
      <w:r w:rsidR="007609EB" w:rsidRPr="000E5487">
        <w:rPr>
          <w:rFonts w:ascii="Times New Roman" w:hAnsi="Times New Roman"/>
          <w:noProof/>
          <w:szCs w:val="24"/>
        </w:rPr>
        <w:t xml:space="preserve"> resultado</w:t>
      </w:r>
      <w:r>
        <w:rPr>
          <w:rFonts w:ascii="Times New Roman" w:hAnsi="Times New Roman"/>
          <w:noProof/>
          <w:szCs w:val="24"/>
        </w:rPr>
        <w:t>s aqui apresentados</w:t>
      </w:r>
      <w:r w:rsidR="007609EB" w:rsidRPr="000E5487">
        <w:rPr>
          <w:rFonts w:ascii="Times New Roman" w:hAnsi="Times New Roman"/>
          <w:noProof/>
          <w:szCs w:val="24"/>
        </w:rPr>
        <w:t xml:space="preserve"> demonstra</w:t>
      </w:r>
      <w:r>
        <w:rPr>
          <w:rFonts w:ascii="Times New Roman" w:hAnsi="Times New Roman"/>
          <w:noProof/>
          <w:szCs w:val="24"/>
        </w:rPr>
        <w:t>m</w:t>
      </w:r>
      <w:r w:rsidR="007609EB" w:rsidRPr="000E5487">
        <w:rPr>
          <w:rFonts w:ascii="Times New Roman" w:hAnsi="Times New Roman"/>
          <w:noProof/>
          <w:szCs w:val="24"/>
        </w:rPr>
        <w:t xml:space="preserve"> que a experiência do profissional contábil na mensuração de ativos biológicos </w:t>
      </w:r>
      <w:r w:rsidR="00FF1245" w:rsidRPr="000E5487">
        <w:rPr>
          <w:rFonts w:ascii="Times New Roman" w:hAnsi="Times New Roman"/>
          <w:noProof/>
          <w:szCs w:val="24"/>
        </w:rPr>
        <w:t>pode explicar</w:t>
      </w:r>
      <w:r w:rsidR="007609EB" w:rsidRPr="000E5487">
        <w:rPr>
          <w:rFonts w:ascii="Times New Roman" w:hAnsi="Times New Roman"/>
          <w:noProof/>
          <w:szCs w:val="24"/>
        </w:rPr>
        <w:t xml:space="preserve"> as suas escolhas contábeis, </w:t>
      </w:r>
      <w:r w:rsidR="00FF1245" w:rsidRPr="000E5487">
        <w:rPr>
          <w:rFonts w:ascii="Times New Roman" w:hAnsi="Times New Roman"/>
          <w:noProof/>
          <w:szCs w:val="24"/>
        </w:rPr>
        <w:t xml:space="preserve">ou seja, profissionais com mais experiência em aplicar </w:t>
      </w:r>
      <w:r w:rsidR="00FE2393">
        <w:rPr>
          <w:rFonts w:ascii="Times New Roman" w:hAnsi="Times New Roman"/>
          <w:noProof/>
          <w:szCs w:val="24"/>
        </w:rPr>
        <w:t>a IAS 41</w:t>
      </w:r>
      <w:r w:rsidR="00FF1245" w:rsidRPr="000E5487">
        <w:rPr>
          <w:rFonts w:ascii="Times New Roman" w:hAnsi="Times New Roman"/>
          <w:noProof/>
          <w:szCs w:val="24"/>
        </w:rPr>
        <w:t xml:space="preserve"> fazem escolhas diferentes, </w:t>
      </w:r>
      <w:r w:rsidR="007609EB" w:rsidRPr="000E5487">
        <w:rPr>
          <w:rFonts w:ascii="Times New Roman" w:hAnsi="Times New Roman"/>
          <w:noProof/>
          <w:szCs w:val="24"/>
        </w:rPr>
        <w:t>o que implica em diferenças no valor do ativo e</w:t>
      </w:r>
      <w:r w:rsidR="002C5864" w:rsidRPr="000E5487">
        <w:rPr>
          <w:rFonts w:ascii="Times New Roman" w:hAnsi="Times New Roman"/>
          <w:noProof/>
          <w:szCs w:val="24"/>
        </w:rPr>
        <w:t>,</w:t>
      </w:r>
      <w:r w:rsidR="007609EB" w:rsidRPr="000E5487">
        <w:rPr>
          <w:rFonts w:ascii="Times New Roman" w:hAnsi="Times New Roman"/>
          <w:noProof/>
          <w:szCs w:val="24"/>
        </w:rPr>
        <w:t xml:space="preserve"> consequentemente no patrimônio da entidade.</w:t>
      </w:r>
      <w:r w:rsidR="008E1ABE" w:rsidRPr="000E5487">
        <w:rPr>
          <w:rFonts w:ascii="Times New Roman" w:hAnsi="Times New Roman"/>
          <w:noProof/>
          <w:szCs w:val="24"/>
        </w:rPr>
        <w:t xml:space="preserve"> Um exemplo dessas escolhas é o uso do </w:t>
      </w:r>
      <w:r w:rsidR="004850BD">
        <w:rPr>
          <w:rFonts w:ascii="Times New Roman" w:hAnsi="Times New Roman"/>
          <w:noProof/>
          <w:szCs w:val="24"/>
        </w:rPr>
        <w:t>WACC</w:t>
      </w:r>
      <w:r w:rsidR="008E1ABE" w:rsidRPr="000E5487">
        <w:rPr>
          <w:rFonts w:ascii="Times New Roman" w:hAnsi="Times New Roman"/>
          <w:noProof/>
          <w:szCs w:val="24"/>
        </w:rPr>
        <w:t xml:space="preserve"> e da regressão dos retornos da empresa em relação a uma carteira de mercado</w:t>
      </w:r>
      <w:r w:rsidR="004A159D" w:rsidRPr="000E5487">
        <w:rPr>
          <w:rFonts w:ascii="Times New Roman" w:hAnsi="Times New Roman"/>
          <w:noProof/>
          <w:szCs w:val="24"/>
        </w:rPr>
        <w:t xml:space="preserve"> na determinação da taxa de desconto do fluxo de caixa projetado, </w:t>
      </w:r>
      <w:r w:rsidR="008E1ABE" w:rsidRPr="000E5487">
        <w:rPr>
          <w:rFonts w:ascii="Times New Roman" w:hAnsi="Times New Roman"/>
          <w:noProof/>
          <w:szCs w:val="24"/>
        </w:rPr>
        <w:t>pelos profissionais com mais de cinco anos de experiência</w:t>
      </w:r>
      <w:r w:rsidR="004A159D" w:rsidRPr="000E5487">
        <w:rPr>
          <w:rFonts w:ascii="Times New Roman" w:hAnsi="Times New Roman"/>
          <w:noProof/>
          <w:szCs w:val="24"/>
        </w:rPr>
        <w:t>.</w:t>
      </w:r>
    </w:p>
    <w:p w:rsidR="00D95D87" w:rsidRDefault="00FF2DB1" w:rsidP="00B747D7">
      <w:pPr>
        <w:spacing w:after="0" w:line="240" w:lineRule="auto"/>
        <w:ind w:firstLine="709"/>
        <w:jc w:val="both"/>
        <w:rPr>
          <w:rFonts w:ascii="Times New Roman" w:eastAsia="Calibri" w:hAnsi="Times New Roman"/>
          <w:color w:val="000000"/>
          <w:szCs w:val="24"/>
          <w:lang w:eastAsia="en-US"/>
        </w:rPr>
      </w:pPr>
      <w:r>
        <w:rPr>
          <w:rFonts w:ascii="Times New Roman" w:hAnsi="Times New Roman"/>
          <w:noProof/>
          <w:szCs w:val="24"/>
        </w:rPr>
        <w:t>Esses achados contribuem para o debate das escolhas contábeis, no sentido de que a avaliação de ativos biológicos está associada não só ao perfil corporativo das organizações</w:t>
      </w:r>
      <w:r w:rsidR="00600FCC">
        <w:rPr>
          <w:rFonts w:ascii="Times New Roman" w:hAnsi="Times New Roman"/>
          <w:noProof/>
          <w:szCs w:val="24"/>
        </w:rPr>
        <w:t>,</w:t>
      </w:r>
      <w:r>
        <w:rPr>
          <w:rFonts w:ascii="Times New Roman" w:hAnsi="Times New Roman"/>
          <w:noProof/>
          <w:szCs w:val="24"/>
        </w:rPr>
        <w:t xml:space="preserve"> mas também aos profissionais contábeis responsáveis por tomar decisões técnicas que influenciam no valor final do ativo avaliado. Essa associação corrobora e amplia a discussão levantada por </w:t>
      </w:r>
      <w:r w:rsidR="000645A6">
        <w:rPr>
          <w:rFonts w:ascii="Times New Roman" w:hAnsi="Times New Roman"/>
          <w:noProof/>
          <w:szCs w:val="24"/>
        </w:rPr>
        <w:fldChar w:fldCharType="begin" w:fldLock="1"/>
      </w:r>
      <w:r w:rsidR="000645A6">
        <w:rPr>
          <w:rFonts w:ascii="Times New Roman" w:hAnsi="Times New Roman"/>
          <w:noProof/>
          <w:szCs w:val="24"/>
        </w:rPr>
        <w:instrText>ADDIN CSL_CITATION {"citationItems":[{"id":"ITEM-1","itemData":{"DOI":"10.1080/09638180.2010.496547","ISBN":"0963-8180","ISSN":"09638180","abstract":"The IFRS mandatory adoption in European countries is an excellent\\ncontext from which to assess the validity of accounting choice theory,\\nwhich postulates that information asymmetry, contractual efficiency\\n(agency costs) and managerial opportunism reasons could drive the\\nchoice. With this aim, we test the impact of these factors to explain\\nthe adoption of fair value for investment properties (IAS 40) in the\\nreal estate industry, taking into account the `revaluation' option\\noffered by IFRS1 and using historical cost without revaluations as a\\nbaseline category for comparison purposes. We select a sample of\\nEuropean real estate companies from Finland, France, Germany, Greece,\\nItaly, Spain and Sweden, all first-time adopters of the IFRS. Using a\\nmultinomial logistic model, we show that information asymmetry,\\ncontractual efficiency and managerial opportunism could account for the\\nfair value choice. Particularly, the most significant findings are that\\nsize as a proxy of political costs reduces the likelihood of using fair\\nvalue while market-to-book ratio is negatively associated with the fair\\nvalue choice. On the other hand, leverage, another typical proxy of\\ncontracting costs, seems not to influence the choice. This evidence\\nconfirms the current validity of traditional accounting choice theory\\neven if it reveals, in such a context, the irrelevance of the usual\\nrelations between accounting choice and leverage.","author":[{"dropping-particle":"","family":"Quagli","given":"A.","non-dropping-particle":"","parse-names":false,"suffix":""},{"dropping-particle":"","family":"Avallone","given":"F.","non-dropping-particle":"","parse-names":false,"suffix":""}],"container-title":"European Accounting Review","id":"ITEM-1","issue":"3","issued":{"date-parts":[["2010"]]},"page":"461-493","title":"Fair value or cost model? Drivers of choice for IAS 40 in the real estate industry","type":"article-journal","volume":"19"},"uris":["http://www.mendeley.com/documents/?uuid=7c29e25a-5a43-45b6-91c2-d5a79b044963"]}],"mendeley":{"formattedCitation":"(QUAGLI; AVALLONE, 2010)","manualFormatting":"Quagli e Avallone (2010)","plainTextFormattedCitation":"(QUAGLI; AVALLONE, 2010)","previouslyFormattedCitation":"(QUAGLI; AVALLONE, 2010)"},"properties":{"noteIndex":0},"schema":"https://github.com/citation-style-language/schema/raw/master/csl-citation.json"}</w:instrText>
      </w:r>
      <w:r w:rsidR="000645A6">
        <w:rPr>
          <w:rFonts w:ascii="Times New Roman" w:hAnsi="Times New Roman"/>
          <w:noProof/>
          <w:szCs w:val="24"/>
        </w:rPr>
        <w:fldChar w:fldCharType="separate"/>
      </w:r>
      <w:r w:rsidR="000645A6" w:rsidRPr="000645A6">
        <w:rPr>
          <w:rFonts w:ascii="Times New Roman" w:hAnsi="Times New Roman"/>
          <w:noProof/>
          <w:szCs w:val="24"/>
        </w:rPr>
        <w:t>Q</w:t>
      </w:r>
      <w:r w:rsidR="000645A6">
        <w:rPr>
          <w:rFonts w:ascii="Times New Roman" w:hAnsi="Times New Roman"/>
          <w:noProof/>
          <w:szCs w:val="24"/>
        </w:rPr>
        <w:t>uagli e</w:t>
      </w:r>
      <w:r w:rsidR="000645A6" w:rsidRPr="000645A6">
        <w:rPr>
          <w:rFonts w:ascii="Times New Roman" w:hAnsi="Times New Roman"/>
          <w:noProof/>
          <w:szCs w:val="24"/>
        </w:rPr>
        <w:t xml:space="preserve"> Avallone </w:t>
      </w:r>
      <w:r w:rsidR="000645A6">
        <w:rPr>
          <w:rFonts w:ascii="Times New Roman" w:hAnsi="Times New Roman"/>
          <w:noProof/>
          <w:szCs w:val="24"/>
        </w:rPr>
        <w:t>(</w:t>
      </w:r>
      <w:r w:rsidR="000645A6" w:rsidRPr="000645A6">
        <w:rPr>
          <w:rFonts w:ascii="Times New Roman" w:hAnsi="Times New Roman"/>
          <w:noProof/>
          <w:szCs w:val="24"/>
        </w:rPr>
        <w:t>2010)</w:t>
      </w:r>
      <w:r w:rsidR="000645A6">
        <w:rPr>
          <w:rFonts w:ascii="Times New Roman" w:hAnsi="Times New Roman"/>
          <w:noProof/>
          <w:szCs w:val="24"/>
        </w:rPr>
        <w:fldChar w:fldCharType="end"/>
      </w:r>
      <w:r>
        <w:rPr>
          <w:rFonts w:ascii="Times New Roman" w:eastAsia="Calibri" w:hAnsi="Times New Roman"/>
          <w:color w:val="000000"/>
          <w:szCs w:val="24"/>
          <w:lang w:eastAsia="en-US"/>
        </w:rPr>
        <w:t xml:space="preserve"> no sentido de </w:t>
      </w:r>
      <w:r w:rsidRPr="000E5487">
        <w:rPr>
          <w:rFonts w:ascii="Times New Roman" w:eastAsia="Calibri" w:hAnsi="Times New Roman"/>
          <w:color w:val="000000"/>
          <w:szCs w:val="24"/>
          <w:lang w:eastAsia="en-US"/>
        </w:rPr>
        <w:t>que</w:t>
      </w:r>
      <w:r>
        <w:rPr>
          <w:rFonts w:ascii="Times New Roman" w:eastAsia="Calibri" w:hAnsi="Times New Roman"/>
          <w:color w:val="000000"/>
          <w:szCs w:val="24"/>
          <w:lang w:eastAsia="en-US"/>
        </w:rPr>
        <w:t>, não só</w:t>
      </w:r>
      <w:r w:rsidRPr="000E5487">
        <w:rPr>
          <w:rFonts w:ascii="Times New Roman" w:eastAsia="Calibri" w:hAnsi="Times New Roman"/>
          <w:color w:val="000000"/>
          <w:szCs w:val="24"/>
          <w:lang w:eastAsia="en-US"/>
        </w:rPr>
        <w:t xml:space="preserve"> o </w:t>
      </w:r>
      <w:r w:rsidRPr="000E5487">
        <w:rPr>
          <w:rFonts w:ascii="Times New Roman" w:eastAsia="Calibri" w:hAnsi="Times New Roman"/>
          <w:i/>
          <w:color w:val="000000"/>
          <w:szCs w:val="24"/>
          <w:lang w:eastAsia="en-US"/>
        </w:rPr>
        <w:t>background</w:t>
      </w:r>
      <w:r w:rsidRPr="000E5487">
        <w:rPr>
          <w:rFonts w:ascii="Times New Roman" w:eastAsia="Calibri" w:hAnsi="Times New Roman"/>
          <w:color w:val="000000"/>
          <w:szCs w:val="24"/>
          <w:lang w:eastAsia="en-US"/>
        </w:rPr>
        <w:t xml:space="preserve"> cultural individual dos </w:t>
      </w:r>
      <w:r>
        <w:rPr>
          <w:rFonts w:ascii="Times New Roman" w:eastAsia="Calibri" w:hAnsi="Times New Roman"/>
          <w:color w:val="000000"/>
          <w:szCs w:val="24"/>
          <w:lang w:eastAsia="en-US"/>
        </w:rPr>
        <w:t>profissionais</w:t>
      </w:r>
      <w:r w:rsidRPr="000E5487">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 xml:space="preserve">mas a experiência e o </w:t>
      </w:r>
      <w:r w:rsidRPr="00FF2DB1">
        <w:rPr>
          <w:rFonts w:ascii="Times New Roman" w:eastAsia="Calibri" w:hAnsi="Times New Roman"/>
          <w:i/>
          <w:color w:val="000000"/>
          <w:szCs w:val="24"/>
          <w:lang w:eastAsia="en-US"/>
        </w:rPr>
        <w:t>know-how</w:t>
      </w:r>
      <w:r>
        <w:rPr>
          <w:rFonts w:ascii="Times New Roman" w:eastAsia="Calibri" w:hAnsi="Times New Roman"/>
          <w:color w:val="000000"/>
          <w:szCs w:val="24"/>
          <w:lang w:eastAsia="en-US"/>
        </w:rPr>
        <w:t xml:space="preserve"> aliados</w:t>
      </w:r>
      <w:r w:rsidRPr="000E5487">
        <w:rPr>
          <w:rFonts w:ascii="Times New Roman" w:eastAsia="Calibri" w:hAnsi="Times New Roman"/>
          <w:color w:val="000000"/>
          <w:szCs w:val="24"/>
          <w:lang w:eastAsia="en-US"/>
        </w:rPr>
        <w:t xml:space="preserve"> a governança cor</w:t>
      </w:r>
      <w:r>
        <w:rPr>
          <w:rFonts w:ascii="Times New Roman" w:eastAsia="Calibri" w:hAnsi="Times New Roman"/>
          <w:color w:val="000000"/>
          <w:szCs w:val="24"/>
          <w:lang w:eastAsia="en-US"/>
        </w:rPr>
        <w:t>p</w:t>
      </w:r>
      <w:r w:rsidRPr="000E5487">
        <w:rPr>
          <w:rFonts w:ascii="Times New Roman" w:eastAsia="Calibri" w:hAnsi="Times New Roman"/>
          <w:color w:val="000000"/>
          <w:szCs w:val="24"/>
          <w:lang w:eastAsia="en-US"/>
        </w:rPr>
        <w:t>orativa</w:t>
      </w:r>
      <w:r>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podem explicar as escolhas contábeis.</w:t>
      </w:r>
      <w:r w:rsidR="00D95D87">
        <w:rPr>
          <w:rFonts w:ascii="Times New Roman" w:eastAsia="Calibri" w:hAnsi="Times New Roman"/>
          <w:color w:val="000000"/>
          <w:szCs w:val="24"/>
          <w:lang w:eastAsia="en-US"/>
        </w:rPr>
        <w:t xml:space="preserve"> </w:t>
      </w:r>
    </w:p>
    <w:p w:rsidR="00FF2DB1" w:rsidRPr="0055082C" w:rsidRDefault="00D95D87" w:rsidP="00B747D7">
      <w:pPr>
        <w:spacing w:after="0" w:line="240" w:lineRule="auto"/>
        <w:ind w:firstLine="709"/>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No contexto da aplicação da IAS 41 no agronegócio brasileiro, apresenta-se aqui uma contribuição ao estudo de </w:t>
      </w:r>
      <w:r w:rsidR="000645A6">
        <w:rPr>
          <w:rFonts w:ascii="Times New Roman" w:eastAsia="Calibri" w:hAnsi="Times New Roman"/>
          <w:color w:val="000000"/>
          <w:szCs w:val="24"/>
          <w:lang w:eastAsia="en-US"/>
        </w:rPr>
        <w:fldChar w:fldCharType="begin" w:fldLock="1"/>
      </w:r>
      <w:r w:rsidR="000645A6">
        <w:rPr>
          <w:rFonts w:ascii="Times New Roman" w:eastAsia="Calibri" w:hAnsi="Times New Roman"/>
          <w:color w:val="000000"/>
          <w:szCs w:val="24"/>
          <w:lang w:eastAsia="en-US"/>
        </w:rPr>
        <w:instrText>ADDIN CSL_CITATION {"citationItems":[{"id":"ITEM-1","itemData":{"DOI":"10.1016/j.cpa.2013.03.005","ISBN":"1045-2354","ISSN":"10959955","abstract":"We investigate the translation and application of global accounting standards in a local context, with Romania as our country case study. Our theoretical framework is derived from institutional theory. We develop this by complementing isomorphism (. DiMaggio and Powell, 1983) with an emphasis on the behavior of actors and with the different strategic responses that organizations enact as a result of the institutional pressures toward conformity, following Oliver (1991). We contend that local actors play a more important role in triggering organizational responses than is implied by Oliver's (1991) framework in the application of International Financial Reporting Standards (IFRS). This is because organizational responses to these global standards are conditioned by the interplay between actors, who are searching for legitimacy and the attainment of their own (mutually conflicting) interests.Contrary to earlier institutional propositions, we find that acquiescence strategies may occur even when there is a great degree of constituent multiplicity, and that avoidance may occur in entities with a smaller degree of multiplicity. We thus argue that countries are not homogeneous in terms of accounting practices. Finally we suggest that intra-organizational interests and actions are important for IFRS implementation, and future research should investigate this in depth.","author":[{"dropping-particle":"","family":"Albu","given":"Cătălin Nicolae","non-dropping-particle":"","parse-names":false,"suffix":""},{"dropping-particle":"","family":"Albu","given":"Nadia","non-dropping-particle":"","parse-names":false,"suffix":""},{"dropping-particle":"","family":"Alexander","given":"David","non-dropping-particle":"","parse-names":false,"suffix":""}],"container-title":"Critical Perspectives on Accounting","id":"ITEM-1","issue":"6","issued":{"date-parts":[["2014"]]},"page":"489-510","title":"When global accounting standards meet the local context-Insights from an emerging economy","type":"article-journal","volume":"25"},"uris":["http://www.mendeley.com/documents/?uuid=18f3c0cf-2c31-4694-bd9e-280d5b75d5a0"]}],"mendeley":{"formattedCitation":"(ALBU; ALBU; ALEXANDER, 2014)","manualFormatting":"Albu, Albu e Alexander (2014)","plainTextFormattedCitation":"(ALBU; ALBU; ALEXANDER, 2014)","previouslyFormattedCitation":"(ALBU; ALBU; ALEXANDER, 2014)"},"properties":{"noteIndex":0},"schema":"https://github.com/citation-style-language/schema/raw/master/csl-citation.json"}</w:instrText>
      </w:r>
      <w:r w:rsidR="000645A6">
        <w:rPr>
          <w:rFonts w:ascii="Times New Roman" w:eastAsia="Calibri" w:hAnsi="Times New Roman"/>
          <w:color w:val="000000"/>
          <w:szCs w:val="24"/>
          <w:lang w:eastAsia="en-US"/>
        </w:rPr>
        <w:fldChar w:fldCharType="separate"/>
      </w:r>
      <w:r w:rsidR="000645A6" w:rsidRPr="000645A6">
        <w:rPr>
          <w:rFonts w:ascii="Times New Roman" w:eastAsia="Calibri" w:hAnsi="Times New Roman"/>
          <w:noProof/>
          <w:color w:val="000000"/>
          <w:szCs w:val="24"/>
          <w:lang w:eastAsia="en-US"/>
        </w:rPr>
        <w:t>Albu</w:t>
      </w:r>
      <w:r w:rsidR="000645A6">
        <w:rPr>
          <w:rFonts w:ascii="Times New Roman" w:eastAsia="Calibri" w:hAnsi="Times New Roman"/>
          <w:noProof/>
          <w:color w:val="000000"/>
          <w:szCs w:val="24"/>
          <w:lang w:eastAsia="en-US"/>
        </w:rPr>
        <w:t>,</w:t>
      </w:r>
      <w:r w:rsidR="000645A6" w:rsidRPr="000645A6">
        <w:rPr>
          <w:rFonts w:ascii="Times New Roman" w:eastAsia="Calibri" w:hAnsi="Times New Roman"/>
          <w:noProof/>
          <w:color w:val="000000"/>
          <w:szCs w:val="24"/>
          <w:lang w:eastAsia="en-US"/>
        </w:rPr>
        <w:t xml:space="preserve"> Alb</w:t>
      </w:r>
      <w:r w:rsidR="000645A6">
        <w:rPr>
          <w:rFonts w:ascii="Times New Roman" w:eastAsia="Calibri" w:hAnsi="Times New Roman"/>
          <w:noProof/>
          <w:color w:val="000000"/>
          <w:szCs w:val="24"/>
          <w:lang w:eastAsia="en-US"/>
        </w:rPr>
        <w:t>u e Alexander</w:t>
      </w:r>
      <w:r w:rsidR="000645A6" w:rsidRPr="000645A6">
        <w:rPr>
          <w:rFonts w:ascii="Times New Roman" w:eastAsia="Calibri" w:hAnsi="Times New Roman"/>
          <w:noProof/>
          <w:color w:val="000000"/>
          <w:szCs w:val="24"/>
          <w:lang w:eastAsia="en-US"/>
        </w:rPr>
        <w:t xml:space="preserve"> </w:t>
      </w:r>
      <w:r w:rsidR="000645A6">
        <w:rPr>
          <w:rFonts w:ascii="Times New Roman" w:eastAsia="Calibri" w:hAnsi="Times New Roman"/>
          <w:noProof/>
          <w:color w:val="000000"/>
          <w:szCs w:val="24"/>
          <w:lang w:eastAsia="en-US"/>
        </w:rPr>
        <w:t>(</w:t>
      </w:r>
      <w:r w:rsidR="000645A6" w:rsidRPr="000645A6">
        <w:rPr>
          <w:rFonts w:ascii="Times New Roman" w:eastAsia="Calibri" w:hAnsi="Times New Roman"/>
          <w:noProof/>
          <w:color w:val="000000"/>
          <w:szCs w:val="24"/>
          <w:lang w:eastAsia="en-US"/>
        </w:rPr>
        <w:t>2014)</w:t>
      </w:r>
      <w:r w:rsidR="000645A6">
        <w:rPr>
          <w:rFonts w:ascii="Times New Roman" w:eastAsia="Calibri" w:hAnsi="Times New Roman"/>
          <w:color w:val="000000"/>
          <w:szCs w:val="24"/>
          <w:lang w:eastAsia="en-US"/>
        </w:rPr>
        <w:fldChar w:fldCharType="end"/>
      </w:r>
      <w:r>
        <w:rPr>
          <w:rFonts w:ascii="Times New Roman" w:eastAsia="Calibri" w:hAnsi="Times New Roman"/>
          <w:color w:val="000000"/>
          <w:szCs w:val="24"/>
          <w:lang w:eastAsia="en-US"/>
        </w:rPr>
        <w:t>, por verifica</w:t>
      </w:r>
      <w:r w:rsidR="0045504F">
        <w:rPr>
          <w:rFonts w:ascii="Times New Roman" w:eastAsia="Calibri" w:hAnsi="Times New Roman"/>
          <w:color w:val="000000"/>
          <w:szCs w:val="24"/>
          <w:lang w:eastAsia="en-US"/>
        </w:rPr>
        <w:t>r</w:t>
      </w:r>
      <w:r>
        <w:rPr>
          <w:rFonts w:ascii="Times New Roman" w:eastAsia="Calibri" w:hAnsi="Times New Roman"/>
          <w:color w:val="000000"/>
          <w:szCs w:val="24"/>
          <w:lang w:eastAsia="en-US"/>
        </w:rPr>
        <w:t>-se que</w:t>
      </w:r>
      <w:r w:rsidR="0045504F">
        <w:rPr>
          <w:rFonts w:ascii="Times New Roman" w:eastAsia="Calibri" w:hAnsi="Times New Roman"/>
          <w:color w:val="000000"/>
          <w:szCs w:val="24"/>
          <w:lang w:eastAsia="en-US"/>
        </w:rPr>
        <w:t>,</w:t>
      </w:r>
      <w:r>
        <w:rPr>
          <w:rFonts w:ascii="Times New Roman" w:eastAsia="Calibri" w:hAnsi="Times New Roman"/>
          <w:color w:val="000000"/>
          <w:szCs w:val="24"/>
          <w:lang w:eastAsia="en-US"/>
        </w:rPr>
        <w:t xml:space="preserve"> </w:t>
      </w:r>
      <w:r w:rsidR="00FF2DB1" w:rsidRPr="000E5487">
        <w:rPr>
          <w:rFonts w:ascii="Times New Roman" w:eastAsia="Calibri" w:hAnsi="Times New Roman"/>
          <w:color w:val="000000"/>
          <w:szCs w:val="24"/>
          <w:lang w:eastAsia="en-US"/>
        </w:rPr>
        <w:t>a imp</w:t>
      </w:r>
      <w:r w:rsidR="0045504F">
        <w:rPr>
          <w:rFonts w:ascii="Times New Roman" w:eastAsia="Calibri" w:hAnsi="Times New Roman"/>
          <w:color w:val="000000"/>
          <w:szCs w:val="24"/>
          <w:lang w:eastAsia="en-US"/>
        </w:rPr>
        <w:t>lementação e aplicação das IFRS</w:t>
      </w:r>
      <w:r w:rsidR="00FF2DB1" w:rsidRPr="000E5487">
        <w:rPr>
          <w:rFonts w:ascii="Times New Roman" w:eastAsia="Calibri" w:hAnsi="Times New Roman"/>
          <w:color w:val="000000"/>
          <w:szCs w:val="24"/>
          <w:lang w:eastAsia="en-US"/>
        </w:rPr>
        <w:t xml:space="preserve"> </w:t>
      </w:r>
      <w:r>
        <w:rPr>
          <w:rFonts w:ascii="Times New Roman" w:eastAsia="Calibri" w:hAnsi="Times New Roman"/>
          <w:color w:val="000000"/>
          <w:szCs w:val="24"/>
          <w:lang w:eastAsia="en-US"/>
        </w:rPr>
        <w:t>estão atreladas a</w:t>
      </w:r>
      <w:r w:rsidR="00661F71">
        <w:rPr>
          <w:rFonts w:ascii="Times New Roman" w:eastAsia="Calibri" w:hAnsi="Times New Roman"/>
          <w:color w:val="000000"/>
          <w:szCs w:val="24"/>
          <w:lang w:eastAsia="en-US"/>
        </w:rPr>
        <w:t>o perfil do profissional que faz as escolhas contábeis, reforçando que  aplicação das normas estão ligadas aos</w:t>
      </w:r>
      <w:r>
        <w:rPr>
          <w:rFonts w:ascii="Times New Roman" w:eastAsia="Calibri" w:hAnsi="Times New Roman"/>
          <w:color w:val="000000"/>
          <w:szCs w:val="24"/>
          <w:lang w:eastAsia="en-US"/>
        </w:rPr>
        <w:t xml:space="preserve"> aspectos</w:t>
      </w:r>
      <w:r w:rsidR="00FF2DB1" w:rsidRPr="000E5487">
        <w:rPr>
          <w:rFonts w:ascii="Times New Roman" w:eastAsia="Calibri" w:hAnsi="Times New Roman"/>
          <w:color w:val="000000"/>
          <w:szCs w:val="24"/>
          <w:lang w:eastAsia="en-US"/>
        </w:rPr>
        <w:t xml:space="preserve"> sociais, subjetiv</w:t>
      </w:r>
      <w:r>
        <w:rPr>
          <w:rFonts w:ascii="Times New Roman" w:eastAsia="Calibri" w:hAnsi="Times New Roman"/>
          <w:color w:val="000000"/>
          <w:szCs w:val="24"/>
          <w:lang w:eastAsia="en-US"/>
        </w:rPr>
        <w:t>o</w:t>
      </w:r>
      <w:r w:rsidR="00FF2DB1" w:rsidRPr="000E5487">
        <w:rPr>
          <w:rFonts w:ascii="Times New Roman" w:eastAsia="Calibri" w:hAnsi="Times New Roman"/>
          <w:color w:val="000000"/>
          <w:szCs w:val="24"/>
          <w:lang w:eastAsia="en-US"/>
        </w:rPr>
        <w:t>s e</w:t>
      </w:r>
      <w:r>
        <w:rPr>
          <w:rFonts w:ascii="Times New Roman" w:eastAsia="Calibri" w:hAnsi="Times New Roman"/>
          <w:color w:val="000000"/>
          <w:szCs w:val="24"/>
          <w:lang w:eastAsia="en-US"/>
        </w:rPr>
        <w:t xml:space="preserve"> principalmente</w:t>
      </w:r>
      <w:r w:rsidR="00FF2DB1" w:rsidRPr="000E5487">
        <w:rPr>
          <w:rFonts w:ascii="Times New Roman" w:eastAsia="Calibri" w:hAnsi="Times New Roman"/>
          <w:color w:val="000000"/>
          <w:szCs w:val="24"/>
          <w:lang w:eastAsia="en-US"/>
        </w:rPr>
        <w:t xml:space="preserve"> sobre pessoas.</w:t>
      </w:r>
      <w:r>
        <w:rPr>
          <w:rFonts w:ascii="Times New Roman" w:eastAsia="Calibri" w:hAnsi="Times New Roman"/>
          <w:color w:val="000000"/>
          <w:szCs w:val="24"/>
          <w:lang w:eastAsia="en-US"/>
        </w:rPr>
        <w:t xml:space="preserve"> </w:t>
      </w:r>
      <w:r w:rsidR="00DE7B6A">
        <w:rPr>
          <w:rFonts w:ascii="Times New Roman" w:eastAsia="Calibri" w:hAnsi="Times New Roman"/>
          <w:color w:val="000000"/>
          <w:szCs w:val="24"/>
          <w:lang w:eastAsia="en-US"/>
        </w:rPr>
        <w:t>Esses achado</w:t>
      </w:r>
      <w:r w:rsidR="00A10AD4">
        <w:rPr>
          <w:rFonts w:ascii="Times New Roman" w:eastAsia="Calibri" w:hAnsi="Times New Roman"/>
          <w:color w:val="000000"/>
          <w:szCs w:val="24"/>
          <w:lang w:eastAsia="en-US"/>
        </w:rPr>
        <w:t xml:space="preserve"> apoiam o estudo de </w:t>
      </w:r>
      <w:r w:rsidR="00FF2DB1" w:rsidRPr="000E5487">
        <w:rPr>
          <w:rFonts w:ascii="Times New Roman" w:eastAsia="Calibri" w:hAnsi="Times New Roman"/>
          <w:color w:val="000000"/>
          <w:szCs w:val="24"/>
          <w:lang w:eastAsia="en-US"/>
        </w:rPr>
        <w:fldChar w:fldCharType="begin" w:fldLock="1"/>
      </w:r>
      <w:r w:rsidR="000645A6">
        <w:rPr>
          <w:rFonts w:ascii="Times New Roman" w:eastAsia="Calibri" w:hAnsi="Times New Roman"/>
          <w:color w:val="000000"/>
          <w:szCs w:val="24"/>
          <w:lang w:eastAsia="en-US"/>
        </w:rPr>
        <w:instrText>ADDIN CSL_CITATION {"citationItems":[{"id":"ITEM-1","itemData":{"DOI":"10.1016/j.intaccaudtax.2004.09.002","ISBN":"10619518","ISSN":"10619518","abstract":"The International Accounting Standards Board (IASB) acquired greater legitimacy and stature when the European Union (EU) decided to require all listed companies to prepare consolidated accounts based on International Financial Reporting Standards (IFRS) beginning in 2005. This study examines the progress and perceived impediments to convergence in 17 European countries directly affected by the EU's decision. These include: (1) the 10 new EU member countries, (2) EU candidate countries, (3) European Economic Area (EEA) countries, and (4) Switzerland. We utilize data collected by the six largest international accounting firms during their 2002 convergence survey. Additionally, we analyze subsequent events and studies. While all surveyed countries will either require or effectively allow listed companies to prepare consolidated financial statements in accordance with IFRS by 2005, few are expected to require IFRS for non-listed companies. This suggests the development of a \"two-standard\" system. The two most significant impediments to convergence identified by the survey appear to be the complicated nature of particular IFRS (including financial instruments) and the tax-orientation of many national accounting systems. Other barriers to convergence include underdeveloped national capital markets, insufficient guidance on first-time application of IFRS, and limited experience with certain types of transactions (e.g. pensions). © 2004 Elsevier Inc. All rights reserved.","author":[{"dropping-particle":"","family":"Larson","given":"Robert K.","non-dropping-particle":"","parse-names":false,"suffix":""},{"dropping-particle":"","family":"Street","given":"Donna L.","non-dropping-particle":"","parse-names":false,"suffix":""}],"container-title":"Journal of International Accounting, Auditing and Taxation","id":"ITEM-1","issue":"2","issued":{"date-parts":[["2004"]]},"page":"89-119","title":"Convergence with IFRS in an expanding Europe: Progress and obstacles identified by large accounting firms' survey","type":"article-journal","volume":"13"},"uris":["http://www.mendeley.com/documents/?uuid=dff3d5a5-4723-4db0-ac3a-188a7d63882a"]}],"mendeley":{"formattedCitation":"(LARSON; STREET, 2004)","manualFormatting":"Larson e Street (2004)","plainTextFormattedCitation":"(LARSON; STREET, 2004)","previouslyFormattedCitation":"(LARSON; STREET, 2004)"},"properties":{"noteIndex":0},"schema":"https://github.com/citation-style-language/schema/raw/master/csl-citation.json"}</w:instrText>
      </w:r>
      <w:r w:rsidR="00FF2DB1" w:rsidRPr="000E5487">
        <w:rPr>
          <w:rFonts w:ascii="Times New Roman" w:eastAsia="Calibri" w:hAnsi="Times New Roman"/>
          <w:color w:val="000000"/>
          <w:szCs w:val="24"/>
          <w:lang w:eastAsia="en-US"/>
        </w:rPr>
        <w:fldChar w:fldCharType="separate"/>
      </w:r>
      <w:r w:rsidR="000645A6" w:rsidRPr="000645A6">
        <w:rPr>
          <w:rFonts w:ascii="Times New Roman" w:eastAsia="Calibri" w:hAnsi="Times New Roman"/>
          <w:noProof/>
          <w:color w:val="000000"/>
          <w:szCs w:val="24"/>
          <w:lang w:eastAsia="en-US"/>
        </w:rPr>
        <w:t>Larson</w:t>
      </w:r>
      <w:r w:rsidR="000645A6">
        <w:rPr>
          <w:rFonts w:ascii="Times New Roman" w:eastAsia="Calibri" w:hAnsi="Times New Roman"/>
          <w:noProof/>
          <w:color w:val="000000"/>
          <w:szCs w:val="24"/>
          <w:lang w:eastAsia="en-US"/>
        </w:rPr>
        <w:t xml:space="preserve"> e</w:t>
      </w:r>
      <w:r w:rsidR="000645A6" w:rsidRPr="000645A6">
        <w:rPr>
          <w:rFonts w:ascii="Times New Roman" w:eastAsia="Calibri" w:hAnsi="Times New Roman"/>
          <w:noProof/>
          <w:color w:val="000000"/>
          <w:szCs w:val="24"/>
          <w:lang w:eastAsia="en-US"/>
        </w:rPr>
        <w:t xml:space="preserve"> Street </w:t>
      </w:r>
      <w:r w:rsidR="000645A6">
        <w:rPr>
          <w:rFonts w:ascii="Times New Roman" w:eastAsia="Calibri" w:hAnsi="Times New Roman"/>
          <w:noProof/>
          <w:color w:val="000000"/>
          <w:szCs w:val="24"/>
          <w:lang w:eastAsia="en-US"/>
        </w:rPr>
        <w:t>(</w:t>
      </w:r>
      <w:r w:rsidR="000645A6" w:rsidRPr="000645A6">
        <w:rPr>
          <w:rFonts w:ascii="Times New Roman" w:eastAsia="Calibri" w:hAnsi="Times New Roman"/>
          <w:noProof/>
          <w:color w:val="000000"/>
          <w:szCs w:val="24"/>
          <w:lang w:eastAsia="en-US"/>
        </w:rPr>
        <w:t>2004)</w:t>
      </w:r>
      <w:r w:rsidR="00FF2DB1" w:rsidRPr="000E5487">
        <w:rPr>
          <w:rFonts w:ascii="Times New Roman" w:eastAsia="Calibri" w:hAnsi="Times New Roman"/>
          <w:color w:val="000000"/>
          <w:szCs w:val="24"/>
          <w:lang w:eastAsia="en-US"/>
        </w:rPr>
        <w:fldChar w:fldCharType="end"/>
      </w:r>
      <w:r w:rsidR="00A10AD4">
        <w:rPr>
          <w:rFonts w:ascii="Times New Roman" w:eastAsia="Calibri" w:hAnsi="Times New Roman"/>
          <w:color w:val="000000"/>
          <w:szCs w:val="24"/>
          <w:lang w:eastAsia="en-US"/>
        </w:rPr>
        <w:t xml:space="preserve"> no que diz respeito ao</w:t>
      </w:r>
      <w:r w:rsidR="00A10AD4" w:rsidRPr="00A10AD4">
        <w:rPr>
          <w:rFonts w:ascii="Times New Roman" w:eastAsia="Calibri" w:hAnsi="Times New Roman"/>
          <w:color w:val="000000"/>
          <w:szCs w:val="24"/>
          <w:lang w:eastAsia="en-US"/>
        </w:rPr>
        <w:t xml:space="preserve"> impacto dos atores sociais na implementação de normas e políticas contábeis, </w:t>
      </w:r>
      <w:r w:rsidR="00A10AD4">
        <w:rPr>
          <w:rFonts w:ascii="Times New Roman" w:eastAsia="Calibri" w:hAnsi="Times New Roman"/>
          <w:color w:val="000000"/>
          <w:szCs w:val="24"/>
          <w:lang w:eastAsia="en-US"/>
        </w:rPr>
        <w:t xml:space="preserve">podendo a experiência profissional na mensuração de ativos biológicos, ser </w:t>
      </w:r>
      <w:r w:rsidR="00A10AD4" w:rsidRPr="00A10AD4">
        <w:rPr>
          <w:rFonts w:ascii="Times New Roman" w:eastAsia="Calibri" w:hAnsi="Times New Roman"/>
          <w:color w:val="000000"/>
          <w:szCs w:val="24"/>
          <w:lang w:eastAsia="en-US"/>
        </w:rPr>
        <w:t>um</w:t>
      </w:r>
      <w:r w:rsidR="00A10AD4">
        <w:rPr>
          <w:rFonts w:ascii="Times New Roman" w:eastAsia="Calibri" w:hAnsi="Times New Roman"/>
          <w:color w:val="000000"/>
          <w:szCs w:val="24"/>
          <w:lang w:eastAsia="en-US"/>
        </w:rPr>
        <w:t xml:space="preserve">a barreira para adoção da IAS 41 no contexto brasileiro, além de </w:t>
      </w:r>
      <w:r w:rsidR="00FF2DB1" w:rsidRPr="000E5487">
        <w:rPr>
          <w:rFonts w:ascii="Times New Roman" w:eastAsia="Calibri" w:hAnsi="Times New Roman"/>
          <w:color w:val="000000"/>
          <w:szCs w:val="24"/>
          <w:lang w:eastAsia="en-US"/>
        </w:rPr>
        <w:t>impactar na comparabilidade das demonstrações contábeis</w:t>
      </w:r>
      <w:r w:rsidR="00FF2DB1">
        <w:rPr>
          <w:rFonts w:ascii="Times New Roman" w:eastAsia="Calibri" w:hAnsi="Times New Roman"/>
          <w:color w:val="000000"/>
          <w:szCs w:val="24"/>
          <w:lang w:eastAsia="en-US"/>
        </w:rPr>
        <w:t xml:space="preserve"> </w:t>
      </w:r>
      <w:r w:rsidR="00FF2DB1">
        <w:rPr>
          <w:rFonts w:ascii="Times New Roman" w:eastAsia="Calibri" w:hAnsi="Times New Roman"/>
          <w:color w:val="000000"/>
          <w:szCs w:val="24"/>
          <w:lang w:eastAsia="en-US"/>
        </w:rPr>
        <w:fldChar w:fldCharType="begin" w:fldLock="1"/>
      </w:r>
      <w:r w:rsidR="00FF2DB1">
        <w:rPr>
          <w:rFonts w:ascii="Times New Roman" w:eastAsia="Calibri" w:hAnsi="Times New Roman"/>
          <w:color w:val="000000"/>
          <w:szCs w:val="24"/>
          <w:lang w:eastAsia="en-US"/>
        </w:rPr>
        <w:instrText>ADDIN CSL_CITATION {"citationItems":[{"id":"ITEM-1","itemData":{"DOI":"10.1016/j.bar.2010.10.003","ISBN":"08908389","ISSN":"08908389","PMID":"857499650","abstract":"This study investigates the use of fair value measurement by 228 listed companies in the UK and Australia around the time of adoption of IFRS from 1 January 2005. We test whether within and between country comparability in policy choices (as measured by T indices) has changed in relation to (a) mandatory and (b) optional use of fair value measurement. Mandatory requirements related to financial instruments (IAS 39) and share-based payments (IFRS 2) have increased comparability, with a weaker effect for biological assets (IAS 41). In relation to the optional use of fair value, comparability increased in relation to property (IAS 16) because some companies discontinued fair value measurement. Under IAS 39, the fair value option for other financial assets and other financial liabilities decreased comparability. Options to use fair value in other areas (intangible assets, plant and equipment and investment properties) are not generally taken up, either for on-going measurement or on IFRS adoption (under the 'deemed cost' option). The results suggest a conservative approach and/or lack of incentives to use fair value measurement for most companies. Exceptions include some banks and insurance companies (for other financial assets and liabilities) and companies holding investment properties. © 2010 Elsevier Ltd.","author":[{"dropping-particle":"","family":"Cairns","given":"David","non-dropping-particle":"","parse-names":false,"suffix":""},{"dropping-particle":"","family":"Massoudi","given":"Dianne","non-dropping-particle":"","parse-names":false,"suffix":""},{"dropping-particle":"","family":"Taplin","given":"Ross","non-dropping-particle":"","parse-names":false,"suffix":""},{"dropping-particle":"","family":"Tarca","given":"Ann","non-dropping-particle":"","parse-names":false,"suffix":""}],"container-title":"British Accounting Review","id":"ITEM-1","issue":"1","issued":{"date-parts":[["2011"]]},"page":"1-21","publisher":"Elsevier Ltd","title":"IFRS fair value measurement and accounting policy choice in the United Kingdom and Australia","type":"article-journal","volume":"43"},"uris":["http://www.mendeley.com/documents/?uuid=cfc06069-32a6-42d7-b827-7a1e610a8719"]},{"id":"ITEM-2","itemData":{"DOI":"10.21714/1984-3925_2017v20n1a7","ISSN":"19843925","author":[{"dropping-particle":"","family":"Botinha","given":"Reiner Alves","non-dropping-particle":"","parse-names":false,"suffix":""},{"dropping-particle":"","family":"Lemes","given":"Sirlei","non-dropping-particle":"","parse-names":false,"suffix":""}],"container-title":"Contabilidade, Gestão e Governança","id":"ITEM-2","issue":"1","issued":{"date-parts":[["2017","4","20"]]},"page":"113-132","title":"Comparabilidade das Escolhas Contábeis em Propriedades para Investimentos de Empresas Listadas na BM&amp;FBOVESPA e NYSE","type":"article-journal","volume":"20"},"uris":["http://www.mendeley.com/documents/?uuid=41e61983-5c3f-4dac-9bf8-a1713fa62057"]}],"mendeley":{"formattedCitation":"(BOTINHA; LEMES, 2017; CAIRNS et al., 2011)","plainTextFormattedCitation":"(BOTINHA; LEMES, 2017; CAIRNS et al., 2011)","previouslyFormattedCitation":"(BOTINHA; LEMES, 2017; CAIRNS et al., 2011)"},"properties":{"noteIndex":0},"schema":"https://github.com/citation-style-language/schema/raw/master/csl-citation.json"}</w:instrText>
      </w:r>
      <w:r w:rsidR="00FF2DB1">
        <w:rPr>
          <w:rFonts w:ascii="Times New Roman" w:eastAsia="Calibri" w:hAnsi="Times New Roman"/>
          <w:color w:val="000000"/>
          <w:szCs w:val="24"/>
          <w:lang w:eastAsia="en-US"/>
        </w:rPr>
        <w:fldChar w:fldCharType="separate"/>
      </w:r>
      <w:r w:rsidR="00FF2DB1" w:rsidRPr="00CB1F8E">
        <w:rPr>
          <w:rFonts w:ascii="Times New Roman" w:eastAsia="Calibri" w:hAnsi="Times New Roman"/>
          <w:noProof/>
          <w:color w:val="000000"/>
          <w:szCs w:val="24"/>
          <w:lang w:eastAsia="en-US"/>
        </w:rPr>
        <w:t>(BOTINHA; LEMES, 2017; CAIRNS et al., 2011)</w:t>
      </w:r>
      <w:r w:rsidR="00FF2DB1">
        <w:rPr>
          <w:rFonts w:ascii="Times New Roman" w:eastAsia="Calibri" w:hAnsi="Times New Roman"/>
          <w:color w:val="000000"/>
          <w:szCs w:val="24"/>
          <w:lang w:eastAsia="en-US"/>
        </w:rPr>
        <w:fldChar w:fldCharType="end"/>
      </w:r>
      <w:r w:rsidR="00FF2DB1" w:rsidRPr="000E5487">
        <w:rPr>
          <w:rFonts w:ascii="Times New Roman" w:eastAsia="Calibri" w:hAnsi="Times New Roman"/>
          <w:color w:val="000000"/>
          <w:szCs w:val="24"/>
          <w:lang w:eastAsia="en-US"/>
        </w:rPr>
        <w:t xml:space="preserve">, </w:t>
      </w:r>
      <w:r w:rsidR="00DE7B6A">
        <w:rPr>
          <w:rFonts w:ascii="Times New Roman" w:eastAsia="Calibri" w:hAnsi="Times New Roman"/>
          <w:color w:val="000000"/>
          <w:szCs w:val="24"/>
          <w:lang w:eastAsia="en-US"/>
        </w:rPr>
        <w:t>e em uma perspectiva mais ampla, pode</w:t>
      </w:r>
      <w:r w:rsidR="00A10AD4">
        <w:rPr>
          <w:rFonts w:ascii="Times New Roman" w:eastAsia="Calibri" w:hAnsi="Times New Roman"/>
          <w:color w:val="000000"/>
          <w:szCs w:val="24"/>
          <w:lang w:eastAsia="en-US"/>
        </w:rPr>
        <w:t xml:space="preserve"> ser uma das causas para a permanência das</w:t>
      </w:r>
      <w:r w:rsidR="00FF2DB1" w:rsidRPr="000E5487">
        <w:rPr>
          <w:rFonts w:ascii="Times New Roman" w:eastAsia="Calibri" w:hAnsi="Times New Roman"/>
          <w:color w:val="000000"/>
          <w:szCs w:val="24"/>
          <w:lang w:eastAsia="en-US"/>
        </w:rPr>
        <w:t xml:space="preserve"> diferenças significativas </w:t>
      </w:r>
      <w:r w:rsidR="00A10AD4">
        <w:rPr>
          <w:rFonts w:ascii="Times New Roman" w:eastAsia="Calibri" w:hAnsi="Times New Roman"/>
          <w:color w:val="000000"/>
          <w:szCs w:val="24"/>
          <w:lang w:eastAsia="en-US"/>
        </w:rPr>
        <w:t>na Contabilidade</w:t>
      </w:r>
      <w:r w:rsidR="00DE7B6A">
        <w:rPr>
          <w:rFonts w:ascii="Times New Roman" w:eastAsia="Calibri" w:hAnsi="Times New Roman"/>
          <w:color w:val="000000"/>
          <w:szCs w:val="24"/>
          <w:lang w:eastAsia="en-US"/>
        </w:rPr>
        <w:t xml:space="preserve"> verificada por </w:t>
      </w:r>
      <w:r w:rsidR="00DE7B6A">
        <w:rPr>
          <w:rFonts w:ascii="Times New Roman" w:eastAsia="Calibri" w:hAnsi="Times New Roman"/>
          <w:color w:val="000000"/>
          <w:szCs w:val="24"/>
          <w:lang w:eastAsia="en-US"/>
        </w:rPr>
        <w:fldChar w:fldCharType="begin" w:fldLock="1"/>
      </w:r>
      <w:r w:rsidR="00DE7B6A">
        <w:rPr>
          <w:rFonts w:ascii="Times New Roman" w:eastAsia="Calibri" w:hAnsi="Times New Roman"/>
          <w:color w:val="000000"/>
          <w:szCs w:val="24"/>
          <w:lang w:eastAsia="en-US"/>
        </w:rPr>
        <w:instrText>ADDIN CSL_CITATION {"citationItems":[{"id":"ITEM-1","itemData":{"DOI":"10.1016/j.jacceco.2012.03.001","ISBN":"0165-4101","ISSN":"01654101","PMID":"1021725752","abstract":"This study examines whether application of IFRS by non-US firms results in accounting amounts comparable to those resulting from application of US GAAP by US firms. IFRS firms have greater accounting system and value relevance comparability with US firms when IFRS firms apply IFRS than when they applied domestic standards. Comparability is greater for firms that adopt IFRS mandatorily, firms in common law and high enforcement countries, and in more recent years. Earnings smoothing, accrual quality, and timeliness are potential sources of the greater comparability. Although application of IFRS has enhanced financial reporting comparability with US firms, significant differences remain.","author":[{"dropping-particle":"","family":"Barth","given":"Mary E.","non-dropping-particle":"","parse-names":false,"suffix":""},{"dropping-particle":"","family":"Landsman","given":"Wayne R.","non-dropping-particle":"","parse-names":false,"suffix":""},{"dropping-particle":"","family":"Lang","given":"Mark","non-dropping-particle":"","parse-names":false,"suffix":""},{"dropping-particle":"","family":"Williams","given":"Christopher","non-dropping-particle":"","parse-names":false,"suffix":""}],"container-title":"Journal of Accounting and Economics","id":"ITEM-1","issue":"1","issued":{"date-parts":[["2012"]]},"page":"68-93","publisher":"Elsevier","title":"Are IFRS-based and US GAAP-based accounting amounts comparable?","type":"article-journal","volume":"54"},"uris":["http://www.mendeley.com/documents/?uuid=249eb6c4-8276-4c5b-a657-0d4b3f2bb0b0"]}],"mendeley":{"formattedCitation":"(BARTH et al., 2012)","manualFormatting":"Barth et al. (2012)","plainTextFormattedCitation":"(BARTH et al., 2012)","previouslyFormattedCitation":"(BARTH et al., 2012)"},"properties":{"noteIndex":0},"schema":"https://github.com/citation-style-language/schema/raw/master/csl-citation.json"}</w:instrText>
      </w:r>
      <w:r w:rsidR="00DE7B6A">
        <w:rPr>
          <w:rFonts w:ascii="Times New Roman" w:eastAsia="Calibri" w:hAnsi="Times New Roman"/>
          <w:color w:val="000000"/>
          <w:szCs w:val="24"/>
          <w:lang w:eastAsia="en-US"/>
        </w:rPr>
        <w:fldChar w:fldCharType="separate"/>
      </w:r>
      <w:r w:rsidR="00DE7B6A" w:rsidRPr="000645A6">
        <w:rPr>
          <w:rFonts w:ascii="Times New Roman" w:eastAsia="Calibri" w:hAnsi="Times New Roman"/>
          <w:noProof/>
          <w:color w:val="000000"/>
          <w:szCs w:val="24"/>
          <w:lang w:eastAsia="en-US"/>
        </w:rPr>
        <w:t>Barth</w:t>
      </w:r>
      <w:r w:rsidR="00DE7B6A">
        <w:rPr>
          <w:rFonts w:ascii="Times New Roman" w:eastAsia="Calibri" w:hAnsi="Times New Roman"/>
          <w:noProof/>
          <w:color w:val="000000"/>
          <w:szCs w:val="24"/>
          <w:lang w:eastAsia="en-US"/>
        </w:rPr>
        <w:t xml:space="preserve"> et al.</w:t>
      </w:r>
      <w:r w:rsidR="00DE7B6A" w:rsidRPr="000645A6">
        <w:rPr>
          <w:rFonts w:ascii="Times New Roman" w:eastAsia="Calibri" w:hAnsi="Times New Roman"/>
          <w:noProof/>
          <w:color w:val="000000"/>
          <w:szCs w:val="24"/>
          <w:lang w:eastAsia="en-US"/>
        </w:rPr>
        <w:t xml:space="preserve"> </w:t>
      </w:r>
      <w:r w:rsidR="00DE7B6A">
        <w:rPr>
          <w:rFonts w:ascii="Times New Roman" w:eastAsia="Calibri" w:hAnsi="Times New Roman"/>
          <w:noProof/>
          <w:color w:val="000000"/>
          <w:szCs w:val="24"/>
          <w:lang w:eastAsia="en-US"/>
        </w:rPr>
        <w:t>(</w:t>
      </w:r>
      <w:r w:rsidR="00DE7B6A" w:rsidRPr="000645A6">
        <w:rPr>
          <w:rFonts w:ascii="Times New Roman" w:eastAsia="Calibri" w:hAnsi="Times New Roman"/>
          <w:noProof/>
          <w:color w:val="000000"/>
          <w:szCs w:val="24"/>
          <w:lang w:eastAsia="en-US"/>
        </w:rPr>
        <w:t>2012)</w:t>
      </w:r>
      <w:r w:rsidR="00DE7B6A">
        <w:rPr>
          <w:rFonts w:ascii="Times New Roman" w:eastAsia="Calibri" w:hAnsi="Times New Roman"/>
          <w:color w:val="000000"/>
          <w:szCs w:val="24"/>
          <w:lang w:eastAsia="en-US"/>
        </w:rPr>
        <w:fldChar w:fldCharType="end"/>
      </w:r>
      <w:r w:rsidR="00600FCC">
        <w:rPr>
          <w:rFonts w:ascii="Times New Roman" w:eastAsia="Calibri" w:hAnsi="Times New Roman"/>
          <w:color w:val="000000"/>
          <w:szCs w:val="24"/>
          <w:lang w:eastAsia="en-US"/>
        </w:rPr>
        <w:t>,</w:t>
      </w:r>
      <w:r w:rsidR="00A10AD4">
        <w:rPr>
          <w:rFonts w:ascii="Times New Roman" w:eastAsia="Calibri" w:hAnsi="Times New Roman"/>
          <w:color w:val="000000"/>
          <w:szCs w:val="24"/>
          <w:lang w:eastAsia="en-US"/>
        </w:rPr>
        <w:t xml:space="preserve"> mesmo</w:t>
      </w:r>
      <w:r w:rsidR="00FF2DB1" w:rsidRPr="000E5487">
        <w:rPr>
          <w:rFonts w:ascii="Times New Roman" w:eastAsia="Calibri" w:hAnsi="Times New Roman"/>
          <w:color w:val="000000"/>
          <w:szCs w:val="24"/>
          <w:lang w:eastAsia="en-US"/>
        </w:rPr>
        <w:t xml:space="preserve"> após a adoção das IFRS.</w:t>
      </w:r>
    </w:p>
    <w:p w:rsidR="00AF2A51" w:rsidRDefault="00AF2A51" w:rsidP="00AF2A51">
      <w:pPr>
        <w:spacing w:after="0" w:line="240" w:lineRule="auto"/>
        <w:jc w:val="both"/>
        <w:rPr>
          <w:rFonts w:ascii="Times New Roman" w:hAnsi="Times New Roman"/>
          <w:b/>
          <w:noProof/>
          <w:szCs w:val="24"/>
        </w:rPr>
      </w:pPr>
    </w:p>
    <w:p w:rsidR="00C94C16" w:rsidRPr="000E5487" w:rsidRDefault="00AF2A51" w:rsidP="00AF2A51">
      <w:pPr>
        <w:spacing w:after="120" w:line="240" w:lineRule="auto"/>
        <w:jc w:val="both"/>
        <w:rPr>
          <w:rFonts w:ascii="Times New Roman" w:hAnsi="Times New Roman"/>
          <w:noProof/>
          <w:szCs w:val="24"/>
        </w:rPr>
      </w:pPr>
      <w:r>
        <w:rPr>
          <w:rFonts w:ascii="Times New Roman" w:hAnsi="Times New Roman"/>
          <w:b/>
          <w:noProof/>
          <w:szCs w:val="24"/>
        </w:rPr>
        <w:t>5</w:t>
      </w:r>
      <w:r w:rsidR="00C94C16" w:rsidRPr="000E5487">
        <w:rPr>
          <w:rFonts w:ascii="Times New Roman" w:hAnsi="Times New Roman"/>
          <w:noProof/>
          <w:szCs w:val="24"/>
        </w:rPr>
        <w:t xml:space="preserve"> </w:t>
      </w:r>
      <w:r w:rsidRPr="000E5487">
        <w:rPr>
          <w:rFonts w:ascii="Times New Roman" w:hAnsi="Times New Roman"/>
          <w:b/>
          <w:noProof/>
          <w:szCs w:val="24"/>
        </w:rPr>
        <w:t>Considerações Finais</w:t>
      </w:r>
    </w:p>
    <w:p w:rsidR="00857067" w:rsidRPr="000E5487" w:rsidRDefault="00857067" w:rsidP="00B747D7">
      <w:pPr>
        <w:pBdr>
          <w:top w:val="nil"/>
          <w:left w:val="nil"/>
          <w:bottom w:val="nil"/>
          <w:right w:val="nil"/>
          <w:between w:val="nil"/>
          <w:bar w:val="nil"/>
        </w:pBd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Este estudo identificou as escolhas contábeis no contexto da mensuração </w:t>
      </w:r>
      <w:r w:rsidR="009578DE" w:rsidRPr="000E5487">
        <w:rPr>
          <w:rFonts w:ascii="Times New Roman" w:eastAsia="Calibri" w:hAnsi="Times New Roman"/>
          <w:color w:val="000000"/>
          <w:szCs w:val="24"/>
          <w:lang w:eastAsia="en-US"/>
        </w:rPr>
        <w:t>de ativos biológicos e verificou</w:t>
      </w:r>
      <w:r w:rsidRPr="000E5487">
        <w:rPr>
          <w:rFonts w:ascii="Times New Roman" w:eastAsia="Calibri" w:hAnsi="Times New Roman"/>
          <w:color w:val="000000"/>
          <w:szCs w:val="24"/>
          <w:lang w:eastAsia="en-US"/>
        </w:rPr>
        <w:t xml:space="preserve"> se tais escolhas estão associadas ao perfil dos profissionais que os mensuram</w:t>
      </w:r>
      <w:r w:rsidR="009578DE" w:rsidRPr="000E5487">
        <w:rPr>
          <w:rFonts w:ascii="Times New Roman" w:eastAsia="Calibri" w:hAnsi="Times New Roman"/>
          <w:color w:val="000000"/>
          <w:szCs w:val="24"/>
          <w:lang w:eastAsia="en-US"/>
        </w:rPr>
        <w:t xml:space="preserve">. Os </w:t>
      </w:r>
      <w:r w:rsidR="006E39B5" w:rsidRPr="000E5487">
        <w:rPr>
          <w:rFonts w:ascii="Times New Roman" w:eastAsia="Calibri" w:hAnsi="Times New Roman"/>
          <w:color w:val="000000"/>
          <w:szCs w:val="24"/>
          <w:lang w:eastAsia="en-US"/>
        </w:rPr>
        <w:t xml:space="preserve">resultados </w:t>
      </w:r>
      <w:r w:rsidR="009578DE" w:rsidRPr="000E5487">
        <w:rPr>
          <w:rFonts w:ascii="Times New Roman" w:eastAsia="Calibri" w:hAnsi="Times New Roman"/>
          <w:color w:val="000000"/>
          <w:szCs w:val="24"/>
          <w:lang w:eastAsia="en-US"/>
        </w:rPr>
        <w:t>permitem inferir que não há uma padronização das técnicas e procedimentos de mensuração. Porém</w:t>
      </w:r>
      <w:r w:rsidR="006E39B5" w:rsidRPr="000E5487">
        <w:rPr>
          <w:rFonts w:ascii="Times New Roman" w:eastAsia="Calibri" w:hAnsi="Times New Roman"/>
          <w:color w:val="000000"/>
          <w:szCs w:val="24"/>
          <w:lang w:eastAsia="en-US"/>
        </w:rPr>
        <w:t>,</w:t>
      </w:r>
      <w:r w:rsidR="009578DE" w:rsidRPr="000E5487">
        <w:rPr>
          <w:rFonts w:ascii="Times New Roman" w:eastAsia="Calibri" w:hAnsi="Times New Roman"/>
          <w:color w:val="000000"/>
          <w:szCs w:val="24"/>
          <w:lang w:eastAsia="en-US"/>
        </w:rPr>
        <w:t xml:space="preserve"> existem algumas tendências de padrões tais como, o uso do Fluxo de Caixa Descontado (FCD), do modelo CAPM para estimar o custo do capital próprio, da taxa Selic como um título livre de risco e do Ibovespa como referência da carteira de mercado.</w:t>
      </w:r>
    </w:p>
    <w:p w:rsidR="007B2336" w:rsidRPr="000E5487" w:rsidRDefault="00F52BE1" w:rsidP="00B747D7">
      <w:pPr>
        <w:pBdr>
          <w:top w:val="nil"/>
          <w:left w:val="nil"/>
          <w:bottom w:val="nil"/>
          <w:right w:val="nil"/>
          <w:between w:val="nil"/>
          <w:bar w:val="nil"/>
        </w:pBd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A contribuição </w:t>
      </w:r>
      <w:r w:rsidR="004A159D" w:rsidRPr="000E5487">
        <w:rPr>
          <w:rFonts w:ascii="Times New Roman" w:eastAsia="Calibri" w:hAnsi="Times New Roman"/>
          <w:color w:val="000000"/>
          <w:szCs w:val="24"/>
          <w:lang w:eastAsia="en-US"/>
        </w:rPr>
        <w:t xml:space="preserve">do presente estudo </w:t>
      </w:r>
      <w:r w:rsidRPr="000E5487">
        <w:rPr>
          <w:rFonts w:ascii="Times New Roman" w:eastAsia="Calibri" w:hAnsi="Times New Roman"/>
          <w:color w:val="000000"/>
          <w:szCs w:val="24"/>
          <w:lang w:eastAsia="en-US"/>
        </w:rPr>
        <w:t>reside</w:t>
      </w:r>
      <w:r w:rsidR="006E39B5"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principalmente</w:t>
      </w:r>
      <w:r w:rsidR="006E39B5"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na identificação das múltiplas escolhas contábeis </w:t>
      </w:r>
      <w:r w:rsidR="00600FCC">
        <w:rPr>
          <w:rFonts w:ascii="Times New Roman" w:eastAsia="Calibri" w:hAnsi="Times New Roman"/>
          <w:color w:val="000000"/>
          <w:szCs w:val="24"/>
          <w:lang w:eastAsia="en-US"/>
        </w:rPr>
        <w:t xml:space="preserve">no contexto da mensuração </w:t>
      </w:r>
      <w:r w:rsidRPr="000E5487">
        <w:rPr>
          <w:rFonts w:ascii="Times New Roman" w:eastAsia="Calibri" w:hAnsi="Times New Roman"/>
          <w:color w:val="000000"/>
          <w:szCs w:val="24"/>
          <w:lang w:eastAsia="en-US"/>
        </w:rPr>
        <w:t>de ativos biológicos</w:t>
      </w:r>
      <w:r w:rsidR="004A159D"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considerando os detalhes e particularidades da maioria das técnicas e procedimentos contábeis </w:t>
      </w:r>
      <w:r w:rsidR="009578DE" w:rsidRPr="000E5487">
        <w:rPr>
          <w:rFonts w:ascii="Times New Roman" w:eastAsia="Calibri" w:hAnsi="Times New Roman"/>
          <w:color w:val="000000"/>
          <w:szCs w:val="24"/>
          <w:lang w:eastAsia="en-US"/>
        </w:rPr>
        <w:t>dada à escassez de informações dessa natureza conforme mencionado por</w:t>
      </w:r>
      <w:r w:rsidR="00823B5C">
        <w:rPr>
          <w:rFonts w:ascii="Times New Roman" w:eastAsia="Calibri" w:hAnsi="Times New Roman"/>
          <w:color w:val="000000"/>
          <w:szCs w:val="24"/>
          <w:lang w:eastAsia="en-US"/>
        </w:rPr>
        <w:t xml:space="preserve"> </w:t>
      </w:r>
      <w:r w:rsidR="00823B5C">
        <w:rPr>
          <w:rFonts w:ascii="Times New Roman" w:eastAsia="Calibri" w:hAnsi="Times New Roman"/>
          <w:color w:val="000000"/>
          <w:szCs w:val="24"/>
          <w:lang w:eastAsia="en-US"/>
        </w:rPr>
        <w:fldChar w:fldCharType="begin" w:fldLock="1"/>
      </w:r>
      <w:r w:rsidR="00823B5C">
        <w:rPr>
          <w:rFonts w:ascii="Times New Roman" w:eastAsia="Calibri" w:hAnsi="Times New Roman"/>
          <w:color w:val="000000"/>
          <w:szCs w:val="24"/>
          <w:lang w:eastAsia="en-US"/>
        </w:rPr>
        <w:instrText>ADDIN CSL_CITATION {"citationItems":[{"id":"ITEM-1","itemData":{"DOI":"10.5007/2175-8069.2016v13n29p129","ISSN":"2175-8069","abstract":"Neste ensaio, é promovida uma discussão crítica a respeito das teorias e das principais obras que tratam do estudo das escolhas contábeis, com o objetivo de despertar provocações e reflexões para o desenvolvimento de pesquisas sobre esse tema. A literatura da área ofereceu contribuições ao longo dos anos, porém questões, como a existência de uma teoria consolidada das escolhas contábeis e os determinantes das múltiplas escolhas contábeis, ainda não estão claras. As principais contribuições deste estudo são: oferecer uma triangulação teórica com base em discussões fundamentadas sobre a Teoria Contratual da Firma, sobre as teorias econômicas que consubstanciam a chamada ‘Teoria Positiva da Contabilidade’ e sobre a Teoria Institucional; e propor reflexões para o estudo de múltiplos fatores determinantes e consequências econômicas das escolhas contábeis, empregando diferentes abordagens metodológicas. Acredita-se que as amarrações teóricas e hipotéticas (assim como suaslimitações) derivadas da interação entre as teorias aqui criticadas possam despertar a necessidade de reestruturações das pesquisas em escolhas contábeis, tanto em termos teóricos quanto metodológicos.","author":[{"dropping-particle":"da","family":"Silva","given":"Denise Mendes","non-dropping-particle":"","parse-names":false,"suffix":""},{"dropping-particle":"","family":"Martins","given":"Vinícius Aversari","non-dropping-particle":"","parse-names":false,"suffix":""},{"dropping-particle":"","family":"Lemes","given":"Sirlei","non-dropping-particle":"","parse-names":false,"suffix":""}],"container-title":"Revista Contemporânea de Contabilidade","id":"ITEM-1","issue":"29","issued":{"date-parts":[["2016"]]},"page":"129-156","title":"Escolhas Contábeis: reflexões para a pesquisa","type":"article-journal","volume":"13"},"uris":["http://www.mendeley.com/documents/?uuid=1370162b-6430-4a82-9cfc-f4c93966aa9c"]}],"mendeley":{"formattedCitation":"(SILVA; MARTINS; LEMES, 2016)","manualFormatting":"Silva, Martins e Lemes (2016)","plainTextFormattedCitation":"(SILVA; MARTINS; LEMES, 2016)","previouslyFormattedCitation":"(SILVA; MARTINS; LEMES, 2016)"},"properties":{"noteIndex":0},"schema":"https://github.com/citation-style-language/schema/raw/master/csl-citation.json"}</w:instrText>
      </w:r>
      <w:r w:rsidR="00823B5C">
        <w:rPr>
          <w:rFonts w:ascii="Times New Roman" w:eastAsia="Calibri" w:hAnsi="Times New Roman"/>
          <w:color w:val="000000"/>
          <w:szCs w:val="24"/>
          <w:lang w:eastAsia="en-US"/>
        </w:rPr>
        <w:fldChar w:fldCharType="separate"/>
      </w:r>
      <w:r w:rsidR="00823B5C">
        <w:rPr>
          <w:rFonts w:ascii="Times New Roman" w:eastAsia="Calibri" w:hAnsi="Times New Roman"/>
          <w:noProof/>
          <w:color w:val="000000"/>
          <w:szCs w:val="24"/>
          <w:lang w:eastAsia="en-US"/>
        </w:rPr>
        <w:t>Silva,</w:t>
      </w:r>
      <w:r w:rsidR="00823B5C" w:rsidRPr="00823B5C">
        <w:rPr>
          <w:rFonts w:ascii="Times New Roman" w:eastAsia="Calibri" w:hAnsi="Times New Roman"/>
          <w:noProof/>
          <w:color w:val="000000"/>
          <w:szCs w:val="24"/>
          <w:lang w:eastAsia="en-US"/>
        </w:rPr>
        <w:t xml:space="preserve"> Martins</w:t>
      </w:r>
      <w:r w:rsidR="00823B5C">
        <w:rPr>
          <w:rFonts w:ascii="Times New Roman" w:eastAsia="Calibri" w:hAnsi="Times New Roman"/>
          <w:noProof/>
          <w:color w:val="000000"/>
          <w:szCs w:val="24"/>
          <w:lang w:eastAsia="en-US"/>
        </w:rPr>
        <w:t xml:space="preserve"> e</w:t>
      </w:r>
      <w:r w:rsidR="00823B5C" w:rsidRPr="00823B5C">
        <w:rPr>
          <w:rFonts w:ascii="Times New Roman" w:eastAsia="Calibri" w:hAnsi="Times New Roman"/>
          <w:noProof/>
          <w:color w:val="000000"/>
          <w:szCs w:val="24"/>
          <w:lang w:eastAsia="en-US"/>
        </w:rPr>
        <w:t xml:space="preserve"> Lemes </w:t>
      </w:r>
      <w:r w:rsidR="00823B5C">
        <w:rPr>
          <w:rFonts w:ascii="Times New Roman" w:eastAsia="Calibri" w:hAnsi="Times New Roman"/>
          <w:noProof/>
          <w:color w:val="000000"/>
          <w:szCs w:val="24"/>
          <w:lang w:eastAsia="en-US"/>
        </w:rPr>
        <w:t>(</w:t>
      </w:r>
      <w:r w:rsidR="00823B5C" w:rsidRPr="00823B5C">
        <w:rPr>
          <w:rFonts w:ascii="Times New Roman" w:eastAsia="Calibri" w:hAnsi="Times New Roman"/>
          <w:noProof/>
          <w:color w:val="000000"/>
          <w:szCs w:val="24"/>
          <w:lang w:eastAsia="en-US"/>
        </w:rPr>
        <w:t>2016)</w:t>
      </w:r>
      <w:r w:rsidR="00823B5C">
        <w:rPr>
          <w:rFonts w:ascii="Times New Roman" w:eastAsia="Calibri" w:hAnsi="Times New Roman"/>
          <w:color w:val="000000"/>
          <w:szCs w:val="24"/>
          <w:lang w:eastAsia="en-US"/>
        </w:rPr>
        <w:fldChar w:fldCharType="end"/>
      </w:r>
      <w:r w:rsidR="009578DE"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Outra relevante contribuição </w:t>
      </w:r>
      <w:r w:rsidR="00D7479D" w:rsidRPr="000E5487">
        <w:rPr>
          <w:rFonts w:ascii="Times New Roman" w:eastAsia="Calibri" w:hAnsi="Times New Roman"/>
          <w:color w:val="000000"/>
          <w:szCs w:val="24"/>
          <w:lang w:eastAsia="en-US"/>
        </w:rPr>
        <w:t xml:space="preserve">é </w:t>
      </w:r>
      <w:r w:rsidRPr="000E5487">
        <w:rPr>
          <w:rFonts w:ascii="Times New Roman" w:eastAsia="Calibri" w:hAnsi="Times New Roman"/>
          <w:color w:val="000000"/>
          <w:szCs w:val="24"/>
          <w:lang w:eastAsia="en-US"/>
        </w:rPr>
        <w:t>a</w:t>
      </w:r>
      <w:r w:rsidR="000E211D" w:rsidRPr="000E5487">
        <w:rPr>
          <w:rFonts w:ascii="Times New Roman" w:eastAsia="Calibri" w:hAnsi="Times New Roman"/>
          <w:color w:val="000000"/>
          <w:szCs w:val="24"/>
          <w:lang w:eastAsia="en-US"/>
        </w:rPr>
        <w:t xml:space="preserve"> verifica</w:t>
      </w:r>
      <w:r w:rsidRPr="000E5487">
        <w:rPr>
          <w:rFonts w:ascii="Times New Roman" w:eastAsia="Calibri" w:hAnsi="Times New Roman"/>
          <w:color w:val="000000"/>
          <w:szCs w:val="24"/>
          <w:lang w:eastAsia="en-US"/>
        </w:rPr>
        <w:t>ção da</w:t>
      </w:r>
      <w:r w:rsidR="000E211D" w:rsidRPr="000E5487">
        <w:rPr>
          <w:rFonts w:ascii="Times New Roman" w:eastAsia="Calibri" w:hAnsi="Times New Roman"/>
          <w:color w:val="000000"/>
          <w:szCs w:val="24"/>
          <w:lang w:eastAsia="en-US"/>
        </w:rPr>
        <w:t xml:space="preserve"> associa</w:t>
      </w:r>
      <w:r w:rsidRPr="000E5487">
        <w:rPr>
          <w:rFonts w:ascii="Times New Roman" w:eastAsia="Calibri" w:hAnsi="Times New Roman"/>
          <w:color w:val="000000"/>
          <w:szCs w:val="24"/>
          <w:lang w:eastAsia="en-US"/>
        </w:rPr>
        <w:t xml:space="preserve">ção </w:t>
      </w:r>
      <w:r w:rsidR="009578DE" w:rsidRPr="000E5487">
        <w:rPr>
          <w:rFonts w:ascii="Times New Roman" w:eastAsia="Calibri" w:hAnsi="Times New Roman"/>
          <w:color w:val="000000"/>
          <w:szCs w:val="24"/>
          <w:lang w:eastAsia="en-US"/>
        </w:rPr>
        <w:t xml:space="preserve">do tempo de experiência </w:t>
      </w:r>
      <w:r w:rsidR="000E211D" w:rsidRPr="000E5487">
        <w:rPr>
          <w:rFonts w:ascii="Times New Roman" w:eastAsia="Calibri" w:hAnsi="Times New Roman"/>
          <w:color w:val="000000"/>
          <w:szCs w:val="24"/>
          <w:lang w:eastAsia="en-US"/>
        </w:rPr>
        <w:t xml:space="preserve">dos </w:t>
      </w:r>
      <w:r w:rsidR="00AD6367" w:rsidRPr="000E5487">
        <w:rPr>
          <w:rFonts w:ascii="Times New Roman" w:eastAsia="Calibri" w:hAnsi="Times New Roman"/>
          <w:color w:val="000000"/>
          <w:szCs w:val="24"/>
          <w:lang w:eastAsia="en-US"/>
        </w:rPr>
        <w:t>profissionais</w:t>
      </w:r>
      <w:r w:rsidR="009578DE" w:rsidRPr="000E5487">
        <w:rPr>
          <w:rFonts w:ascii="Times New Roman" w:eastAsia="Calibri" w:hAnsi="Times New Roman"/>
          <w:color w:val="000000"/>
          <w:szCs w:val="24"/>
          <w:lang w:eastAsia="en-US"/>
        </w:rPr>
        <w:t xml:space="preserve"> na mensuração de ativos biológicos</w:t>
      </w:r>
      <w:r w:rsidR="00AD6367" w:rsidRPr="000E5487">
        <w:rPr>
          <w:rFonts w:ascii="Times New Roman" w:eastAsia="Calibri" w:hAnsi="Times New Roman"/>
          <w:color w:val="000000"/>
          <w:szCs w:val="24"/>
          <w:lang w:eastAsia="en-US"/>
        </w:rPr>
        <w:t xml:space="preserve"> </w:t>
      </w:r>
      <w:r w:rsidR="009578DE" w:rsidRPr="000E5487">
        <w:rPr>
          <w:rFonts w:ascii="Times New Roman" w:eastAsia="Calibri" w:hAnsi="Times New Roman"/>
          <w:color w:val="000000"/>
          <w:szCs w:val="24"/>
          <w:lang w:eastAsia="en-US"/>
        </w:rPr>
        <w:t>com suas escolhas contábeis</w:t>
      </w:r>
      <w:r w:rsidR="00D7479D" w:rsidRPr="000E5487">
        <w:rPr>
          <w:rFonts w:ascii="Times New Roman" w:eastAsia="Calibri" w:hAnsi="Times New Roman"/>
          <w:color w:val="000000"/>
          <w:szCs w:val="24"/>
          <w:lang w:eastAsia="en-US"/>
        </w:rPr>
        <w:t xml:space="preserve">, </w:t>
      </w:r>
      <w:r w:rsidR="009578DE" w:rsidRPr="000E5487">
        <w:rPr>
          <w:rFonts w:ascii="Times New Roman" w:eastAsia="Calibri" w:hAnsi="Times New Roman"/>
          <w:color w:val="000000"/>
          <w:szCs w:val="24"/>
          <w:lang w:eastAsia="en-US"/>
        </w:rPr>
        <w:t xml:space="preserve"> contribuindo para a Teoria das Escolhas Contábeis ao demonstrar essa associação. Esses achados apoiam o estudo de </w:t>
      </w:r>
      <w:r w:rsidR="009578DE" w:rsidRPr="000E5487">
        <w:rPr>
          <w:rFonts w:ascii="Times New Roman" w:eastAsia="Calibri" w:hAnsi="Times New Roman"/>
          <w:color w:val="000000"/>
          <w:szCs w:val="24"/>
          <w:lang w:eastAsia="en-US"/>
        </w:rPr>
        <w:fldChar w:fldCharType="begin" w:fldLock="1"/>
      </w:r>
      <w:r w:rsidR="00823B5C">
        <w:rPr>
          <w:rFonts w:ascii="Times New Roman" w:eastAsia="Calibri" w:hAnsi="Times New Roman"/>
          <w:color w:val="000000"/>
          <w:szCs w:val="24"/>
          <w:lang w:eastAsia="en-US"/>
        </w:rPr>
        <w:instrText>ADDIN CSL_CITATION {"citationItems":[{"id":"ITEM-1","itemData":{"DOI":"10.1016/j.cpa.2013.03.005","ISBN":"1045-2354","ISSN":"10959955","abstract":"We investigate the translation and application of global accounting standards in a local context, with Romania as our country case study. Our theoretical framework is derived from institutional theory. We develop this by complementing isomorphism (. DiMaggio and Powell, 1983) with an emphasis on the behavior of actors and with the different strategic responses that organizations enact as a result of the institutional pressures toward conformity, following Oliver (1991). We contend that local actors play a more important role in triggering organizational responses than is implied by Oliver's (1991) framework in the application of International Financial Reporting Standards (IFRS). This is because organizational responses to these global standards are conditioned by the interplay between actors, who are searching for legitimacy and the attainment of their own (mutually conflicting) interests.Contrary to earlier institutional propositions, we find that acquiescence strategies may occur even when there is a great degree of constituent multiplicity, and that avoidance may occur in entities with a smaller degree of multiplicity. We thus argue that countries are not homogeneous in terms of accounting practices. Finally we suggest that intra-organizational interests and actions are important for IFRS implementation, and future research should investigate this in depth.","author":[{"dropping-particle":"","family":"Albu","given":"Cătălin Nicolae","non-dropping-particle":"","parse-names":false,"suffix":""},{"dropping-particle":"","family":"Albu","given":"Nadia","non-dropping-particle":"","parse-names":false,"suffix":""},{"dropping-particle":"","family":"Alexander","given":"David","non-dropping-particle":"","parse-names":false,"suffix":""}],"container-title":"Critical Perspectives on Accounting","id":"ITEM-1","issue":"6","issued":{"date-parts":[["2014"]]},"page":"489-510","title":"When global accounting standards meet the local context-Insights from an emerging economy","type":"article-journal","volume":"25"},"uris":["http://www.mendeley.com/documents/?uuid=18f3c0cf-2c31-4694-bd9e-280d5b75d5a0"]}],"mendeley":{"formattedCitation":"(ALBU; ALBU; ALEXANDER, 2014)","manualFormatting":"Albu, Albu e Alexander (2014)","plainTextFormattedCitation":"(ALBU; ALBU; ALEXANDER, 2014)","previouslyFormattedCitation":"(ALBU; ALBU; ALEXANDER, 2014)"},"properties":{"noteIndex":0},"schema":"https://github.com/citation-style-language/schema/raw/master/csl-citation.json"}</w:instrText>
      </w:r>
      <w:r w:rsidR="009578DE" w:rsidRPr="000E5487">
        <w:rPr>
          <w:rFonts w:ascii="Times New Roman" w:eastAsia="Calibri" w:hAnsi="Times New Roman"/>
          <w:color w:val="000000"/>
          <w:szCs w:val="24"/>
          <w:lang w:eastAsia="en-US"/>
        </w:rPr>
        <w:fldChar w:fldCharType="separate"/>
      </w:r>
      <w:r w:rsidR="00823B5C" w:rsidRPr="00823B5C">
        <w:rPr>
          <w:rFonts w:ascii="Times New Roman" w:eastAsia="Calibri" w:hAnsi="Times New Roman"/>
          <w:noProof/>
          <w:color w:val="000000"/>
          <w:szCs w:val="24"/>
          <w:lang w:eastAsia="en-US"/>
        </w:rPr>
        <w:t>Albu</w:t>
      </w:r>
      <w:r w:rsidR="00823B5C">
        <w:rPr>
          <w:rFonts w:ascii="Times New Roman" w:eastAsia="Calibri" w:hAnsi="Times New Roman"/>
          <w:noProof/>
          <w:color w:val="000000"/>
          <w:szCs w:val="24"/>
          <w:lang w:eastAsia="en-US"/>
        </w:rPr>
        <w:t>, Albu e</w:t>
      </w:r>
      <w:r w:rsidR="00823B5C" w:rsidRPr="00823B5C">
        <w:rPr>
          <w:rFonts w:ascii="Times New Roman" w:eastAsia="Calibri" w:hAnsi="Times New Roman"/>
          <w:noProof/>
          <w:color w:val="000000"/>
          <w:szCs w:val="24"/>
          <w:lang w:eastAsia="en-US"/>
        </w:rPr>
        <w:t xml:space="preserve"> Alexander </w:t>
      </w:r>
      <w:r w:rsidR="00823B5C">
        <w:rPr>
          <w:rFonts w:ascii="Times New Roman" w:eastAsia="Calibri" w:hAnsi="Times New Roman"/>
          <w:noProof/>
          <w:color w:val="000000"/>
          <w:szCs w:val="24"/>
          <w:lang w:eastAsia="en-US"/>
        </w:rPr>
        <w:t>(</w:t>
      </w:r>
      <w:r w:rsidR="00823B5C" w:rsidRPr="00823B5C">
        <w:rPr>
          <w:rFonts w:ascii="Times New Roman" w:eastAsia="Calibri" w:hAnsi="Times New Roman"/>
          <w:noProof/>
          <w:color w:val="000000"/>
          <w:szCs w:val="24"/>
          <w:lang w:eastAsia="en-US"/>
        </w:rPr>
        <w:t>2014)</w:t>
      </w:r>
      <w:r w:rsidR="009578DE" w:rsidRPr="000E5487">
        <w:rPr>
          <w:rFonts w:ascii="Times New Roman" w:eastAsia="Calibri" w:hAnsi="Times New Roman"/>
          <w:color w:val="000000"/>
          <w:szCs w:val="24"/>
          <w:lang w:eastAsia="en-US"/>
        </w:rPr>
        <w:fldChar w:fldCharType="end"/>
      </w:r>
      <w:r w:rsidR="009578DE" w:rsidRPr="000E5487">
        <w:rPr>
          <w:rFonts w:ascii="Times New Roman" w:eastAsia="Calibri" w:hAnsi="Times New Roman"/>
          <w:color w:val="000000"/>
          <w:szCs w:val="24"/>
          <w:lang w:eastAsia="en-US"/>
        </w:rPr>
        <w:t xml:space="preserve"> </w:t>
      </w:r>
      <w:r w:rsidR="00600FCC">
        <w:rPr>
          <w:rFonts w:ascii="Times New Roman" w:eastAsia="Calibri" w:hAnsi="Times New Roman"/>
          <w:color w:val="000000"/>
          <w:szCs w:val="24"/>
          <w:lang w:eastAsia="en-US"/>
        </w:rPr>
        <w:t xml:space="preserve">e </w:t>
      </w:r>
      <w:r w:rsidR="00600FCC" w:rsidRPr="000E5487">
        <w:rPr>
          <w:rFonts w:ascii="Times New Roman" w:eastAsia="Calibri" w:hAnsi="Times New Roman"/>
          <w:color w:val="000000"/>
          <w:szCs w:val="24"/>
          <w:lang w:eastAsia="en-US"/>
        </w:rPr>
        <w:fldChar w:fldCharType="begin" w:fldLock="1"/>
      </w:r>
      <w:r w:rsidR="001154CF">
        <w:rPr>
          <w:rFonts w:ascii="Times New Roman" w:eastAsia="Calibri" w:hAnsi="Times New Roman"/>
          <w:color w:val="000000"/>
          <w:szCs w:val="24"/>
          <w:lang w:eastAsia="en-US"/>
        </w:rPr>
        <w:instrText>ADDIN CSL_CITATION {"citationItems":[{"id":"ITEM-1","itemData":{"DOI":"10.1016/j.intaccaudtax.2004.09.002","ISBN":"10619518","ISSN":"10619518","abstract":"The International Accounting Standards Board (IASB) acquired greater legitimacy and stature when the European Union (EU) decided to require all listed companies to prepare consolidated accounts based on International Financial Reporting Standards (IFRS) beginning in 2005. This study examines the progress and perceived impediments to convergence in 17 European countries directly affected by the EU's decision. These include: (1) the 10 new EU member countries, (2) EU candidate countries, (3) European Economic Area (EEA) countries, and (4) Switzerland. We utilize data collected by the six largest international accounting firms during their 2002 convergence survey. Additionally, we analyze subsequent events and studies. While all surveyed countries will either require or effectively allow listed companies to prepare consolidated financial statements in accordance with IFRS by 2005, few are expected to require IFRS for non-listed companies. This suggests the development of a \"two-standard\" system. The two most significant impediments to convergence identified by the survey appear to be the complicated nature of particular IFRS (including financial instruments) and the tax-orientation of many national accounting systems. Other barriers to convergence include underdeveloped national capital markets, insufficient guidance on first-time application of IFRS, and limited experience with certain types of transactions (e.g. pensions). © 2004 Elsevier Inc. All rights reserved.","author":[{"dropping-particle":"","family":"Larson","given":"Robert K.","non-dropping-particle":"","parse-names":false,"suffix":""},{"dropping-particle":"","family":"Street","given":"Donna L.","non-dropping-particle":"","parse-names":false,"suffix":""}],"container-title":"Journal of International Accounting, Auditing and Taxation","id":"ITEM-1","issue":"2","issued":{"date-parts":[["2004"]]},"page":"89-119","title":"Convergence with IFRS in an expanding Europe: Progress and obstacles identified by large accounting firms' survey","type":"article-journal","volume":"13"},"uris":["http://www.mendeley.com/documents/?uuid=dff3d5a5-4723-4db0-ac3a-188a7d63882a"]}],"mendeley":{"formattedCitation":"(LARSON; STREET, 2004)","manualFormatting":"Larson e Street (2004)","plainTextFormattedCitation":"(LARSON; STREET, 2004)","previouslyFormattedCitation":"(LARSON; STREET, 2004)"},"properties":{"noteIndex":0},"schema":"https://github.com/citation-style-language/schema/raw/master/csl-citation.json"}</w:instrText>
      </w:r>
      <w:r w:rsidR="00600FCC" w:rsidRPr="000E5487">
        <w:rPr>
          <w:rFonts w:ascii="Times New Roman" w:eastAsia="Calibri" w:hAnsi="Times New Roman"/>
          <w:color w:val="000000"/>
          <w:szCs w:val="24"/>
          <w:lang w:eastAsia="en-US"/>
        </w:rPr>
        <w:fldChar w:fldCharType="separate"/>
      </w:r>
      <w:r w:rsidR="00600FCC" w:rsidRPr="000E5487">
        <w:rPr>
          <w:rFonts w:ascii="Times New Roman" w:eastAsia="Calibri" w:hAnsi="Times New Roman"/>
          <w:noProof/>
          <w:color w:val="000000"/>
          <w:szCs w:val="24"/>
          <w:lang w:eastAsia="en-US"/>
        </w:rPr>
        <w:t xml:space="preserve">Larson e Street </w:t>
      </w:r>
      <w:r w:rsidR="00600FCC">
        <w:rPr>
          <w:rFonts w:ascii="Times New Roman" w:eastAsia="Calibri" w:hAnsi="Times New Roman"/>
          <w:noProof/>
          <w:color w:val="000000"/>
          <w:szCs w:val="24"/>
          <w:lang w:eastAsia="en-US"/>
        </w:rPr>
        <w:t>(</w:t>
      </w:r>
      <w:r w:rsidR="00600FCC" w:rsidRPr="000E5487">
        <w:rPr>
          <w:rFonts w:ascii="Times New Roman" w:eastAsia="Calibri" w:hAnsi="Times New Roman"/>
          <w:noProof/>
          <w:color w:val="000000"/>
          <w:szCs w:val="24"/>
          <w:lang w:eastAsia="en-US"/>
        </w:rPr>
        <w:t>2004)</w:t>
      </w:r>
      <w:r w:rsidR="00600FCC" w:rsidRPr="000E5487">
        <w:rPr>
          <w:rFonts w:ascii="Times New Roman" w:eastAsia="Calibri" w:hAnsi="Times New Roman"/>
          <w:color w:val="000000"/>
          <w:szCs w:val="24"/>
          <w:lang w:eastAsia="en-US"/>
        </w:rPr>
        <w:fldChar w:fldCharType="end"/>
      </w:r>
      <w:r w:rsidR="00600FCC">
        <w:rPr>
          <w:rFonts w:ascii="Times New Roman" w:eastAsia="Calibri" w:hAnsi="Times New Roman"/>
          <w:color w:val="000000"/>
          <w:szCs w:val="24"/>
          <w:lang w:eastAsia="en-US"/>
        </w:rPr>
        <w:t xml:space="preserve"> </w:t>
      </w:r>
      <w:r w:rsidR="009578DE" w:rsidRPr="000E5487">
        <w:rPr>
          <w:rFonts w:ascii="Times New Roman" w:eastAsia="Calibri" w:hAnsi="Times New Roman"/>
          <w:color w:val="000000"/>
          <w:szCs w:val="24"/>
          <w:lang w:eastAsia="en-US"/>
        </w:rPr>
        <w:t xml:space="preserve">sobre a importância dos profissionais contábeis como atores locais </w:t>
      </w:r>
      <w:r w:rsidR="00344415" w:rsidRPr="000E5487">
        <w:rPr>
          <w:rFonts w:ascii="Times New Roman" w:eastAsia="Calibri" w:hAnsi="Times New Roman"/>
          <w:color w:val="000000"/>
          <w:szCs w:val="24"/>
          <w:lang w:eastAsia="en-US"/>
        </w:rPr>
        <w:t>na</w:t>
      </w:r>
      <w:r w:rsidR="009578DE" w:rsidRPr="000E5487">
        <w:rPr>
          <w:rFonts w:ascii="Times New Roman" w:eastAsia="Calibri" w:hAnsi="Times New Roman"/>
          <w:color w:val="000000"/>
          <w:szCs w:val="24"/>
          <w:lang w:eastAsia="en-US"/>
        </w:rPr>
        <w:t xml:space="preserve"> explica</w:t>
      </w:r>
      <w:r w:rsidR="00344415" w:rsidRPr="000E5487">
        <w:rPr>
          <w:rFonts w:ascii="Times New Roman" w:eastAsia="Calibri" w:hAnsi="Times New Roman"/>
          <w:color w:val="000000"/>
          <w:szCs w:val="24"/>
          <w:lang w:eastAsia="en-US"/>
        </w:rPr>
        <w:t>ção d</w:t>
      </w:r>
      <w:r w:rsidR="009578DE" w:rsidRPr="000E5487">
        <w:rPr>
          <w:rFonts w:ascii="Times New Roman" w:eastAsia="Calibri" w:hAnsi="Times New Roman"/>
          <w:color w:val="000000"/>
          <w:szCs w:val="24"/>
          <w:lang w:eastAsia="en-US"/>
        </w:rPr>
        <w:t>as escolhas contábeis.</w:t>
      </w:r>
    </w:p>
    <w:p w:rsidR="00F52BE1" w:rsidRPr="000E5487" w:rsidRDefault="00DA08B6" w:rsidP="00B747D7">
      <w:pPr>
        <w:pBdr>
          <w:top w:val="nil"/>
          <w:left w:val="nil"/>
          <w:bottom w:val="nil"/>
          <w:right w:val="nil"/>
          <w:between w:val="nil"/>
          <w:bar w:val="nil"/>
        </w:pBdr>
        <w:spacing w:after="0" w:line="240" w:lineRule="auto"/>
        <w:ind w:firstLine="709"/>
        <w:jc w:val="both"/>
        <w:rPr>
          <w:rFonts w:ascii="Times New Roman" w:eastAsia="Calibri" w:hAnsi="Times New Roman"/>
          <w:color w:val="000000"/>
          <w:szCs w:val="24"/>
          <w:lang w:eastAsia="en-US"/>
        </w:rPr>
      </w:pPr>
      <w:r w:rsidRPr="000E5487">
        <w:rPr>
          <w:rFonts w:ascii="Times New Roman" w:eastAsia="Calibri" w:hAnsi="Times New Roman"/>
          <w:color w:val="000000"/>
          <w:szCs w:val="24"/>
          <w:lang w:eastAsia="en-US"/>
        </w:rPr>
        <w:t xml:space="preserve">Os resultados e </w:t>
      </w:r>
      <w:r w:rsidR="006E39B5" w:rsidRPr="000E5487">
        <w:rPr>
          <w:rFonts w:ascii="Times New Roman" w:eastAsia="Calibri" w:hAnsi="Times New Roman"/>
          <w:color w:val="000000"/>
          <w:szCs w:val="24"/>
          <w:lang w:eastAsia="en-US"/>
        </w:rPr>
        <w:t xml:space="preserve">constatações </w:t>
      </w:r>
      <w:r w:rsidRPr="000E5487">
        <w:rPr>
          <w:rFonts w:ascii="Times New Roman" w:eastAsia="Calibri" w:hAnsi="Times New Roman"/>
          <w:color w:val="000000"/>
          <w:szCs w:val="24"/>
          <w:lang w:eastAsia="en-US"/>
        </w:rPr>
        <w:t xml:space="preserve">aqui expostos são limitados à amostra obtida, contudo, </w:t>
      </w:r>
      <w:r w:rsidR="003F5E15" w:rsidRPr="000E5487">
        <w:rPr>
          <w:rFonts w:ascii="Times New Roman" w:eastAsia="Calibri" w:hAnsi="Times New Roman"/>
          <w:color w:val="000000"/>
          <w:szCs w:val="24"/>
          <w:lang w:eastAsia="en-US"/>
        </w:rPr>
        <w:t>considera-se que os profissionais participantes, por</w:t>
      </w:r>
      <w:r w:rsidRPr="000E5487">
        <w:rPr>
          <w:rFonts w:ascii="Times New Roman" w:eastAsia="Calibri" w:hAnsi="Times New Roman"/>
          <w:color w:val="000000"/>
          <w:szCs w:val="24"/>
          <w:lang w:eastAsia="en-US"/>
        </w:rPr>
        <w:t xml:space="preserve"> responderem dire</w:t>
      </w:r>
      <w:r w:rsidR="00823B5C">
        <w:rPr>
          <w:rFonts w:ascii="Times New Roman" w:eastAsia="Calibri" w:hAnsi="Times New Roman"/>
          <w:color w:val="000000"/>
          <w:szCs w:val="24"/>
          <w:lang w:eastAsia="en-US"/>
        </w:rPr>
        <w:t>tamente pela aplicação da IAS 41</w:t>
      </w:r>
      <w:r w:rsidRPr="000E5487">
        <w:rPr>
          <w:rFonts w:ascii="Times New Roman" w:eastAsia="Calibri" w:hAnsi="Times New Roman"/>
          <w:color w:val="000000"/>
          <w:szCs w:val="24"/>
          <w:lang w:eastAsia="en-US"/>
        </w:rPr>
        <w:t xml:space="preserve"> na prática das empresas sucroenergéticas, possuem as características necessárias para atender aos objetivos deste estudo. Investigações tipo </w:t>
      </w:r>
      <w:r w:rsidRPr="000E5487">
        <w:rPr>
          <w:rFonts w:ascii="Times New Roman" w:eastAsia="Calibri" w:hAnsi="Times New Roman"/>
          <w:i/>
          <w:color w:val="000000"/>
          <w:szCs w:val="24"/>
          <w:lang w:eastAsia="en-US"/>
        </w:rPr>
        <w:t>survey</w:t>
      </w:r>
      <w:r w:rsidRPr="000E5487">
        <w:rPr>
          <w:rFonts w:ascii="Times New Roman" w:eastAsia="Calibri" w:hAnsi="Times New Roman"/>
          <w:color w:val="000000"/>
          <w:szCs w:val="24"/>
          <w:lang w:eastAsia="en-US"/>
        </w:rPr>
        <w:t xml:space="preserve"> estão sujeitas ao viés do respondente, sendo esta uma limitação deste estudo.</w:t>
      </w:r>
      <w:r w:rsidR="00823B5C">
        <w:rPr>
          <w:rFonts w:ascii="Times New Roman" w:eastAsia="Calibri" w:hAnsi="Times New Roman"/>
          <w:color w:val="000000"/>
          <w:szCs w:val="24"/>
          <w:lang w:eastAsia="en-US"/>
        </w:rPr>
        <w:t xml:space="preserve"> </w:t>
      </w:r>
      <w:r w:rsidR="00F52BE1" w:rsidRPr="000E5487">
        <w:rPr>
          <w:rFonts w:ascii="Times New Roman" w:eastAsia="Calibri" w:hAnsi="Times New Roman"/>
          <w:color w:val="000000"/>
          <w:szCs w:val="24"/>
          <w:lang w:eastAsia="en-US"/>
        </w:rPr>
        <w:t xml:space="preserve">Sugere-se que estudos futuros sejam </w:t>
      </w:r>
      <w:r w:rsidR="00723EB2">
        <w:rPr>
          <w:rFonts w:ascii="Times New Roman" w:eastAsia="Calibri" w:hAnsi="Times New Roman"/>
          <w:color w:val="000000"/>
          <w:szCs w:val="24"/>
          <w:lang w:eastAsia="en-US"/>
        </w:rPr>
        <w:t xml:space="preserve">realizados </w:t>
      </w:r>
      <w:r w:rsidR="00F52BE1" w:rsidRPr="000E5487">
        <w:rPr>
          <w:rFonts w:ascii="Times New Roman" w:eastAsia="Calibri" w:hAnsi="Times New Roman"/>
          <w:color w:val="000000"/>
          <w:szCs w:val="24"/>
          <w:lang w:eastAsia="en-US"/>
        </w:rPr>
        <w:t>abor</w:t>
      </w:r>
      <w:r w:rsidR="007B2336" w:rsidRPr="000E5487">
        <w:rPr>
          <w:rFonts w:ascii="Times New Roman" w:eastAsia="Calibri" w:hAnsi="Times New Roman"/>
          <w:color w:val="000000"/>
          <w:szCs w:val="24"/>
          <w:lang w:eastAsia="en-US"/>
        </w:rPr>
        <w:t>d</w:t>
      </w:r>
      <w:r w:rsidR="00823B5C">
        <w:rPr>
          <w:rFonts w:ascii="Times New Roman" w:eastAsia="Calibri" w:hAnsi="Times New Roman"/>
          <w:color w:val="000000"/>
          <w:szCs w:val="24"/>
          <w:lang w:eastAsia="en-US"/>
        </w:rPr>
        <w:t>ando</w:t>
      </w:r>
      <w:r w:rsidR="007B2336" w:rsidRPr="000E5487">
        <w:rPr>
          <w:rFonts w:ascii="Times New Roman" w:eastAsia="Calibri" w:hAnsi="Times New Roman"/>
          <w:color w:val="000000"/>
          <w:szCs w:val="24"/>
          <w:lang w:eastAsia="en-US"/>
        </w:rPr>
        <w:t xml:space="preserve"> </w:t>
      </w:r>
      <w:r w:rsidRPr="000E5487">
        <w:rPr>
          <w:rFonts w:ascii="Times New Roman" w:eastAsia="Calibri" w:hAnsi="Times New Roman"/>
          <w:color w:val="000000"/>
          <w:szCs w:val="24"/>
          <w:lang w:eastAsia="en-US"/>
        </w:rPr>
        <w:t>outros setores da economia</w:t>
      </w:r>
      <w:r w:rsidR="00377286" w:rsidRPr="000E5487">
        <w:rPr>
          <w:rFonts w:ascii="Times New Roman" w:eastAsia="Calibri" w:hAnsi="Times New Roman"/>
          <w:color w:val="000000"/>
          <w:szCs w:val="24"/>
          <w:lang w:eastAsia="en-US"/>
        </w:rPr>
        <w:t>,</w:t>
      </w:r>
      <w:r w:rsidRPr="000E5487">
        <w:rPr>
          <w:rFonts w:ascii="Times New Roman" w:eastAsia="Calibri" w:hAnsi="Times New Roman"/>
          <w:color w:val="000000"/>
          <w:szCs w:val="24"/>
          <w:lang w:eastAsia="en-US"/>
        </w:rPr>
        <w:t xml:space="preserve"> visando ampliar o conhecimento sobre as escolhas contábeis</w:t>
      </w:r>
      <w:r w:rsidR="00600FCC">
        <w:rPr>
          <w:rFonts w:ascii="Times New Roman" w:eastAsia="Calibri" w:hAnsi="Times New Roman"/>
          <w:color w:val="000000"/>
          <w:szCs w:val="24"/>
          <w:lang w:eastAsia="en-US"/>
        </w:rPr>
        <w:t xml:space="preserve"> e a aplicação da IAS 41 no Brasil</w:t>
      </w:r>
      <w:r w:rsidR="00723EB2">
        <w:rPr>
          <w:rFonts w:ascii="Times New Roman" w:eastAsia="Calibri" w:hAnsi="Times New Roman"/>
          <w:color w:val="000000"/>
          <w:szCs w:val="24"/>
          <w:lang w:eastAsia="en-US"/>
        </w:rPr>
        <w:t>, bem como, comparar a realidade brasileira com a de outros países</w:t>
      </w:r>
      <w:r w:rsidR="0094539D">
        <w:rPr>
          <w:rFonts w:ascii="Times New Roman" w:eastAsia="Calibri" w:hAnsi="Times New Roman"/>
          <w:color w:val="000000"/>
          <w:szCs w:val="24"/>
          <w:lang w:eastAsia="en-US"/>
        </w:rPr>
        <w:t>, contribuindo para o avanço da Teoria das Escolhas Cont</w:t>
      </w:r>
      <w:r w:rsidR="00B8566D">
        <w:rPr>
          <w:rFonts w:ascii="Times New Roman" w:eastAsia="Calibri" w:hAnsi="Times New Roman"/>
          <w:color w:val="000000"/>
          <w:szCs w:val="24"/>
          <w:lang w:eastAsia="en-US"/>
        </w:rPr>
        <w:t xml:space="preserve">ábeis </w:t>
      </w:r>
      <w:r w:rsidR="00C7019F">
        <w:rPr>
          <w:rFonts w:ascii="Times New Roman" w:eastAsia="Calibri" w:hAnsi="Times New Roman"/>
          <w:color w:val="000000"/>
          <w:szCs w:val="24"/>
          <w:lang w:eastAsia="en-US"/>
        </w:rPr>
        <w:t xml:space="preserve">e </w:t>
      </w:r>
      <w:r w:rsidR="00B8566D">
        <w:rPr>
          <w:rFonts w:ascii="Times New Roman" w:eastAsia="Calibri" w:hAnsi="Times New Roman"/>
          <w:color w:val="000000"/>
          <w:szCs w:val="24"/>
          <w:lang w:eastAsia="en-US"/>
        </w:rPr>
        <w:t>c</w:t>
      </w:r>
      <w:r w:rsidR="0094539D">
        <w:rPr>
          <w:rFonts w:ascii="Times New Roman" w:eastAsia="Calibri" w:hAnsi="Times New Roman"/>
          <w:color w:val="000000"/>
          <w:szCs w:val="24"/>
          <w:lang w:eastAsia="en-US"/>
        </w:rPr>
        <w:t>onsequentemente da Contabilidade.</w:t>
      </w:r>
    </w:p>
    <w:p w:rsidR="000E211D" w:rsidRPr="000E5487" w:rsidRDefault="000E211D" w:rsidP="00B747D7">
      <w:pPr>
        <w:pBdr>
          <w:top w:val="nil"/>
          <w:left w:val="nil"/>
          <w:bottom w:val="nil"/>
          <w:right w:val="nil"/>
          <w:between w:val="nil"/>
          <w:bar w:val="nil"/>
        </w:pBdr>
        <w:spacing w:after="0" w:line="240" w:lineRule="auto"/>
        <w:ind w:firstLine="709"/>
        <w:jc w:val="both"/>
        <w:rPr>
          <w:rFonts w:ascii="Times New Roman" w:eastAsia="Arial Unicode MS" w:hAnsi="Times New Roman"/>
          <w:szCs w:val="24"/>
          <w:bdr w:val="nil"/>
        </w:rPr>
      </w:pPr>
    </w:p>
    <w:p w:rsidR="0024559F" w:rsidRPr="00712720" w:rsidRDefault="0024559F" w:rsidP="00DA3DBD">
      <w:pPr>
        <w:spacing w:after="120" w:line="240" w:lineRule="auto"/>
        <w:rPr>
          <w:rFonts w:ascii="Times New Roman" w:hAnsi="Times New Roman"/>
          <w:b/>
          <w:szCs w:val="24"/>
          <w:lang w:val="en-US"/>
        </w:rPr>
      </w:pPr>
      <w:r w:rsidRPr="00712720">
        <w:rPr>
          <w:rFonts w:ascii="Times New Roman" w:hAnsi="Times New Roman"/>
          <w:b/>
          <w:szCs w:val="24"/>
          <w:lang w:val="en-US"/>
        </w:rPr>
        <w:t>R</w:t>
      </w:r>
      <w:r w:rsidR="00DA3DBD" w:rsidRPr="00712720">
        <w:rPr>
          <w:rFonts w:ascii="Times New Roman" w:hAnsi="Times New Roman"/>
          <w:b/>
          <w:szCs w:val="24"/>
          <w:lang w:val="en-US"/>
        </w:rPr>
        <w:t>eferências</w:t>
      </w:r>
    </w:p>
    <w:p w:rsidR="009B00E2" w:rsidRPr="00A35883" w:rsidRDefault="001154CF" w:rsidP="009B00E2">
      <w:pPr>
        <w:widowControl w:val="0"/>
        <w:autoSpaceDE w:val="0"/>
        <w:autoSpaceDN w:val="0"/>
        <w:adjustRightInd w:val="0"/>
        <w:spacing w:line="240" w:lineRule="auto"/>
        <w:rPr>
          <w:rFonts w:ascii="Times New Roman" w:hAnsi="Times New Roman"/>
          <w:noProof/>
          <w:szCs w:val="24"/>
          <w:lang w:val="en-US"/>
        </w:rPr>
      </w:pPr>
      <w:r>
        <w:rPr>
          <w:rFonts w:ascii="Times New Roman" w:hAnsi="Times New Roman"/>
          <w:b/>
          <w:szCs w:val="24"/>
          <w:lang w:val="en-US"/>
        </w:rPr>
        <w:fldChar w:fldCharType="begin" w:fldLock="1"/>
      </w:r>
      <w:r>
        <w:rPr>
          <w:rFonts w:ascii="Times New Roman" w:hAnsi="Times New Roman"/>
          <w:b/>
          <w:szCs w:val="24"/>
          <w:lang w:val="en-US"/>
        </w:rPr>
        <w:instrText xml:space="preserve">ADDIN Mendeley Bibliography CSL_BIBLIOGRAPHY </w:instrText>
      </w:r>
      <w:r>
        <w:rPr>
          <w:rFonts w:ascii="Times New Roman" w:hAnsi="Times New Roman"/>
          <w:b/>
          <w:szCs w:val="24"/>
          <w:lang w:val="en-US"/>
        </w:rPr>
        <w:fldChar w:fldCharType="separate"/>
      </w:r>
      <w:r w:rsidR="009B00E2" w:rsidRPr="00A35883">
        <w:rPr>
          <w:rFonts w:ascii="Times New Roman" w:hAnsi="Times New Roman"/>
          <w:noProof/>
          <w:szCs w:val="24"/>
          <w:lang w:val="en-US"/>
        </w:rPr>
        <w:t xml:space="preserve">ALBU, C. N.; ALBU, N.; ALEXANDER, D. When global accounting standards meet the local context-Insights from an emerging economy. </w:t>
      </w:r>
      <w:r w:rsidR="009B00E2" w:rsidRPr="00A35883">
        <w:rPr>
          <w:rFonts w:ascii="Times New Roman" w:hAnsi="Times New Roman"/>
          <w:b/>
          <w:bCs/>
          <w:noProof/>
          <w:szCs w:val="24"/>
          <w:lang w:val="en-US"/>
        </w:rPr>
        <w:t>Critical Perspectives on Accounting</w:t>
      </w:r>
      <w:r w:rsidR="009B00E2" w:rsidRPr="00A35883">
        <w:rPr>
          <w:rFonts w:ascii="Times New Roman" w:hAnsi="Times New Roman"/>
          <w:noProof/>
          <w:szCs w:val="24"/>
          <w:lang w:val="en-US"/>
        </w:rPr>
        <w:t xml:space="preserve">, v. 25, n. 6, p. 489–510, 2014.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ARGILÉS-BOSCH, J. M. et al. Usefulness of fair valuation of biological assets for cash flow prediction. </w:t>
      </w:r>
      <w:r w:rsidRPr="00A35883">
        <w:rPr>
          <w:rFonts w:ascii="Times New Roman" w:hAnsi="Times New Roman"/>
          <w:b/>
          <w:bCs/>
          <w:noProof/>
          <w:szCs w:val="24"/>
          <w:lang w:val="en-US"/>
        </w:rPr>
        <w:t>Spanish Journal of Finance and Accounting</w:t>
      </w:r>
      <w:r w:rsidRPr="00A35883">
        <w:rPr>
          <w:rFonts w:ascii="Times New Roman" w:hAnsi="Times New Roman"/>
          <w:noProof/>
          <w:szCs w:val="24"/>
          <w:lang w:val="en-US"/>
        </w:rPr>
        <w:t xml:space="preserve">, p. 1–24, 2 nov. 2017.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ARGILÉS BOSCH, J. M.; ALIBERCH, A. S.; BLANDÓN, J. G. A comparative study of difficulties in accounting preparation and judgement in agriculture using fair value and historical cost for biological assets valuation. </w:t>
      </w:r>
      <w:r w:rsidRPr="00A35883">
        <w:rPr>
          <w:rFonts w:ascii="Times New Roman" w:hAnsi="Times New Roman"/>
          <w:b/>
          <w:bCs/>
          <w:noProof/>
          <w:szCs w:val="24"/>
          <w:lang w:val="en-US"/>
        </w:rPr>
        <w:t>Revista de Contabilidad - Spanish Accounting Review</w:t>
      </w:r>
      <w:r w:rsidRPr="00A35883">
        <w:rPr>
          <w:rFonts w:ascii="Times New Roman" w:hAnsi="Times New Roman"/>
          <w:noProof/>
          <w:szCs w:val="24"/>
          <w:lang w:val="en-US"/>
        </w:rPr>
        <w:t xml:space="preserve">, v. 15, n. 1, p. 109–142, 2012.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ASSAF NETO, A.; LIMA, F. G.; ARAÚJO, A. M. P. DE. </w:t>
      </w:r>
      <w:r w:rsidRPr="009B00E2">
        <w:rPr>
          <w:rFonts w:ascii="Times New Roman" w:hAnsi="Times New Roman"/>
          <w:noProof/>
          <w:szCs w:val="24"/>
        </w:rPr>
        <w:t xml:space="preserve">Uma proposta metodológica para o cálculo do custo de capital no Brasil. </w:t>
      </w:r>
      <w:r w:rsidRPr="009B00E2">
        <w:rPr>
          <w:rFonts w:ascii="Times New Roman" w:hAnsi="Times New Roman"/>
          <w:b/>
          <w:bCs/>
          <w:noProof/>
          <w:szCs w:val="24"/>
        </w:rPr>
        <w:t>RAUSP – Revista de Administração</w:t>
      </w:r>
      <w:r w:rsidRPr="009B00E2">
        <w:rPr>
          <w:rFonts w:ascii="Times New Roman" w:hAnsi="Times New Roman"/>
          <w:noProof/>
          <w:szCs w:val="24"/>
        </w:rPr>
        <w:t xml:space="preserve">, v. 43, n. 1, p. 72–83, 2008.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BARROS, C. D. C. et al. O Impacto do Valor Justo na Mensuração dos Ativos Biológicos nas Empresas Listadas na BM&amp;FBOVESPA. </w:t>
      </w:r>
      <w:r w:rsidRPr="009B00E2">
        <w:rPr>
          <w:rFonts w:ascii="Times New Roman" w:hAnsi="Times New Roman"/>
          <w:b/>
          <w:bCs/>
          <w:noProof/>
          <w:szCs w:val="24"/>
        </w:rPr>
        <w:t>Revista de Contabilidade do Mestrado em Ciências Contábeis da UERJ</w:t>
      </w:r>
      <w:r w:rsidRPr="009B00E2">
        <w:rPr>
          <w:rFonts w:ascii="Times New Roman" w:hAnsi="Times New Roman"/>
          <w:noProof/>
          <w:szCs w:val="24"/>
        </w:rPr>
        <w:t xml:space="preserve">, v. 17, n. 3, p. 41–59, 2012.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BARTH, M. E. et al. Are IFRS-based and US GAAP-based accounting amounts comparable? </w:t>
      </w:r>
      <w:r w:rsidRPr="00A35883">
        <w:rPr>
          <w:rFonts w:ascii="Times New Roman" w:hAnsi="Times New Roman"/>
          <w:b/>
          <w:bCs/>
          <w:noProof/>
          <w:szCs w:val="24"/>
          <w:lang w:val="en-US"/>
        </w:rPr>
        <w:t>Journal of Accounting and Economics</w:t>
      </w:r>
      <w:r w:rsidRPr="00A35883">
        <w:rPr>
          <w:rFonts w:ascii="Times New Roman" w:hAnsi="Times New Roman"/>
          <w:noProof/>
          <w:szCs w:val="24"/>
          <w:lang w:val="en-US"/>
        </w:rPr>
        <w:t xml:space="preserve">, v. 54, n. 1, p. 68–93, 2012.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BAYERLEIN, L.; AL FAROOQUE, O. Influence of a mandatory IFRS adoption on accounting practice. </w:t>
      </w:r>
      <w:r w:rsidRPr="00A35883">
        <w:rPr>
          <w:rFonts w:ascii="Times New Roman" w:hAnsi="Times New Roman"/>
          <w:b/>
          <w:bCs/>
          <w:noProof/>
          <w:szCs w:val="24"/>
          <w:lang w:val="en-US"/>
        </w:rPr>
        <w:t>Asian Review of Accounting</w:t>
      </w:r>
      <w:r w:rsidRPr="00A35883">
        <w:rPr>
          <w:rFonts w:ascii="Times New Roman" w:hAnsi="Times New Roman"/>
          <w:noProof/>
          <w:szCs w:val="24"/>
          <w:lang w:val="en-US"/>
        </w:rPr>
        <w:t xml:space="preserve">, v. 20, n. 2, p. 93–118, 2012.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BLANK, F. F. et al. </w:t>
      </w:r>
      <w:r w:rsidRPr="009B00E2">
        <w:rPr>
          <w:rFonts w:ascii="Times New Roman" w:hAnsi="Times New Roman"/>
          <w:noProof/>
          <w:szCs w:val="24"/>
        </w:rPr>
        <w:t xml:space="preserve">CAPM Condicional: Betas Variantes no Tempo no Mercado Brasileiro. </w:t>
      </w:r>
      <w:r w:rsidRPr="00A35883">
        <w:rPr>
          <w:rFonts w:ascii="Times New Roman" w:hAnsi="Times New Roman"/>
          <w:b/>
          <w:bCs/>
          <w:noProof/>
          <w:szCs w:val="24"/>
          <w:lang w:val="en-US"/>
        </w:rPr>
        <w:t>Revista Brasileira de Finanças</w:t>
      </w:r>
      <w:r w:rsidRPr="00A35883">
        <w:rPr>
          <w:rFonts w:ascii="Times New Roman" w:hAnsi="Times New Roman"/>
          <w:noProof/>
          <w:szCs w:val="24"/>
          <w:lang w:val="en-US"/>
        </w:rPr>
        <w:t xml:space="preserve">, v. 12, n. 2, p. 163–199, 2014.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BOHUŠOVÁ, H.; SVOBODA, P. Biological Assets: In What Way should be Measured by SMEs? </w:t>
      </w:r>
      <w:r w:rsidRPr="009B00E2">
        <w:rPr>
          <w:rFonts w:ascii="Times New Roman" w:hAnsi="Times New Roman"/>
          <w:b/>
          <w:bCs/>
          <w:noProof/>
          <w:szCs w:val="24"/>
        </w:rPr>
        <w:t>Procedia - Social and Behavioral Sciences</w:t>
      </w:r>
      <w:r w:rsidRPr="009B00E2">
        <w:rPr>
          <w:rFonts w:ascii="Times New Roman" w:hAnsi="Times New Roman"/>
          <w:noProof/>
          <w:szCs w:val="24"/>
        </w:rPr>
        <w:t xml:space="preserve">, v. 220, p. 62–69, 2016.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BOTINHA, R. A.; LEMES, S. Comparabilidade das Escolhas Contábeis em Propriedades para Investimentos de Empresas Listadas na BM&amp;FBOVESPA e NYSE. </w:t>
      </w:r>
      <w:r w:rsidRPr="009B00E2">
        <w:rPr>
          <w:rFonts w:ascii="Times New Roman" w:hAnsi="Times New Roman"/>
          <w:b/>
          <w:bCs/>
          <w:noProof/>
          <w:szCs w:val="24"/>
        </w:rPr>
        <w:t>Contabilidade, Gestão e Governança</w:t>
      </w:r>
      <w:r w:rsidRPr="009B00E2">
        <w:rPr>
          <w:rFonts w:ascii="Times New Roman" w:hAnsi="Times New Roman"/>
          <w:noProof/>
          <w:szCs w:val="24"/>
        </w:rPr>
        <w:t xml:space="preserve">, v. 20, n. 1, p. 113–132, 20 abr. 2017.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CAIRNS, D. et al. </w:t>
      </w:r>
      <w:r w:rsidRPr="00A35883">
        <w:rPr>
          <w:rFonts w:ascii="Times New Roman" w:hAnsi="Times New Roman"/>
          <w:noProof/>
          <w:szCs w:val="24"/>
          <w:lang w:val="en-US"/>
        </w:rPr>
        <w:t xml:space="preserve">IFRS fair value measurement and accounting policy choice in the United Kingdom and Australia. </w:t>
      </w:r>
      <w:r w:rsidRPr="00A35883">
        <w:rPr>
          <w:rFonts w:ascii="Times New Roman" w:hAnsi="Times New Roman"/>
          <w:b/>
          <w:bCs/>
          <w:noProof/>
          <w:szCs w:val="24"/>
          <w:lang w:val="en-US"/>
        </w:rPr>
        <w:t>British Accounting Review</w:t>
      </w:r>
      <w:r w:rsidRPr="00A35883">
        <w:rPr>
          <w:rFonts w:ascii="Times New Roman" w:hAnsi="Times New Roman"/>
          <w:noProof/>
          <w:szCs w:val="24"/>
          <w:lang w:val="en-US"/>
        </w:rPr>
        <w:t xml:space="preserve">, v. 43, n. 1, p. 1–21, 2011.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CHRISTENSEN, H. B.; NIKOLAEV, V. V. Does fair value accounting for non-financial assets pass the market test? </w:t>
      </w:r>
      <w:r w:rsidRPr="00A35883">
        <w:rPr>
          <w:rFonts w:ascii="Times New Roman" w:hAnsi="Times New Roman"/>
          <w:b/>
          <w:bCs/>
          <w:noProof/>
          <w:szCs w:val="24"/>
          <w:lang w:val="en-US"/>
        </w:rPr>
        <w:t>Review of Accounting Studies</w:t>
      </w:r>
      <w:r w:rsidRPr="00A35883">
        <w:rPr>
          <w:rFonts w:ascii="Times New Roman" w:hAnsi="Times New Roman"/>
          <w:noProof/>
          <w:szCs w:val="24"/>
          <w:lang w:val="en-US"/>
        </w:rPr>
        <w:t xml:space="preserve">, v. 18, n. 3, p. 734–775, 2013.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CIESLEWICZ, J. K. Relationships between national economic culture, institutions, and accounting: Implications for IFRS. </w:t>
      </w:r>
      <w:r w:rsidRPr="009B00E2">
        <w:rPr>
          <w:rFonts w:ascii="Times New Roman" w:hAnsi="Times New Roman"/>
          <w:b/>
          <w:bCs/>
          <w:noProof/>
          <w:szCs w:val="24"/>
        </w:rPr>
        <w:t>Critical Perspectives on Accounting</w:t>
      </w:r>
      <w:r w:rsidRPr="009B00E2">
        <w:rPr>
          <w:rFonts w:ascii="Times New Roman" w:hAnsi="Times New Roman"/>
          <w:noProof/>
          <w:szCs w:val="24"/>
        </w:rPr>
        <w:t xml:space="preserve">, v. 25, n. 6, p. 511–528, 2014.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CONAB, C. N. DE A. </w:t>
      </w:r>
      <w:r w:rsidRPr="009B00E2">
        <w:rPr>
          <w:rFonts w:ascii="Times New Roman" w:hAnsi="Times New Roman"/>
          <w:b/>
          <w:bCs/>
          <w:noProof/>
          <w:szCs w:val="24"/>
        </w:rPr>
        <w:t>Séries históricas - cana-de-açúcar</w:t>
      </w:r>
      <w:r w:rsidRPr="009B00E2">
        <w:rPr>
          <w:rFonts w:ascii="Times New Roman" w:hAnsi="Times New Roman"/>
          <w:noProof/>
          <w:szCs w:val="24"/>
        </w:rPr>
        <w:t xml:space="preserve">. Disponível em: &lt;http://www.conab.gov.br&gt;. Acesso em: 12 out. 2018.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CPC, C. DE P. C. </w:t>
      </w:r>
      <w:r w:rsidRPr="009B00E2">
        <w:rPr>
          <w:rFonts w:ascii="Times New Roman" w:hAnsi="Times New Roman"/>
          <w:b/>
          <w:bCs/>
          <w:noProof/>
          <w:szCs w:val="24"/>
        </w:rPr>
        <w:t>CPC 29 - Ativo Biológico e Produto Agrícola</w:t>
      </w:r>
      <w:r w:rsidRPr="009B00E2">
        <w:rPr>
          <w:rFonts w:ascii="Times New Roman" w:hAnsi="Times New Roman"/>
          <w:noProof/>
          <w:szCs w:val="24"/>
        </w:rPr>
        <w:t xml:space="preserve">. Disponível em: &lt;http://www.cpc.org.br/CPC/Documentos-Emitidos/Pronunciamentos/Pronunciamento?Id=60&gt;. </w:t>
      </w:r>
      <w:r w:rsidRPr="00A35883">
        <w:rPr>
          <w:rFonts w:ascii="Times New Roman" w:hAnsi="Times New Roman"/>
          <w:noProof/>
          <w:szCs w:val="24"/>
          <w:lang w:val="en-US"/>
        </w:rPr>
        <w:t xml:space="preserve">Acesso em: 10 dez. 2016.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ECKEL, L.; FORTIN, S.; FISHER, K. The Choice of Discount Rate for External Reporting Purposes: Considerations for Standard Setting. </w:t>
      </w:r>
      <w:r w:rsidRPr="00A35883">
        <w:rPr>
          <w:rFonts w:ascii="Times New Roman" w:hAnsi="Times New Roman"/>
          <w:b/>
          <w:bCs/>
          <w:noProof/>
          <w:szCs w:val="24"/>
          <w:lang w:val="en-US"/>
        </w:rPr>
        <w:t>Accounting Forum</w:t>
      </w:r>
      <w:r w:rsidRPr="00A35883">
        <w:rPr>
          <w:rFonts w:ascii="Times New Roman" w:hAnsi="Times New Roman"/>
          <w:noProof/>
          <w:szCs w:val="24"/>
          <w:lang w:val="en-US"/>
        </w:rPr>
        <w:t xml:space="preserve">, v. 27, p. 28–59, 2003.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FIELDS, T. D.; LYS, T. Z.; VINCENT, L. Empirical research on accounting choice. </w:t>
      </w:r>
      <w:r w:rsidRPr="00A35883">
        <w:rPr>
          <w:rFonts w:ascii="Times New Roman" w:hAnsi="Times New Roman"/>
          <w:b/>
          <w:bCs/>
          <w:noProof/>
          <w:szCs w:val="24"/>
          <w:lang w:val="en-US"/>
        </w:rPr>
        <w:t>Journal of Accounting and Economics</w:t>
      </w:r>
      <w:r w:rsidRPr="00A35883">
        <w:rPr>
          <w:rFonts w:ascii="Times New Roman" w:hAnsi="Times New Roman"/>
          <w:noProof/>
          <w:szCs w:val="24"/>
          <w:lang w:val="en-US"/>
        </w:rPr>
        <w:t xml:space="preserve">, v. 31, n. 1–3, p. 255–307, 2001.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FISHER, R. A. Statistical Methods for Research Workers. In: CREW, F. A. E.; CUTLER, D. W. (Eds.). . </w:t>
      </w:r>
      <w:r w:rsidRPr="00A35883">
        <w:rPr>
          <w:rFonts w:ascii="Times New Roman" w:hAnsi="Times New Roman"/>
          <w:b/>
          <w:bCs/>
          <w:noProof/>
          <w:szCs w:val="24"/>
          <w:lang w:val="en-US"/>
        </w:rPr>
        <w:t>Biological Monographs And Manuals</w:t>
      </w:r>
      <w:r w:rsidRPr="00A35883">
        <w:rPr>
          <w:rFonts w:ascii="Times New Roman" w:hAnsi="Times New Roman"/>
          <w:noProof/>
          <w:szCs w:val="24"/>
          <w:lang w:val="en-US"/>
        </w:rPr>
        <w:t xml:space="preserve">. 5. ed. Londres: Oliver &amp; Boyd, 1934. p. 316.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FRANCIS, J. Discussion of empirical research on accounting choice. </w:t>
      </w:r>
      <w:r w:rsidRPr="009B00E2">
        <w:rPr>
          <w:rFonts w:ascii="Times New Roman" w:hAnsi="Times New Roman"/>
          <w:b/>
          <w:bCs/>
          <w:noProof/>
          <w:szCs w:val="24"/>
        </w:rPr>
        <w:t>Journal of Accounting and Economics</w:t>
      </w:r>
      <w:r w:rsidRPr="009B00E2">
        <w:rPr>
          <w:rFonts w:ascii="Times New Roman" w:hAnsi="Times New Roman"/>
          <w:noProof/>
          <w:szCs w:val="24"/>
        </w:rPr>
        <w:t xml:space="preserve">, v. 31, n. 1–3, p. 309–319, 2001.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GANASSIN, E. J. F.; RODRIGUES, F. F.; BORGES, T. J. G. Mensuração de Ativos Biológicos e a observância do IAS 41 na América do Sul. </w:t>
      </w:r>
      <w:r w:rsidRPr="00A35883">
        <w:rPr>
          <w:rFonts w:ascii="Times New Roman" w:hAnsi="Times New Roman"/>
          <w:b/>
          <w:bCs/>
          <w:noProof/>
          <w:szCs w:val="24"/>
          <w:lang w:val="en-US"/>
        </w:rPr>
        <w:t>Custos e @gronegócio on line</w:t>
      </w:r>
      <w:r w:rsidRPr="00A35883">
        <w:rPr>
          <w:rFonts w:ascii="Times New Roman" w:hAnsi="Times New Roman"/>
          <w:noProof/>
          <w:szCs w:val="24"/>
          <w:lang w:val="en-US"/>
        </w:rPr>
        <w:t xml:space="preserve">, v. 12, n. 2, p. 333–351, 2016.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GONÇALVES, R.; LOPES, P. Accounting in Agriculture: Disclosure practices of listed firms. </w:t>
      </w:r>
      <w:r w:rsidRPr="00A35883">
        <w:rPr>
          <w:rFonts w:ascii="Times New Roman" w:hAnsi="Times New Roman"/>
          <w:b/>
          <w:bCs/>
          <w:noProof/>
          <w:szCs w:val="24"/>
          <w:lang w:val="en-US"/>
        </w:rPr>
        <w:t>FEP Working Papers</w:t>
      </w:r>
      <w:r w:rsidRPr="00A35883">
        <w:rPr>
          <w:rFonts w:ascii="Times New Roman" w:hAnsi="Times New Roman"/>
          <w:noProof/>
          <w:szCs w:val="24"/>
          <w:lang w:val="en-US"/>
        </w:rPr>
        <w:t xml:space="preserve">, n. 530, p. 1–34, 2015.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GONÇALVES, R.; LOPES, P.; CRAIG, R. Value relevance of biological assets under IFRS. </w:t>
      </w:r>
      <w:r w:rsidRPr="00A35883">
        <w:rPr>
          <w:rFonts w:ascii="Times New Roman" w:hAnsi="Times New Roman"/>
          <w:b/>
          <w:bCs/>
          <w:noProof/>
          <w:szCs w:val="24"/>
          <w:lang w:val="en-US"/>
        </w:rPr>
        <w:t>Journal of International Accounting, Auditing and Taxation</w:t>
      </w:r>
      <w:r w:rsidRPr="00A35883">
        <w:rPr>
          <w:rFonts w:ascii="Times New Roman" w:hAnsi="Times New Roman"/>
          <w:noProof/>
          <w:szCs w:val="24"/>
          <w:lang w:val="en-US"/>
        </w:rPr>
        <w:t xml:space="preserve">, v. 29, n. October, p. 118–126, 2017.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GRAHAM, J. R.; HARVEY, C. R. The theory and practice of corporate finance: evidence from the field. </w:t>
      </w:r>
      <w:r w:rsidRPr="009B00E2">
        <w:rPr>
          <w:rFonts w:ascii="Times New Roman" w:hAnsi="Times New Roman"/>
          <w:b/>
          <w:bCs/>
          <w:noProof/>
          <w:szCs w:val="24"/>
        </w:rPr>
        <w:t>Journal of Financial Economics</w:t>
      </w:r>
      <w:r w:rsidRPr="009B00E2">
        <w:rPr>
          <w:rFonts w:ascii="Times New Roman" w:hAnsi="Times New Roman"/>
          <w:noProof/>
          <w:szCs w:val="24"/>
        </w:rPr>
        <w:t xml:space="preserve">, v. 60, n. 2–3, p. 187–243, maio 2001.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HOLTZ, L.; ALMEIDA, J. E. F. DE. Estudo sobre a Relevância e a Divulgação dos Ativos Biológicos das Empresas Listadas na BM&amp;FBOVESPA. </w:t>
      </w:r>
      <w:r w:rsidRPr="00A35883">
        <w:rPr>
          <w:rFonts w:ascii="Times New Roman" w:hAnsi="Times New Roman"/>
          <w:b/>
          <w:bCs/>
          <w:noProof/>
          <w:szCs w:val="24"/>
          <w:lang w:val="en-US"/>
        </w:rPr>
        <w:t>Sociedade, Contabilidade e Gestão</w:t>
      </w:r>
      <w:r w:rsidRPr="00A35883">
        <w:rPr>
          <w:rFonts w:ascii="Times New Roman" w:hAnsi="Times New Roman"/>
          <w:noProof/>
          <w:szCs w:val="24"/>
          <w:lang w:val="en-US"/>
        </w:rPr>
        <w:t xml:space="preserve">, v. 8, n. 2, p. 28–46, 2013.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HUFFMAN, A. A. </w:t>
      </w:r>
      <w:r w:rsidRPr="00A35883">
        <w:rPr>
          <w:rFonts w:ascii="Times New Roman" w:hAnsi="Times New Roman"/>
          <w:b/>
          <w:bCs/>
          <w:noProof/>
          <w:szCs w:val="24"/>
          <w:lang w:val="en-US"/>
        </w:rPr>
        <w:t>Asset use and the decision-usefulness of fair value measurement : Evidence from IAS 41</w:t>
      </w:r>
      <w:r w:rsidRPr="00A35883">
        <w:rPr>
          <w:rFonts w:ascii="Times New Roman" w:hAnsi="Times New Roman"/>
          <w:noProof/>
          <w:szCs w:val="24"/>
          <w:lang w:val="en-US"/>
        </w:rPr>
        <w:t xml:space="preserve">. </w:t>
      </w:r>
      <w:r w:rsidRPr="009B00E2">
        <w:rPr>
          <w:rFonts w:ascii="Times New Roman" w:hAnsi="Times New Roman"/>
          <w:noProof/>
          <w:szCs w:val="24"/>
        </w:rPr>
        <w:t xml:space="preserve">Disponível em: &lt;http://dx.doi.org/10.2139/ssrn.2529974&gt;. Acesso em: 20 fev. 2017.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JAAFAR, A.; MCLEAY, S. Country effects and sector effects on the harmonization of accounting policy choice. </w:t>
      </w:r>
      <w:r w:rsidRPr="00A35883">
        <w:rPr>
          <w:rFonts w:ascii="Times New Roman" w:hAnsi="Times New Roman"/>
          <w:b/>
          <w:bCs/>
          <w:noProof/>
          <w:szCs w:val="24"/>
          <w:lang w:val="en-US"/>
        </w:rPr>
        <w:t>Abacus</w:t>
      </w:r>
      <w:r w:rsidRPr="00A35883">
        <w:rPr>
          <w:rFonts w:ascii="Times New Roman" w:hAnsi="Times New Roman"/>
          <w:noProof/>
          <w:szCs w:val="24"/>
          <w:lang w:val="en-US"/>
        </w:rPr>
        <w:t xml:space="preserve">, v. 43, n. 2, p. 156–189, 2007.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JAISWAL, D. et al. Brazilian sugarcane ethanol as an expandable green alternative to crude oil use. </w:t>
      </w:r>
      <w:r w:rsidRPr="00A35883">
        <w:rPr>
          <w:rFonts w:ascii="Times New Roman" w:hAnsi="Times New Roman"/>
          <w:b/>
          <w:bCs/>
          <w:noProof/>
          <w:szCs w:val="24"/>
          <w:lang w:val="en-US"/>
        </w:rPr>
        <w:t>Nature Climate Change</w:t>
      </w:r>
      <w:r w:rsidRPr="00A35883">
        <w:rPr>
          <w:rFonts w:ascii="Times New Roman" w:hAnsi="Times New Roman"/>
          <w:noProof/>
          <w:szCs w:val="24"/>
          <w:lang w:val="en-US"/>
        </w:rPr>
        <w:t xml:space="preserve">, v. October, p. 1–8, 23 out. 2017.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KURNIAWAN, R.; MULAWARMAN, A. D.; KAMAYANTI, A. Biological Assets Valuation Reconstruction: A Critical Study of IAS 41 on Agricultural Accounting in Indonesian Farmers. </w:t>
      </w:r>
      <w:r w:rsidRPr="00A35883">
        <w:rPr>
          <w:rFonts w:ascii="Times New Roman" w:hAnsi="Times New Roman"/>
          <w:b/>
          <w:bCs/>
          <w:noProof/>
          <w:szCs w:val="24"/>
          <w:lang w:val="en-US"/>
        </w:rPr>
        <w:t>Procedia - Social and Behavioral Sciences</w:t>
      </w:r>
      <w:r w:rsidRPr="00A35883">
        <w:rPr>
          <w:rFonts w:ascii="Times New Roman" w:hAnsi="Times New Roman"/>
          <w:noProof/>
          <w:szCs w:val="24"/>
          <w:lang w:val="en-US"/>
        </w:rPr>
        <w:t xml:space="preserve">, v. 164, n. August, p. 68–75, 2014.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LARSON, R. K.; STREET, D. L. Convergence with IFRS in an expanding Europe: Progress and obstacles identified by large accounting firms’ survey. </w:t>
      </w:r>
      <w:r w:rsidRPr="00A35883">
        <w:rPr>
          <w:rFonts w:ascii="Times New Roman" w:hAnsi="Times New Roman"/>
          <w:b/>
          <w:bCs/>
          <w:noProof/>
          <w:szCs w:val="24"/>
          <w:lang w:val="en-US"/>
        </w:rPr>
        <w:t>Journal of International Accounting, Auditing and Taxation</w:t>
      </w:r>
      <w:r w:rsidRPr="00A35883">
        <w:rPr>
          <w:rFonts w:ascii="Times New Roman" w:hAnsi="Times New Roman"/>
          <w:noProof/>
          <w:szCs w:val="24"/>
          <w:lang w:val="en-US"/>
        </w:rPr>
        <w:t xml:space="preserve">, v. 13, n. 2, p. 89–119, 2004.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LOURENÇO, I. C.; CURTO, J. D. Determinants of the accounting choice between alternative reporting methods for interests in jointly controlled entities. </w:t>
      </w:r>
      <w:r w:rsidRPr="009B00E2">
        <w:rPr>
          <w:rFonts w:ascii="Times New Roman" w:hAnsi="Times New Roman"/>
          <w:b/>
          <w:bCs/>
          <w:noProof/>
          <w:szCs w:val="24"/>
        </w:rPr>
        <w:t>European Accounting Review</w:t>
      </w:r>
      <w:r w:rsidRPr="009B00E2">
        <w:rPr>
          <w:rFonts w:ascii="Times New Roman" w:hAnsi="Times New Roman"/>
          <w:noProof/>
          <w:szCs w:val="24"/>
        </w:rPr>
        <w:t xml:space="preserve">, v. 19, n. 4, p. 739–773, 2010.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MACEDO, V. M.; CAMPAGNONI, M.; ROVER, S. Ativos Biológicos nas Companhias Abertas no Brasil: Conformidade Com o CPC 29 e Associação com Características Empresariais. </w:t>
      </w:r>
      <w:r w:rsidRPr="00A35883">
        <w:rPr>
          <w:rFonts w:ascii="Times New Roman" w:hAnsi="Times New Roman"/>
          <w:b/>
          <w:bCs/>
          <w:noProof/>
          <w:szCs w:val="24"/>
          <w:lang w:val="en-US"/>
        </w:rPr>
        <w:t>Sociedade, Contabilidade e Gestão</w:t>
      </w:r>
      <w:r w:rsidRPr="00A35883">
        <w:rPr>
          <w:rFonts w:ascii="Times New Roman" w:hAnsi="Times New Roman"/>
          <w:noProof/>
          <w:szCs w:val="24"/>
          <w:lang w:val="en-US"/>
        </w:rPr>
        <w:t xml:space="preserve">, v. 10, n. 3, p. 7–24, 2015.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MAINA, P. N.; WINGARD, H. C. Small and medium-sized entities in the agricultural sector: Fair value reporting challenges. </w:t>
      </w:r>
      <w:r w:rsidRPr="009B00E2">
        <w:rPr>
          <w:rFonts w:ascii="Times New Roman" w:hAnsi="Times New Roman"/>
          <w:b/>
          <w:bCs/>
          <w:noProof/>
          <w:szCs w:val="24"/>
        </w:rPr>
        <w:t>Agrekon</w:t>
      </w:r>
      <w:r w:rsidRPr="009B00E2">
        <w:rPr>
          <w:rFonts w:ascii="Times New Roman" w:hAnsi="Times New Roman"/>
          <w:noProof/>
          <w:szCs w:val="24"/>
        </w:rPr>
        <w:t xml:space="preserve">, v. 52, n. 2, p. 52–74, 2013.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MARION, J. C. </w:t>
      </w:r>
      <w:r w:rsidRPr="009B00E2">
        <w:rPr>
          <w:rFonts w:ascii="Times New Roman" w:hAnsi="Times New Roman"/>
          <w:b/>
          <w:bCs/>
          <w:noProof/>
          <w:szCs w:val="24"/>
        </w:rPr>
        <w:t>Contabilidade rural, contabilidade agrícola, contabilidade pecuária, imposto de renda pessoa jurídica</w:t>
      </w:r>
      <w:r w:rsidRPr="009B00E2">
        <w:rPr>
          <w:rFonts w:ascii="Times New Roman" w:hAnsi="Times New Roman"/>
          <w:noProof/>
          <w:szCs w:val="24"/>
        </w:rPr>
        <w:t xml:space="preserve">. 12. ed. São Paulo: Atlas, 2010.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MARTELANC, R.; PASIN, R.; PEREIRA, F. </w:t>
      </w:r>
      <w:r w:rsidRPr="009B00E2">
        <w:rPr>
          <w:rFonts w:ascii="Times New Roman" w:hAnsi="Times New Roman"/>
          <w:b/>
          <w:bCs/>
          <w:noProof/>
          <w:szCs w:val="24"/>
        </w:rPr>
        <w:t>Avaliação de empresas: um guia para fusões &amp; aquisições e private equity</w:t>
      </w:r>
      <w:r w:rsidRPr="009B00E2">
        <w:rPr>
          <w:rFonts w:ascii="Times New Roman" w:hAnsi="Times New Roman"/>
          <w:noProof/>
          <w:szCs w:val="24"/>
        </w:rPr>
        <w:t xml:space="preserve">. </w:t>
      </w:r>
      <w:r w:rsidRPr="00A35883">
        <w:rPr>
          <w:rFonts w:ascii="Times New Roman" w:hAnsi="Times New Roman"/>
          <w:noProof/>
          <w:szCs w:val="24"/>
          <w:lang w:val="en-US"/>
        </w:rPr>
        <w:t xml:space="preserve">São Paulo: Pearson Prentice Hall, 2010.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MARTÍNEZ, J. A.; MARTÍNEZ, F. G.; DIAZARAQUE, J. M. M. Optional accounting criteria under IFRSs and corporate characteristics: Evidence from Spain. </w:t>
      </w:r>
      <w:r w:rsidRPr="009B00E2">
        <w:rPr>
          <w:rFonts w:ascii="Times New Roman" w:hAnsi="Times New Roman"/>
          <w:b/>
          <w:bCs/>
          <w:noProof/>
          <w:szCs w:val="24"/>
        </w:rPr>
        <w:t>Revista de Contabilidad-Spanish Accounting Review</w:t>
      </w:r>
      <w:r w:rsidRPr="009B00E2">
        <w:rPr>
          <w:rFonts w:ascii="Times New Roman" w:hAnsi="Times New Roman"/>
          <w:noProof/>
          <w:szCs w:val="24"/>
        </w:rPr>
        <w:t xml:space="preserve">, v. 14, n. 1, p. 59–85, 2011.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MARTINS, V. G.; MACHADO, M. A. V.; CALLADO, A. L. C. Relevância e representação fidedigna na mensuração de ativos biológicos a valor justo por empresas listadas na BM &amp; FBovespa. </w:t>
      </w:r>
      <w:r w:rsidRPr="009B00E2">
        <w:rPr>
          <w:rFonts w:ascii="Times New Roman" w:hAnsi="Times New Roman"/>
          <w:b/>
          <w:bCs/>
          <w:noProof/>
          <w:szCs w:val="24"/>
        </w:rPr>
        <w:t>Revista Contemporânea de Contabilidade</w:t>
      </w:r>
      <w:r w:rsidRPr="009B00E2">
        <w:rPr>
          <w:rFonts w:ascii="Times New Roman" w:hAnsi="Times New Roman"/>
          <w:noProof/>
          <w:szCs w:val="24"/>
        </w:rPr>
        <w:t xml:space="preserve">, v. 11, n. 22, p. 163–188, 2014.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MATES, D. et al. </w:t>
      </w:r>
      <w:r w:rsidRPr="00A35883">
        <w:rPr>
          <w:rFonts w:ascii="Times New Roman" w:hAnsi="Times New Roman"/>
          <w:noProof/>
          <w:szCs w:val="24"/>
          <w:lang w:val="en-US"/>
        </w:rPr>
        <w:t xml:space="preserve">Biological assets and the agricultural products in the context of the implementation of the IAS 41: A case study of the Romanian agro-food system. </w:t>
      </w:r>
      <w:r w:rsidRPr="00A35883">
        <w:rPr>
          <w:rFonts w:ascii="Times New Roman" w:hAnsi="Times New Roman"/>
          <w:b/>
          <w:bCs/>
          <w:noProof/>
          <w:szCs w:val="24"/>
          <w:lang w:val="en-US"/>
        </w:rPr>
        <w:t>Archives of Biological Sciences</w:t>
      </w:r>
      <w:r w:rsidRPr="00A35883">
        <w:rPr>
          <w:rFonts w:ascii="Times New Roman" w:hAnsi="Times New Roman"/>
          <w:noProof/>
          <w:szCs w:val="24"/>
          <w:lang w:val="en-US"/>
        </w:rPr>
        <w:t xml:space="preserve">, v. 67, n. 2, p. 705–714, 2015.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MEHTA, C. R.; PATEL, N. R. A Network Algorithm for Performing Fisher’s Exact Test in r × c Contingency Tables. </w:t>
      </w:r>
      <w:r w:rsidRPr="00A35883">
        <w:rPr>
          <w:rFonts w:ascii="Times New Roman" w:hAnsi="Times New Roman"/>
          <w:b/>
          <w:bCs/>
          <w:noProof/>
          <w:szCs w:val="24"/>
          <w:lang w:val="en-US"/>
        </w:rPr>
        <w:t>Journal of the American Statistical Association</w:t>
      </w:r>
      <w:r w:rsidRPr="00A35883">
        <w:rPr>
          <w:rFonts w:ascii="Times New Roman" w:hAnsi="Times New Roman"/>
          <w:noProof/>
          <w:szCs w:val="24"/>
          <w:lang w:val="en-US"/>
        </w:rPr>
        <w:t xml:space="preserve">, v. 78, n. 382, p. 427, jun. 1983.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NOBES, C. The continued survival of international differences under IFRS. </w:t>
      </w:r>
      <w:r w:rsidRPr="00A35883">
        <w:rPr>
          <w:rFonts w:ascii="Times New Roman" w:hAnsi="Times New Roman"/>
          <w:b/>
          <w:bCs/>
          <w:noProof/>
          <w:szCs w:val="24"/>
          <w:lang w:val="en-US"/>
        </w:rPr>
        <w:t>Accounting and Business Research</w:t>
      </w:r>
      <w:r w:rsidRPr="00A35883">
        <w:rPr>
          <w:rFonts w:ascii="Times New Roman" w:hAnsi="Times New Roman"/>
          <w:noProof/>
          <w:szCs w:val="24"/>
          <w:lang w:val="en-US"/>
        </w:rPr>
        <w:t xml:space="preserve">, v. 43, n. 2, p. 83–111, 2013.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NOBES, C.; PERRAMON, J. Firm size and national profiles of ifrs policy choice. </w:t>
      </w:r>
      <w:r w:rsidRPr="009B00E2">
        <w:rPr>
          <w:rFonts w:ascii="Times New Roman" w:hAnsi="Times New Roman"/>
          <w:b/>
          <w:bCs/>
          <w:noProof/>
          <w:szCs w:val="24"/>
        </w:rPr>
        <w:t>Australian Accounting Review</w:t>
      </w:r>
      <w:r w:rsidRPr="009B00E2">
        <w:rPr>
          <w:rFonts w:ascii="Times New Roman" w:hAnsi="Times New Roman"/>
          <w:noProof/>
          <w:szCs w:val="24"/>
        </w:rPr>
        <w:t xml:space="preserve">, v. 23, n. 3, p. 208–215, 2013.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NOVACANA. </w:t>
      </w:r>
      <w:r w:rsidRPr="009B00E2">
        <w:rPr>
          <w:rFonts w:ascii="Times New Roman" w:hAnsi="Times New Roman"/>
          <w:b/>
          <w:bCs/>
          <w:noProof/>
          <w:szCs w:val="24"/>
        </w:rPr>
        <w:t>Usinas do Brasil</w:t>
      </w:r>
      <w:r w:rsidRPr="009B00E2">
        <w:rPr>
          <w:rFonts w:ascii="Times New Roman" w:hAnsi="Times New Roman"/>
          <w:noProof/>
          <w:szCs w:val="24"/>
        </w:rPr>
        <w:t xml:space="preserve">. Disponível em: &lt;https://www.novacana.com/usinas-brasil/&gt;. Acesso em: 17 jan. 2017.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PINTO, M. J. T.; MARTINS, V. A.; SILVA, D. M. DA. Escolhas Contábeis: o Caso Brasileiro das Propriedades para Investimento. </w:t>
      </w:r>
      <w:r w:rsidRPr="00A35883">
        <w:rPr>
          <w:rFonts w:ascii="Times New Roman" w:hAnsi="Times New Roman"/>
          <w:b/>
          <w:bCs/>
          <w:noProof/>
          <w:szCs w:val="24"/>
          <w:lang w:val="en-US"/>
        </w:rPr>
        <w:t>Revista Contabilidade &amp; Finanças</w:t>
      </w:r>
      <w:r w:rsidRPr="00A35883">
        <w:rPr>
          <w:rFonts w:ascii="Times New Roman" w:hAnsi="Times New Roman"/>
          <w:noProof/>
          <w:szCs w:val="24"/>
          <w:lang w:val="en-US"/>
        </w:rPr>
        <w:t xml:space="preserve">, v. 26, n. 69, p. 274–289, 2015.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QUAGLI, A.; AVALLONE, F. Fair value or cost model? Drivers of choice for IAS 40 in the real estate industry. </w:t>
      </w:r>
      <w:r w:rsidRPr="00A35883">
        <w:rPr>
          <w:rFonts w:ascii="Times New Roman" w:hAnsi="Times New Roman"/>
          <w:b/>
          <w:bCs/>
          <w:noProof/>
          <w:szCs w:val="24"/>
          <w:lang w:val="en-US"/>
        </w:rPr>
        <w:t>European Accounting Review</w:t>
      </w:r>
      <w:r w:rsidRPr="00A35883">
        <w:rPr>
          <w:rFonts w:ascii="Times New Roman" w:hAnsi="Times New Roman"/>
          <w:noProof/>
          <w:szCs w:val="24"/>
          <w:lang w:val="en-US"/>
        </w:rPr>
        <w:t xml:space="preserve">, v. 19, n. 3, p. 461–493, 2010.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A35883">
        <w:rPr>
          <w:rFonts w:ascii="Times New Roman" w:hAnsi="Times New Roman"/>
          <w:noProof/>
          <w:szCs w:val="24"/>
          <w:lang w:val="en-US"/>
        </w:rPr>
        <w:t xml:space="preserve">RECH, I. J.; CUNHA, M. F. DA. </w:t>
      </w:r>
      <w:r w:rsidRPr="009B00E2">
        <w:rPr>
          <w:rFonts w:ascii="Times New Roman" w:hAnsi="Times New Roman"/>
          <w:b/>
          <w:bCs/>
          <w:noProof/>
          <w:szCs w:val="24"/>
        </w:rPr>
        <w:t>Análise das taxas de desconto aplicáveis na mensuração dos ativos biológicos a valor justo</w:t>
      </w:r>
      <w:r w:rsidRPr="009B00E2">
        <w:rPr>
          <w:rFonts w:ascii="Times New Roman" w:hAnsi="Times New Roman"/>
          <w:noProof/>
          <w:szCs w:val="24"/>
        </w:rPr>
        <w:t xml:space="preserve">. Congresso USP de Controladoria e Contabilidade. </w:t>
      </w:r>
      <w:r w:rsidRPr="009B00E2">
        <w:rPr>
          <w:rFonts w:ascii="Times New Roman" w:hAnsi="Times New Roman"/>
          <w:b/>
          <w:bCs/>
          <w:noProof/>
          <w:szCs w:val="24"/>
        </w:rPr>
        <w:t>Anais</w:t>
      </w:r>
      <w:r w:rsidRPr="009B00E2">
        <w:rPr>
          <w:rFonts w:ascii="Times New Roman" w:hAnsi="Times New Roman"/>
          <w:noProof/>
          <w:szCs w:val="24"/>
        </w:rPr>
        <w:t>...São Paulo: FEA-USP, 2011</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RECH, I. J.; PEREIRA, I. V. Valor justo : análise dos métodos de mensuração aplicáveis aos ativos biológicos de natureza fixa. </w:t>
      </w:r>
      <w:r w:rsidRPr="009B00E2">
        <w:rPr>
          <w:rFonts w:ascii="Times New Roman" w:hAnsi="Times New Roman"/>
          <w:b/>
          <w:bCs/>
          <w:noProof/>
          <w:szCs w:val="24"/>
        </w:rPr>
        <w:t>Custos e @gronegócio on line</w:t>
      </w:r>
      <w:r w:rsidRPr="009B00E2">
        <w:rPr>
          <w:rFonts w:ascii="Times New Roman" w:hAnsi="Times New Roman"/>
          <w:noProof/>
          <w:szCs w:val="24"/>
        </w:rPr>
        <w:t xml:space="preserve">, v. 8, n. 2, p. 131–157, 2012.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SILVA, D. M. DA; MARTINS, V. A.; LEMES, S. Escolhas Contábeis: reflexões para a pesquisa. </w:t>
      </w:r>
      <w:r w:rsidRPr="009B00E2">
        <w:rPr>
          <w:rFonts w:ascii="Times New Roman" w:hAnsi="Times New Roman"/>
          <w:b/>
          <w:bCs/>
          <w:noProof/>
          <w:szCs w:val="24"/>
        </w:rPr>
        <w:t>Revista Contemporânea de Contabilidade</w:t>
      </w:r>
      <w:r w:rsidRPr="009B00E2">
        <w:rPr>
          <w:rFonts w:ascii="Times New Roman" w:hAnsi="Times New Roman"/>
          <w:noProof/>
          <w:szCs w:val="24"/>
        </w:rPr>
        <w:t xml:space="preserve">, v. 13, n. 29, p. 129–156, 2016. </w:t>
      </w:r>
    </w:p>
    <w:p w:rsidR="009B00E2" w:rsidRPr="009B00E2" w:rsidRDefault="009B00E2" w:rsidP="009B00E2">
      <w:pPr>
        <w:widowControl w:val="0"/>
        <w:autoSpaceDE w:val="0"/>
        <w:autoSpaceDN w:val="0"/>
        <w:adjustRightInd w:val="0"/>
        <w:spacing w:line="240" w:lineRule="auto"/>
        <w:rPr>
          <w:rFonts w:ascii="Times New Roman" w:hAnsi="Times New Roman"/>
          <w:noProof/>
          <w:szCs w:val="24"/>
        </w:rPr>
      </w:pPr>
      <w:r w:rsidRPr="009B00E2">
        <w:rPr>
          <w:rFonts w:ascii="Times New Roman" w:hAnsi="Times New Roman"/>
          <w:noProof/>
          <w:szCs w:val="24"/>
        </w:rPr>
        <w:t xml:space="preserve">SILVA FILHO, A. C. DA C. E.; MACHADO, M. A. V.; MACHADO, M. R. Custo histórico X valor justo: qual informação é mais value relevant na mensuração dos ativos biológicos? </w:t>
      </w:r>
      <w:r w:rsidRPr="009B00E2">
        <w:rPr>
          <w:rFonts w:ascii="Times New Roman" w:hAnsi="Times New Roman"/>
          <w:b/>
          <w:bCs/>
          <w:noProof/>
          <w:szCs w:val="24"/>
        </w:rPr>
        <w:t>Custos e @gronegócio on line</w:t>
      </w:r>
      <w:r w:rsidRPr="009B00E2">
        <w:rPr>
          <w:rFonts w:ascii="Times New Roman" w:hAnsi="Times New Roman"/>
          <w:noProof/>
          <w:szCs w:val="24"/>
        </w:rPr>
        <w:t xml:space="preserve">, v. 9, n. 2, p. 27–50, 2013.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9B00E2">
        <w:rPr>
          <w:rFonts w:ascii="Times New Roman" w:hAnsi="Times New Roman"/>
          <w:noProof/>
          <w:szCs w:val="24"/>
        </w:rPr>
        <w:t xml:space="preserve">SILVA FILHO, A. C. DA C.; MARTINS, V. G.; MACHADO, M. A. V. Adoção do valor justo para os ativos biológicos: análise de sua relevância em empresas brasileiras. </w:t>
      </w:r>
      <w:r w:rsidRPr="00A35883">
        <w:rPr>
          <w:rFonts w:ascii="Times New Roman" w:hAnsi="Times New Roman"/>
          <w:b/>
          <w:bCs/>
          <w:noProof/>
          <w:szCs w:val="24"/>
          <w:lang w:val="en-US"/>
        </w:rPr>
        <w:t>Revista Universo Contábil</w:t>
      </w:r>
      <w:r w:rsidRPr="00A35883">
        <w:rPr>
          <w:rFonts w:ascii="Times New Roman" w:hAnsi="Times New Roman"/>
          <w:noProof/>
          <w:szCs w:val="24"/>
          <w:lang w:val="en-US"/>
        </w:rPr>
        <w:t xml:space="preserve">, v. 9, n. 4, p. 110–127, 30 dez. 2013.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STADLER, C.; NOBES, C. W. The Influence of Country, Industry, and Topic Factors on IFRS Policy Choice. </w:t>
      </w:r>
      <w:r w:rsidRPr="00A35883">
        <w:rPr>
          <w:rFonts w:ascii="Times New Roman" w:hAnsi="Times New Roman"/>
          <w:b/>
          <w:bCs/>
          <w:noProof/>
          <w:szCs w:val="24"/>
          <w:lang w:val="en-US"/>
        </w:rPr>
        <w:t>Abacus</w:t>
      </w:r>
      <w:r w:rsidRPr="00A35883">
        <w:rPr>
          <w:rFonts w:ascii="Times New Roman" w:hAnsi="Times New Roman"/>
          <w:noProof/>
          <w:szCs w:val="24"/>
          <w:lang w:val="en-US"/>
        </w:rPr>
        <w:t xml:space="preserve">, v. 50, n. 4, p. 386–421, 2014.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WATTS, R. L. Accounting choice theory and market-based research in accounting. </w:t>
      </w:r>
      <w:r w:rsidRPr="00A35883">
        <w:rPr>
          <w:rFonts w:ascii="Times New Roman" w:hAnsi="Times New Roman"/>
          <w:b/>
          <w:bCs/>
          <w:noProof/>
          <w:szCs w:val="24"/>
          <w:lang w:val="en-US"/>
        </w:rPr>
        <w:t>The British Accounting Review</w:t>
      </w:r>
      <w:r w:rsidRPr="00A35883">
        <w:rPr>
          <w:rFonts w:ascii="Times New Roman" w:hAnsi="Times New Roman"/>
          <w:noProof/>
          <w:szCs w:val="24"/>
          <w:lang w:val="en-US"/>
        </w:rPr>
        <w:t xml:space="preserve">, v. 24, n. 3, p. 235–267, 1992. </w:t>
      </w:r>
    </w:p>
    <w:p w:rsidR="009B00E2" w:rsidRPr="00A35883" w:rsidRDefault="009B00E2" w:rsidP="009B00E2">
      <w:pPr>
        <w:widowControl w:val="0"/>
        <w:autoSpaceDE w:val="0"/>
        <w:autoSpaceDN w:val="0"/>
        <w:adjustRightInd w:val="0"/>
        <w:spacing w:line="240" w:lineRule="auto"/>
        <w:rPr>
          <w:rFonts w:ascii="Times New Roman" w:hAnsi="Times New Roman"/>
          <w:noProof/>
          <w:szCs w:val="24"/>
          <w:lang w:val="en-US"/>
        </w:rPr>
      </w:pPr>
      <w:r w:rsidRPr="00A35883">
        <w:rPr>
          <w:rFonts w:ascii="Times New Roman" w:hAnsi="Times New Roman"/>
          <w:noProof/>
          <w:szCs w:val="24"/>
          <w:lang w:val="en-US"/>
        </w:rPr>
        <w:t xml:space="preserve">WATTS, R. L.; ZIMMERMAN, J. L. Towards a Positive Theory of the Determination of Accounting Standards. </w:t>
      </w:r>
      <w:r w:rsidRPr="00A35883">
        <w:rPr>
          <w:rFonts w:ascii="Times New Roman" w:hAnsi="Times New Roman"/>
          <w:b/>
          <w:bCs/>
          <w:noProof/>
          <w:szCs w:val="24"/>
          <w:lang w:val="en-US"/>
        </w:rPr>
        <w:t>The Accounting Review</w:t>
      </w:r>
      <w:r w:rsidRPr="00A35883">
        <w:rPr>
          <w:rFonts w:ascii="Times New Roman" w:hAnsi="Times New Roman"/>
          <w:noProof/>
          <w:szCs w:val="24"/>
          <w:lang w:val="en-US"/>
        </w:rPr>
        <w:t xml:space="preserve">, v. 53, n. 1, p. 112–134, 1978. </w:t>
      </w:r>
    </w:p>
    <w:p w:rsidR="009B00E2" w:rsidRPr="00A35883" w:rsidRDefault="009B00E2" w:rsidP="009B00E2">
      <w:pPr>
        <w:widowControl w:val="0"/>
        <w:autoSpaceDE w:val="0"/>
        <w:autoSpaceDN w:val="0"/>
        <w:adjustRightInd w:val="0"/>
        <w:spacing w:line="240" w:lineRule="auto"/>
        <w:rPr>
          <w:rFonts w:ascii="Times New Roman" w:hAnsi="Times New Roman"/>
          <w:noProof/>
          <w:lang w:val="en-US"/>
        </w:rPr>
      </w:pPr>
      <w:r w:rsidRPr="00A35883">
        <w:rPr>
          <w:rFonts w:ascii="Times New Roman" w:hAnsi="Times New Roman"/>
          <w:noProof/>
          <w:szCs w:val="24"/>
          <w:lang w:val="en-US"/>
        </w:rPr>
        <w:t xml:space="preserve">YANG, Z.; ROHRBACH, K.; CHEN, S. The Impact of Standard Setting on Relevance and Reliability of Accounting Information: Lower of Cost or Market Accounting Reforms in China. </w:t>
      </w:r>
      <w:r w:rsidRPr="00A35883">
        <w:rPr>
          <w:rFonts w:ascii="Times New Roman" w:hAnsi="Times New Roman"/>
          <w:b/>
          <w:bCs/>
          <w:noProof/>
          <w:szCs w:val="24"/>
          <w:lang w:val="en-US"/>
        </w:rPr>
        <w:t>Journal of International Financial Management and Accounting</w:t>
      </w:r>
      <w:r w:rsidRPr="00A35883">
        <w:rPr>
          <w:rFonts w:ascii="Times New Roman" w:hAnsi="Times New Roman"/>
          <w:noProof/>
          <w:szCs w:val="24"/>
          <w:lang w:val="en-US"/>
        </w:rPr>
        <w:t xml:space="preserve">, v. 16, n. 3, p. 194–228, out. 2005. </w:t>
      </w:r>
    </w:p>
    <w:p w:rsidR="00390949" w:rsidRPr="000E5487" w:rsidRDefault="001154CF" w:rsidP="001154CF">
      <w:pPr>
        <w:widowControl w:val="0"/>
        <w:autoSpaceDE w:val="0"/>
        <w:autoSpaceDN w:val="0"/>
        <w:adjustRightInd w:val="0"/>
        <w:spacing w:line="240" w:lineRule="auto"/>
        <w:ind w:firstLine="709"/>
        <w:jc w:val="both"/>
        <w:rPr>
          <w:rFonts w:ascii="Times New Roman" w:hAnsi="Times New Roman"/>
          <w:b/>
          <w:szCs w:val="24"/>
          <w:lang w:val="en-US"/>
        </w:rPr>
      </w:pPr>
      <w:r>
        <w:rPr>
          <w:rFonts w:ascii="Times New Roman" w:hAnsi="Times New Roman"/>
          <w:b/>
          <w:szCs w:val="24"/>
          <w:lang w:val="en-US"/>
        </w:rPr>
        <w:fldChar w:fldCharType="end"/>
      </w:r>
    </w:p>
    <w:sectPr w:rsidR="00390949" w:rsidRPr="000E5487" w:rsidSect="0010368E">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AC" w:rsidRDefault="001712AC" w:rsidP="005A197E">
      <w:pPr>
        <w:spacing w:after="0" w:line="240" w:lineRule="auto"/>
      </w:pPr>
      <w:r>
        <w:separator/>
      </w:r>
    </w:p>
  </w:endnote>
  <w:endnote w:type="continuationSeparator" w:id="0">
    <w:p w:rsidR="001712AC" w:rsidRDefault="001712AC" w:rsidP="005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26085"/>
      <w:docPartObj>
        <w:docPartGallery w:val="Page Numbers (Bottom of Page)"/>
        <w:docPartUnique/>
      </w:docPartObj>
    </w:sdtPr>
    <w:sdtEndPr>
      <w:rPr>
        <w:rFonts w:ascii="Times New Roman" w:hAnsi="Times New Roman"/>
        <w:sz w:val="20"/>
        <w:szCs w:val="20"/>
      </w:rPr>
    </w:sdtEndPr>
    <w:sdtContent>
      <w:p w:rsidR="00A35883" w:rsidRPr="0010368E" w:rsidRDefault="00A35883">
        <w:pPr>
          <w:pStyle w:val="Rodap"/>
          <w:jc w:val="right"/>
          <w:rPr>
            <w:rFonts w:ascii="Times New Roman" w:hAnsi="Times New Roman"/>
            <w:sz w:val="20"/>
            <w:szCs w:val="20"/>
          </w:rPr>
        </w:pPr>
        <w:r w:rsidRPr="0010368E">
          <w:rPr>
            <w:rFonts w:ascii="Times New Roman" w:hAnsi="Times New Roman"/>
            <w:sz w:val="20"/>
            <w:szCs w:val="20"/>
          </w:rPr>
          <w:fldChar w:fldCharType="begin"/>
        </w:r>
        <w:r w:rsidRPr="0010368E">
          <w:rPr>
            <w:rFonts w:ascii="Times New Roman" w:hAnsi="Times New Roman"/>
            <w:sz w:val="20"/>
            <w:szCs w:val="20"/>
          </w:rPr>
          <w:instrText>PAGE   \* MERGEFORMAT</w:instrText>
        </w:r>
        <w:r w:rsidRPr="0010368E">
          <w:rPr>
            <w:rFonts w:ascii="Times New Roman" w:hAnsi="Times New Roman"/>
            <w:sz w:val="20"/>
            <w:szCs w:val="20"/>
          </w:rPr>
          <w:fldChar w:fldCharType="separate"/>
        </w:r>
        <w:r w:rsidR="001712AC">
          <w:rPr>
            <w:rFonts w:ascii="Times New Roman" w:hAnsi="Times New Roman"/>
            <w:noProof/>
            <w:sz w:val="20"/>
            <w:szCs w:val="20"/>
          </w:rPr>
          <w:t>1</w:t>
        </w:r>
        <w:r w:rsidRPr="0010368E">
          <w:rPr>
            <w:rFonts w:ascii="Times New Roman" w:hAnsi="Times New Roman"/>
            <w:sz w:val="20"/>
            <w:szCs w:val="20"/>
          </w:rPr>
          <w:fldChar w:fldCharType="end"/>
        </w:r>
      </w:p>
    </w:sdtContent>
  </w:sdt>
  <w:p w:rsidR="00A35883" w:rsidRDefault="00A358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AC" w:rsidRDefault="001712AC" w:rsidP="005A197E">
      <w:pPr>
        <w:spacing w:after="0" w:line="240" w:lineRule="auto"/>
      </w:pPr>
      <w:r>
        <w:separator/>
      </w:r>
    </w:p>
  </w:footnote>
  <w:footnote w:type="continuationSeparator" w:id="0">
    <w:p w:rsidR="001712AC" w:rsidRDefault="001712AC" w:rsidP="005A1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48"/>
    <w:rsid w:val="000039D2"/>
    <w:rsid w:val="00010157"/>
    <w:rsid w:val="00022C7C"/>
    <w:rsid w:val="00024595"/>
    <w:rsid w:val="000259C6"/>
    <w:rsid w:val="00030CD3"/>
    <w:rsid w:val="00041088"/>
    <w:rsid w:val="00042C66"/>
    <w:rsid w:val="00043DC7"/>
    <w:rsid w:val="0006404B"/>
    <w:rsid w:val="000645A6"/>
    <w:rsid w:val="00067294"/>
    <w:rsid w:val="000722E6"/>
    <w:rsid w:val="00080AAB"/>
    <w:rsid w:val="00080C06"/>
    <w:rsid w:val="00082207"/>
    <w:rsid w:val="000862AB"/>
    <w:rsid w:val="00086E90"/>
    <w:rsid w:val="00092D63"/>
    <w:rsid w:val="000A1444"/>
    <w:rsid w:val="000A1C89"/>
    <w:rsid w:val="000A2EE7"/>
    <w:rsid w:val="000A4F9E"/>
    <w:rsid w:val="000B157E"/>
    <w:rsid w:val="000B2F55"/>
    <w:rsid w:val="000B4492"/>
    <w:rsid w:val="000B4B4F"/>
    <w:rsid w:val="000B7D83"/>
    <w:rsid w:val="000C391D"/>
    <w:rsid w:val="000C4D19"/>
    <w:rsid w:val="000D0D25"/>
    <w:rsid w:val="000D3487"/>
    <w:rsid w:val="000E08D0"/>
    <w:rsid w:val="000E211D"/>
    <w:rsid w:val="000E5487"/>
    <w:rsid w:val="000E6C8C"/>
    <w:rsid w:val="0010368E"/>
    <w:rsid w:val="00106B40"/>
    <w:rsid w:val="00110F5B"/>
    <w:rsid w:val="00112473"/>
    <w:rsid w:val="001154CF"/>
    <w:rsid w:val="001166EF"/>
    <w:rsid w:val="00116B0A"/>
    <w:rsid w:val="00124269"/>
    <w:rsid w:val="00134F0D"/>
    <w:rsid w:val="00136AD0"/>
    <w:rsid w:val="00136ADE"/>
    <w:rsid w:val="001435F1"/>
    <w:rsid w:val="00147C0E"/>
    <w:rsid w:val="00157680"/>
    <w:rsid w:val="00162BFD"/>
    <w:rsid w:val="001652D3"/>
    <w:rsid w:val="001712AC"/>
    <w:rsid w:val="00172103"/>
    <w:rsid w:val="0018230C"/>
    <w:rsid w:val="0018386D"/>
    <w:rsid w:val="00184173"/>
    <w:rsid w:val="001850E3"/>
    <w:rsid w:val="00187922"/>
    <w:rsid w:val="00196F1E"/>
    <w:rsid w:val="001A2ABA"/>
    <w:rsid w:val="001A72AC"/>
    <w:rsid w:val="001B0130"/>
    <w:rsid w:val="001B0D54"/>
    <w:rsid w:val="001B17D3"/>
    <w:rsid w:val="001B2021"/>
    <w:rsid w:val="001B4C6D"/>
    <w:rsid w:val="001C712F"/>
    <w:rsid w:val="001D23EC"/>
    <w:rsid w:val="001D2806"/>
    <w:rsid w:val="001D52C3"/>
    <w:rsid w:val="001E0058"/>
    <w:rsid w:val="001E23EE"/>
    <w:rsid w:val="001E2B29"/>
    <w:rsid w:val="001E5212"/>
    <w:rsid w:val="001F0BB2"/>
    <w:rsid w:val="001F45BC"/>
    <w:rsid w:val="001F5E30"/>
    <w:rsid w:val="0020220A"/>
    <w:rsid w:val="00203B31"/>
    <w:rsid w:val="002042DB"/>
    <w:rsid w:val="00205DC1"/>
    <w:rsid w:val="00206E68"/>
    <w:rsid w:val="0021017C"/>
    <w:rsid w:val="00210EE7"/>
    <w:rsid w:val="00213DD1"/>
    <w:rsid w:val="00216672"/>
    <w:rsid w:val="00220633"/>
    <w:rsid w:val="00220C3E"/>
    <w:rsid w:val="00220D37"/>
    <w:rsid w:val="00221AAC"/>
    <w:rsid w:val="00230218"/>
    <w:rsid w:val="00231351"/>
    <w:rsid w:val="002317A4"/>
    <w:rsid w:val="00236668"/>
    <w:rsid w:val="00240833"/>
    <w:rsid w:val="00241335"/>
    <w:rsid w:val="0024284B"/>
    <w:rsid w:val="002445A2"/>
    <w:rsid w:val="00245506"/>
    <w:rsid w:val="0024559F"/>
    <w:rsid w:val="00246D85"/>
    <w:rsid w:val="00247717"/>
    <w:rsid w:val="00247D27"/>
    <w:rsid w:val="00250CC1"/>
    <w:rsid w:val="0025123B"/>
    <w:rsid w:val="002606A7"/>
    <w:rsid w:val="00262CC3"/>
    <w:rsid w:val="00280AD9"/>
    <w:rsid w:val="0028494C"/>
    <w:rsid w:val="00284A22"/>
    <w:rsid w:val="00285D1B"/>
    <w:rsid w:val="0028732D"/>
    <w:rsid w:val="00290DC7"/>
    <w:rsid w:val="00291DE0"/>
    <w:rsid w:val="00292DA1"/>
    <w:rsid w:val="0029376F"/>
    <w:rsid w:val="002953FA"/>
    <w:rsid w:val="00296497"/>
    <w:rsid w:val="002A22E4"/>
    <w:rsid w:val="002A6BCE"/>
    <w:rsid w:val="002B64CB"/>
    <w:rsid w:val="002C5864"/>
    <w:rsid w:val="002C5DAB"/>
    <w:rsid w:val="002D363C"/>
    <w:rsid w:val="002D491C"/>
    <w:rsid w:val="002D7608"/>
    <w:rsid w:val="002E2F48"/>
    <w:rsid w:val="002E5400"/>
    <w:rsid w:val="002F1601"/>
    <w:rsid w:val="002F4263"/>
    <w:rsid w:val="00300484"/>
    <w:rsid w:val="00301072"/>
    <w:rsid w:val="00303461"/>
    <w:rsid w:val="00312576"/>
    <w:rsid w:val="00313F5E"/>
    <w:rsid w:val="00315175"/>
    <w:rsid w:val="00316A0D"/>
    <w:rsid w:val="0032112C"/>
    <w:rsid w:val="00323173"/>
    <w:rsid w:val="00326A07"/>
    <w:rsid w:val="00327C17"/>
    <w:rsid w:val="003317B4"/>
    <w:rsid w:val="00344415"/>
    <w:rsid w:val="00344F61"/>
    <w:rsid w:val="0035389F"/>
    <w:rsid w:val="00360742"/>
    <w:rsid w:val="00362D58"/>
    <w:rsid w:val="00363D13"/>
    <w:rsid w:val="003669E3"/>
    <w:rsid w:val="00367EA7"/>
    <w:rsid w:val="00370D28"/>
    <w:rsid w:val="00371808"/>
    <w:rsid w:val="00374AD9"/>
    <w:rsid w:val="003759CB"/>
    <w:rsid w:val="00377286"/>
    <w:rsid w:val="00377381"/>
    <w:rsid w:val="003776F7"/>
    <w:rsid w:val="0038071E"/>
    <w:rsid w:val="00390949"/>
    <w:rsid w:val="00391CB2"/>
    <w:rsid w:val="003923AC"/>
    <w:rsid w:val="00395EE1"/>
    <w:rsid w:val="003A0590"/>
    <w:rsid w:val="003A4FF7"/>
    <w:rsid w:val="003A6B37"/>
    <w:rsid w:val="003B23BF"/>
    <w:rsid w:val="003B5DD6"/>
    <w:rsid w:val="003C49A8"/>
    <w:rsid w:val="003C51BE"/>
    <w:rsid w:val="003E7BE1"/>
    <w:rsid w:val="003F5E15"/>
    <w:rsid w:val="00403724"/>
    <w:rsid w:val="0040384C"/>
    <w:rsid w:val="00403D15"/>
    <w:rsid w:val="004140A8"/>
    <w:rsid w:val="00416F6B"/>
    <w:rsid w:val="00425159"/>
    <w:rsid w:val="004254B5"/>
    <w:rsid w:val="004275D4"/>
    <w:rsid w:val="004312A7"/>
    <w:rsid w:val="00443433"/>
    <w:rsid w:val="00447AD6"/>
    <w:rsid w:val="0045297A"/>
    <w:rsid w:val="00453B62"/>
    <w:rsid w:val="0045504F"/>
    <w:rsid w:val="00455D9D"/>
    <w:rsid w:val="00465431"/>
    <w:rsid w:val="0046696C"/>
    <w:rsid w:val="00476F39"/>
    <w:rsid w:val="00482F4B"/>
    <w:rsid w:val="004850BD"/>
    <w:rsid w:val="00485D63"/>
    <w:rsid w:val="004937EF"/>
    <w:rsid w:val="004954CB"/>
    <w:rsid w:val="00496B19"/>
    <w:rsid w:val="004A159D"/>
    <w:rsid w:val="004A19E7"/>
    <w:rsid w:val="004A53A2"/>
    <w:rsid w:val="004A633F"/>
    <w:rsid w:val="004A6C75"/>
    <w:rsid w:val="004B06D8"/>
    <w:rsid w:val="004B0F02"/>
    <w:rsid w:val="004B14C1"/>
    <w:rsid w:val="004B22E1"/>
    <w:rsid w:val="004B4864"/>
    <w:rsid w:val="004C0828"/>
    <w:rsid w:val="004C0858"/>
    <w:rsid w:val="004C26CE"/>
    <w:rsid w:val="004C6525"/>
    <w:rsid w:val="004D0778"/>
    <w:rsid w:val="004D5536"/>
    <w:rsid w:val="004E416E"/>
    <w:rsid w:val="004E4C6A"/>
    <w:rsid w:val="004E4D26"/>
    <w:rsid w:val="004E72F8"/>
    <w:rsid w:val="004F1737"/>
    <w:rsid w:val="004F70D6"/>
    <w:rsid w:val="00501FA8"/>
    <w:rsid w:val="005023F9"/>
    <w:rsid w:val="00503862"/>
    <w:rsid w:val="00505FBC"/>
    <w:rsid w:val="00514231"/>
    <w:rsid w:val="005219B1"/>
    <w:rsid w:val="00522F24"/>
    <w:rsid w:val="00532BA6"/>
    <w:rsid w:val="00533B76"/>
    <w:rsid w:val="005446D3"/>
    <w:rsid w:val="00546AC3"/>
    <w:rsid w:val="0055082C"/>
    <w:rsid w:val="00551190"/>
    <w:rsid w:val="005531F8"/>
    <w:rsid w:val="00557D6C"/>
    <w:rsid w:val="00557D9C"/>
    <w:rsid w:val="0056595C"/>
    <w:rsid w:val="00573AA2"/>
    <w:rsid w:val="00582539"/>
    <w:rsid w:val="00592AD0"/>
    <w:rsid w:val="005936A5"/>
    <w:rsid w:val="005A197E"/>
    <w:rsid w:val="005A2933"/>
    <w:rsid w:val="005A3956"/>
    <w:rsid w:val="005A79A2"/>
    <w:rsid w:val="005B2DC8"/>
    <w:rsid w:val="005B34DA"/>
    <w:rsid w:val="005B61AC"/>
    <w:rsid w:val="005C20AE"/>
    <w:rsid w:val="005C3AA4"/>
    <w:rsid w:val="005C76AF"/>
    <w:rsid w:val="005C7DA2"/>
    <w:rsid w:val="005D1A75"/>
    <w:rsid w:val="005D2249"/>
    <w:rsid w:val="005D3924"/>
    <w:rsid w:val="005D44E4"/>
    <w:rsid w:val="005D6C08"/>
    <w:rsid w:val="005E1968"/>
    <w:rsid w:val="005E25A1"/>
    <w:rsid w:val="005E334A"/>
    <w:rsid w:val="005F29B6"/>
    <w:rsid w:val="005F2B8A"/>
    <w:rsid w:val="005F5257"/>
    <w:rsid w:val="005F5719"/>
    <w:rsid w:val="00600FCC"/>
    <w:rsid w:val="0061313D"/>
    <w:rsid w:val="00613220"/>
    <w:rsid w:val="00621AB9"/>
    <w:rsid w:val="006274D5"/>
    <w:rsid w:val="0064100B"/>
    <w:rsid w:val="0064436A"/>
    <w:rsid w:val="00651698"/>
    <w:rsid w:val="00651EDD"/>
    <w:rsid w:val="00655345"/>
    <w:rsid w:val="00660841"/>
    <w:rsid w:val="00661F71"/>
    <w:rsid w:val="006635ED"/>
    <w:rsid w:val="00667FB1"/>
    <w:rsid w:val="00674789"/>
    <w:rsid w:val="006765A0"/>
    <w:rsid w:val="00677C93"/>
    <w:rsid w:val="006834A9"/>
    <w:rsid w:val="00687A7A"/>
    <w:rsid w:val="006929E4"/>
    <w:rsid w:val="006B3DF7"/>
    <w:rsid w:val="006C226C"/>
    <w:rsid w:val="006C3500"/>
    <w:rsid w:val="006C54C9"/>
    <w:rsid w:val="006D5335"/>
    <w:rsid w:val="006D5A1F"/>
    <w:rsid w:val="006E18E1"/>
    <w:rsid w:val="006E284D"/>
    <w:rsid w:val="006E39B5"/>
    <w:rsid w:val="006E3F7D"/>
    <w:rsid w:val="006E534F"/>
    <w:rsid w:val="006F09CD"/>
    <w:rsid w:val="006F6748"/>
    <w:rsid w:val="00701358"/>
    <w:rsid w:val="0070477B"/>
    <w:rsid w:val="00705E3D"/>
    <w:rsid w:val="00712720"/>
    <w:rsid w:val="00723EB2"/>
    <w:rsid w:val="0072726F"/>
    <w:rsid w:val="00730DA3"/>
    <w:rsid w:val="00733919"/>
    <w:rsid w:val="00734C66"/>
    <w:rsid w:val="00734CF0"/>
    <w:rsid w:val="00744E5E"/>
    <w:rsid w:val="00753205"/>
    <w:rsid w:val="007562CC"/>
    <w:rsid w:val="00757C14"/>
    <w:rsid w:val="007609EB"/>
    <w:rsid w:val="00760A5A"/>
    <w:rsid w:val="007613E4"/>
    <w:rsid w:val="0076661E"/>
    <w:rsid w:val="00766CD9"/>
    <w:rsid w:val="00766FCA"/>
    <w:rsid w:val="007725FE"/>
    <w:rsid w:val="00776D4C"/>
    <w:rsid w:val="0078119C"/>
    <w:rsid w:val="00782413"/>
    <w:rsid w:val="00782CC3"/>
    <w:rsid w:val="00792148"/>
    <w:rsid w:val="007A0680"/>
    <w:rsid w:val="007A10D3"/>
    <w:rsid w:val="007A1597"/>
    <w:rsid w:val="007A46CE"/>
    <w:rsid w:val="007A550C"/>
    <w:rsid w:val="007B2336"/>
    <w:rsid w:val="007B3A33"/>
    <w:rsid w:val="007B6859"/>
    <w:rsid w:val="007C0174"/>
    <w:rsid w:val="007C6D77"/>
    <w:rsid w:val="007C7B81"/>
    <w:rsid w:val="007D0D58"/>
    <w:rsid w:val="007D11BB"/>
    <w:rsid w:val="007E359B"/>
    <w:rsid w:val="0080040C"/>
    <w:rsid w:val="0080045E"/>
    <w:rsid w:val="0080434E"/>
    <w:rsid w:val="00804839"/>
    <w:rsid w:val="0080707C"/>
    <w:rsid w:val="00807277"/>
    <w:rsid w:val="008101C8"/>
    <w:rsid w:val="00812660"/>
    <w:rsid w:val="00813DF7"/>
    <w:rsid w:val="00816F11"/>
    <w:rsid w:val="00817680"/>
    <w:rsid w:val="00820095"/>
    <w:rsid w:val="008204FF"/>
    <w:rsid w:val="008211CB"/>
    <w:rsid w:val="00823B5C"/>
    <w:rsid w:val="0082464B"/>
    <w:rsid w:val="00831D4B"/>
    <w:rsid w:val="008327F4"/>
    <w:rsid w:val="008332D4"/>
    <w:rsid w:val="00834E7A"/>
    <w:rsid w:val="008376E1"/>
    <w:rsid w:val="008455DD"/>
    <w:rsid w:val="00857067"/>
    <w:rsid w:val="00857A5E"/>
    <w:rsid w:val="00864936"/>
    <w:rsid w:val="008704F0"/>
    <w:rsid w:val="00871DFD"/>
    <w:rsid w:val="008738AE"/>
    <w:rsid w:val="00873DA1"/>
    <w:rsid w:val="00875B30"/>
    <w:rsid w:val="00876816"/>
    <w:rsid w:val="00876A33"/>
    <w:rsid w:val="00891844"/>
    <w:rsid w:val="00894559"/>
    <w:rsid w:val="00894C2C"/>
    <w:rsid w:val="00894FB5"/>
    <w:rsid w:val="008A2C26"/>
    <w:rsid w:val="008A3F87"/>
    <w:rsid w:val="008A57ED"/>
    <w:rsid w:val="008B1249"/>
    <w:rsid w:val="008B2A2C"/>
    <w:rsid w:val="008B724F"/>
    <w:rsid w:val="008C0E84"/>
    <w:rsid w:val="008C129D"/>
    <w:rsid w:val="008C41DD"/>
    <w:rsid w:val="008E1ABE"/>
    <w:rsid w:val="008E1D33"/>
    <w:rsid w:val="008E232F"/>
    <w:rsid w:val="008E2C76"/>
    <w:rsid w:val="008E63BF"/>
    <w:rsid w:val="008E64CA"/>
    <w:rsid w:val="008E740C"/>
    <w:rsid w:val="008E7660"/>
    <w:rsid w:val="008F054E"/>
    <w:rsid w:val="008F14CC"/>
    <w:rsid w:val="008F338F"/>
    <w:rsid w:val="008F6DE9"/>
    <w:rsid w:val="00901442"/>
    <w:rsid w:val="00903C66"/>
    <w:rsid w:val="00905410"/>
    <w:rsid w:val="009066FF"/>
    <w:rsid w:val="00906D1F"/>
    <w:rsid w:val="009076BB"/>
    <w:rsid w:val="00910EFA"/>
    <w:rsid w:val="00912C66"/>
    <w:rsid w:val="00913571"/>
    <w:rsid w:val="0092313E"/>
    <w:rsid w:val="00923B6F"/>
    <w:rsid w:val="009261EB"/>
    <w:rsid w:val="00926AF5"/>
    <w:rsid w:val="009277DA"/>
    <w:rsid w:val="00934DC5"/>
    <w:rsid w:val="00936E86"/>
    <w:rsid w:val="009372B6"/>
    <w:rsid w:val="00943CE5"/>
    <w:rsid w:val="0094437F"/>
    <w:rsid w:val="009444C3"/>
    <w:rsid w:val="0094504C"/>
    <w:rsid w:val="0094539D"/>
    <w:rsid w:val="00945D1C"/>
    <w:rsid w:val="00946F66"/>
    <w:rsid w:val="009578DE"/>
    <w:rsid w:val="00957D4D"/>
    <w:rsid w:val="009607DA"/>
    <w:rsid w:val="009618DB"/>
    <w:rsid w:val="00970030"/>
    <w:rsid w:val="00973F3F"/>
    <w:rsid w:val="009745A1"/>
    <w:rsid w:val="00976144"/>
    <w:rsid w:val="00976B64"/>
    <w:rsid w:val="00980BD6"/>
    <w:rsid w:val="0098237A"/>
    <w:rsid w:val="00982E7C"/>
    <w:rsid w:val="00984553"/>
    <w:rsid w:val="009914D7"/>
    <w:rsid w:val="009923AC"/>
    <w:rsid w:val="00995018"/>
    <w:rsid w:val="00996713"/>
    <w:rsid w:val="00997B5F"/>
    <w:rsid w:val="009A5438"/>
    <w:rsid w:val="009A6691"/>
    <w:rsid w:val="009B00E2"/>
    <w:rsid w:val="009B6808"/>
    <w:rsid w:val="009C354C"/>
    <w:rsid w:val="009C5821"/>
    <w:rsid w:val="009C709D"/>
    <w:rsid w:val="009D2B8C"/>
    <w:rsid w:val="009D70CE"/>
    <w:rsid w:val="009E5183"/>
    <w:rsid w:val="009E5B14"/>
    <w:rsid w:val="009F0BC3"/>
    <w:rsid w:val="009F732A"/>
    <w:rsid w:val="00A00C16"/>
    <w:rsid w:val="00A0396F"/>
    <w:rsid w:val="00A03F48"/>
    <w:rsid w:val="00A04A47"/>
    <w:rsid w:val="00A062CC"/>
    <w:rsid w:val="00A06ADF"/>
    <w:rsid w:val="00A10AD4"/>
    <w:rsid w:val="00A124F1"/>
    <w:rsid w:val="00A16548"/>
    <w:rsid w:val="00A200AD"/>
    <w:rsid w:val="00A2593E"/>
    <w:rsid w:val="00A35883"/>
    <w:rsid w:val="00A37AB9"/>
    <w:rsid w:val="00A421FF"/>
    <w:rsid w:val="00A424EF"/>
    <w:rsid w:val="00A46FCF"/>
    <w:rsid w:val="00A51B57"/>
    <w:rsid w:val="00A538D3"/>
    <w:rsid w:val="00A60AED"/>
    <w:rsid w:val="00A62DCD"/>
    <w:rsid w:val="00A64F4A"/>
    <w:rsid w:val="00A732C6"/>
    <w:rsid w:val="00A75A08"/>
    <w:rsid w:val="00A8238A"/>
    <w:rsid w:val="00A82F5A"/>
    <w:rsid w:val="00A901EF"/>
    <w:rsid w:val="00A920B2"/>
    <w:rsid w:val="00A93915"/>
    <w:rsid w:val="00AA0F13"/>
    <w:rsid w:val="00AB4B3F"/>
    <w:rsid w:val="00AB773B"/>
    <w:rsid w:val="00AC3314"/>
    <w:rsid w:val="00AC419C"/>
    <w:rsid w:val="00AD0FBB"/>
    <w:rsid w:val="00AD6367"/>
    <w:rsid w:val="00AE30C5"/>
    <w:rsid w:val="00AE44F6"/>
    <w:rsid w:val="00AE6332"/>
    <w:rsid w:val="00AF23E0"/>
    <w:rsid w:val="00AF2617"/>
    <w:rsid w:val="00AF2A51"/>
    <w:rsid w:val="00AF2E2E"/>
    <w:rsid w:val="00AF2EB1"/>
    <w:rsid w:val="00AF6FEB"/>
    <w:rsid w:val="00B023E4"/>
    <w:rsid w:val="00B216F1"/>
    <w:rsid w:val="00B4257A"/>
    <w:rsid w:val="00B442DF"/>
    <w:rsid w:val="00B45399"/>
    <w:rsid w:val="00B71208"/>
    <w:rsid w:val="00B747D7"/>
    <w:rsid w:val="00B809FB"/>
    <w:rsid w:val="00B81588"/>
    <w:rsid w:val="00B81AF6"/>
    <w:rsid w:val="00B84C8D"/>
    <w:rsid w:val="00B8566D"/>
    <w:rsid w:val="00B867A3"/>
    <w:rsid w:val="00B907FC"/>
    <w:rsid w:val="00B915F0"/>
    <w:rsid w:val="00B954F7"/>
    <w:rsid w:val="00BA029B"/>
    <w:rsid w:val="00BA09E6"/>
    <w:rsid w:val="00BA2DB3"/>
    <w:rsid w:val="00BA58D4"/>
    <w:rsid w:val="00BA5DA3"/>
    <w:rsid w:val="00BA752A"/>
    <w:rsid w:val="00BB4E2C"/>
    <w:rsid w:val="00BC572E"/>
    <w:rsid w:val="00BC760F"/>
    <w:rsid w:val="00BD39F7"/>
    <w:rsid w:val="00BE1905"/>
    <w:rsid w:val="00BE4FE6"/>
    <w:rsid w:val="00BF33F5"/>
    <w:rsid w:val="00BF73AF"/>
    <w:rsid w:val="00C167B6"/>
    <w:rsid w:val="00C168B5"/>
    <w:rsid w:val="00C16E6A"/>
    <w:rsid w:val="00C16EEA"/>
    <w:rsid w:val="00C217A5"/>
    <w:rsid w:val="00C247B8"/>
    <w:rsid w:val="00C25D57"/>
    <w:rsid w:val="00C30865"/>
    <w:rsid w:val="00C40867"/>
    <w:rsid w:val="00C450A7"/>
    <w:rsid w:val="00C4669C"/>
    <w:rsid w:val="00C50B4B"/>
    <w:rsid w:val="00C51813"/>
    <w:rsid w:val="00C542BA"/>
    <w:rsid w:val="00C55011"/>
    <w:rsid w:val="00C61858"/>
    <w:rsid w:val="00C64A63"/>
    <w:rsid w:val="00C65B7B"/>
    <w:rsid w:val="00C66B87"/>
    <w:rsid w:val="00C7019F"/>
    <w:rsid w:val="00C727C6"/>
    <w:rsid w:val="00C760B8"/>
    <w:rsid w:val="00C76FE1"/>
    <w:rsid w:val="00C77619"/>
    <w:rsid w:val="00C923CE"/>
    <w:rsid w:val="00C9492D"/>
    <w:rsid w:val="00C94C16"/>
    <w:rsid w:val="00CA4375"/>
    <w:rsid w:val="00CA6A6B"/>
    <w:rsid w:val="00CB1F8E"/>
    <w:rsid w:val="00CB3055"/>
    <w:rsid w:val="00CC084B"/>
    <w:rsid w:val="00CC69DE"/>
    <w:rsid w:val="00CD3B4C"/>
    <w:rsid w:val="00CD45F4"/>
    <w:rsid w:val="00CD703A"/>
    <w:rsid w:val="00CE0D81"/>
    <w:rsid w:val="00CE2B4C"/>
    <w:rsid w:val="00CE595C"/>
    <w:rsid w:val="00CE756D"/>
    <w:rsid w:val="00CF5863"/>
    <w:rsid w:val="00D10203"/>
    <w:rsid w:val="00D13607"/>
    <w:rsid w:val="00D1521A"/>
    <w:rsid w:val="00D16BE4"/>
    <w:rsid w:val="00D2166B"/>
    <w:rsid w:val="00D30058"/>
    <w:rsid w:val="00D3133C"/>
    <w:rsid w:val="00D313C0"/>
    <w:rsid w:val="00D31A35"/>
    <w:rsid w:val="00D33781"/>
    <w:rsid w:val="00D37EA3"/>
    <w:rsid w:val="00D47406"/>
    <w:rsid w:val="00D50B44"/>
    <w:rsid w:val="00D5446A"/>
    <w:rsid w:val="00D566A5"/>
    <w:rsid w:val="00D65949"/>
    <w:rsid w:val="00D71684"/>
    <w:rsid w:val="00D7479D"/>
    <w:rsid w:val="00D766AF"/>
    <w:rsid w:val="00D774E9"/>
    <w:rsid w:val="00D82046"/>
    <w:rsid w:val="00D95716"/>
    <w:rsid w:val="00D95D87"/>
    <w:rsid w:val="00D969D0"/>
    <w:rsid w:val="00DA08B6"/>
    <w:rsid w:val="00DA1E44"/>
    <w:rsid w:val="00DA3DBD"/>
    <w:rsid w:val="00DA4518"/>
    <w:rsid w:val="00DB27AC"/>
    <w:rsid w:val="00DB3CBC"/>
    <w:rsid w:val="00DB49F9"/>
    <w:rsid w:val="00DB5ED6"/>
    <w:rsid w:val="00DB6814"/>
    <w:rsid w:val="00DC10C8"/>
    <w:rsid w:val="00DC1B79"/>
    <w:rsid w:val="00DE4E1B"/>
    <w:rsid w:val="00DE7B6A"/>
    <w:rsid w:val="00DF1D6F"/>
    <w:rsid w:val="00DF42F4"/>
    <w:rsid w:val="00DF7BA3"/>
    <w:rsid w:val="00E0541A"/>
    <w:rsid w:val="00E062D4"/>
    <w:rsid w:val="00E15207"/>
    <w:rsid w:val="00E20CD0"/>
    <w:rsid w:val="00E226D8"/>
    <w:rsid w:val="00E27797"/>
    <w:rsid w:val="00E31B61"/>
    <w:rsid w:val="00E340DA"/>
    <w:rsid w:val="00E36EEB"/>
    <w:rsid w:val="00E42D5D"/>
    <w:rsid w:val="00E45714"/>
    <w:rsid w:val="00E5417A"/>
    <w:rsid w:val="00E545DF"/>
    <w:rsid w:val="00E56616"/>
    <w:rsid w:val="00E56F0F"/>
    <w:rsid w:val="00E57284"/>
    <w:rsid w:val="00E66091"/>
    <w:rsid w:val="00E73AA8"/>
    <w:rsid w:val="00E802E9"/>
    <w:rsid w:val="00E840BD"/>
    <w:rsid w:val="00E91FB0"/>
    <w:rsid w:val="00E921D3"/>
    <w:rsid w:val="00E93B64"/>
    <w:rsid w:val="00EA013E"/>
    <w:rsid w:val="00EA4BCD"/>
    <w:rsid w:val="00EA5320"/>
    <w:rsid w:val="00EA56BB"/>
    <w:rsid w:val="00EC257C"/>
    <w:rsid w:val="00ED04E9"/>
    <w:rsid w:val="00ED5C86"/>
    <w:rsid w:val="00ED5CD5"/>
    <w:rsid w:val="00ED78EF"/>
    <w:rsid w:val="00EF1BE6"/>
    <w:rsid w:val="00F011B2"/>
    <w:rsid w:val="00F0375E"/>
    <w:rsid w:val="00F04C6B"/>
    <w:rsid w:val="00F17696"/>
    <w:rsid w:val="00F22C52"/>
    <w:rsid w:val="00F23FE5"/>
    <w:rsid w:val="00F34F6E"/>
    <w:rsid w:val="00F34FA7"/>
    <w:rsid w:val="00F35E58"/>
    <w:rsid w:val="00F37183"/>
    <w:rsid w:val="00F424EA"/>
    <w:rsid w:val="00F42BA2"/>
    <w:rsid w:val="00F4749D"/>
    <w:rsid w:val="00F52BE1"/>
    <w:rsid w:val="00F5418F"/>
    <w:rsid w:val="00F5791F"/>
    <w:rsid w:val="00F57A78"/>
    <w:rsid w:val="00F60CDE"/>
    <w:rsid w:val="00F702C1"/>
    <w:rsid w:val="00F760A0"/>
    <w:rsid w:val="00F80BF0"/>
    <w:rsid w:val="00F94D4E"/>
    <w:rsid w:val="00F952AC"/>
    <w:rsid w:val="00F97F8A"/>
    <w:rsid w:val="00FA2FC5"/>
    <w:rsid w:val="00FA40BD"/>
    <w:rsid w:val="00FB3AC9"/>
    <w:rsid w:val="00FC0226"/>
    <w:rsid w:val="00FC74EC"/>
    <w:rsid w:val="00FC7C38"/>
    <w:rsid w:val="00FD50EC"/>
    <w:rsid w:val="00FD5D4B"/>
    <w:rsid w:val="00FE2393"/>
    <w:rsid w:val="00FE736B"/>
    <w:rsid w:val="00FF1245"/>
    <w:rsid w:val="00FF1E21"/>
    <w:rsid w:val="00FF2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54A92-EAB8-4540-8F11-6B0D065B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B1"/>
    <w:pPr>
      <w:spacing w:after="200" w:line="276" w:lineRule="auto"/>
    </w:pPr>
    <w:rPr>
      <w:rFonts w:ascii="Arial" w:eastAsia="Times New Roman" w:hAnsi="Arial"/>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9214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92148"/>
    <w:rPr>
      <w:rFonts w:ascii="Tahoma" w:eastAsia="Times New Roman" w:hAnsi="Tahoma" w:cs="Tahoma"/>
      <w:sz w:val="16"/>
      <w:szCs w:val="16"/>
      <w:lang w:eastAsia="pt-BR"/>
    </w:rPr>
  </w:style>
  <w:style w:type="paragraph" w:customStyle="1" w:styleId="GradeMdia21">
    <w:name w:val="Grade Média 21"/>
    <w:aliases w:val="Texto"/>
    <w:basedOn w:val="Normal"/>
    <w:next w:val="Normal"/>
    <w:link w:val="GradeMdia2Char"/>
    <w:autoRedefine/>
    <w:uiPriority w:val="1"/>
    <w:qFormat/>
    <w:rsid w:val="001D23EC"/>
    <w:pPr>
      <w:spacing w:after="0" w:line="240" w:lineRule="auto"/>
      <w:jc w:val="both"/>
    </w:pPr>
    <w:rPr>
      <w:rFonts w:ascii="Times New Roman" w:eastAsia="Calibri" w:hAnsi="Times New Roman"/>
      <w:noProof/>
      <w:color w:val="000000"/>
      <w:szCs w:val="24"/>
      <w:lang w:eastAsia="en-US"/>
    </w:rPr>
  </w:style>
  <w:style w:type="character" w:customStyle="1" w:styleId="GradeMdia2Char">
    <w:name w:val="Grade Média 2 Char"/>
    <w:aliases w:val="Texto Char"/>
    <w:link w:val="GradeMdia21"/>
    <w:uiPriority w:val="1"/>
    <w:rsid w:val="001D23EC"/>
    <w:rPr>
      <w:rFonts w:eastAsia="Calibri"/>
      <w:noProof/>
      <w:color w:val="000000"/>
      <w:szCs w:val="24"/>
    </w:rPr>
  </w:style>
  <w:style w:type="character" w:styleId="Refdecomentrio">
    <w:name w:val="annotation reference"/>
    <w:uiPriority w:val="99"/>
    <w:semiHidden/>
    <w:unhideWhenUsed/>
    <w:rsid w:val="00A901EF"/>
    <w:rPr>
      <w:sz w:val="18"/>
      <w:szCs w:val="18"/>
    </w:rPr>
  </w:style>
  <w:style w:type="paragraph" w:styleId="Textodecomentrio">
    <w:name w:val="annotation text"/>
    <w:basedOn w:val="Normal"/>
    <w:link w:val="TextodecomentrioChar"/>
    <w:uiPriority w:val="99"/>
    <w:semiHidden/>
    <w:unhideWhenUsed/>
    <w:rsid w:val="00A901EF"/>
    <w:pPr>
      <w:spacing w:line="240" w:lineRule="auto"/>
    </w:pPr>
    <w:rPr>
      <w:szCs w:val="24"/>
    </w:rPr>
  </w:style>
  <w:style w:type="character" w:customStyle="1" w:styleId="TextodecomentrioChar">
    <w:name w:val="Texto de comentário Char"/>
    <w:link w:val="Textodecomentrio"/>
    <w:uiPriority w:val="99"/>
    <w:semiHidden/>
    <w:rsid w:val="00A901EF"/>
    <w:rPr>
      <w:rFonts w:ascii="Arial" w:eastAsia="Times New Roman" w:hAnsi="Arial" w:cs="Times New Roman"/>
      <w:szCs w:val="24"/>
      <w:lang w:eastAsia="pt-BR"/>
    </w:rPr>
  </w:style>
  <w:style w:type="paragraph" w:styleId="Assuntodocomentrio">
    <w:name w:val="annotation subject"/>
    <w:basedOn w:val="Textodecomentrio"/>
    <w:next w:val="Textodecomentrio"/>
    <w:link w:val="AssuntodocomentrioChar"/>
    <w:uiPriority w:val="99"/>
    <w:semiHidden/>
    <w:unhideWhenUsed/>
    <w:rsid w:val="00A901EF"/>
    <w:rPr>
      <w:b/>
      <w:bCs/>
      <w:sz w:val="20"/>
      <w:szCs w:val="20"/>
    </w:rPr>
  </w:style>
  <w:style w:type="character" w:customStyle="1" w:styleId="AssuntodocomentrioChar">
    <w:name w:val="Assunto do comentário Char"/>
    <w:link w:val="Assuntodocomentrio"/>
    <w:uiPriority w:val="99"/>
    <w:semiHidden/>
    <w:rsid w:val="00A901EF"/>
    <w:rPr>
      <w:rFonts w:ascii="Arial" w:eastAsia="Times New Roman" w:hAnsi="Arial" w:cs="Times New Roman"/>
      <w:b/>
      <w:bCs/>
      <w:sz w:val="20"/>
      <w:szCs w:val="20"/>
      <w:lang w:eastAsia="pt-BR"/>
    </w:rPr>
  </w:style>
  <w:style w:type="paragraph" w:styleId="Cabealho">
    <w:name w:val="header"/>
    <w:basedOn w:val="Normal"/>
    <w:link w:val="CabealhoChar"/>
    <w:uiPriority w:val="99"/>
    <w:unhideWhenUsed/>
    <w:rsid w:val="005A197E"/>
    <w:pPr>
      <w:tabs>
        <w:tab w:val="center" w:pos="4252"/>
        <w:tab w:val="right" w:pos="8504"/>
      </w:tabs>
      <w:spacing w:after="0" w:line="240" w:lineRule="auto"/>
    </w:pPr>
  </w:style>
  <w:style w:type="character" w:customStyle="1" w:styleId="CabealhoChar">
    <w:name w:val="Cabeçalho Char"/>
    <w:link w:val="Cabealho"/>
    <w:uiPriority w:val="99"/>
    <w:rsid w:val="005A197E"/>
    <w:rPr>
      <w:rFonts w:ascii="Arial" w:eastAsia="Times New Roman" w:hAnsi="Arial" w:cs="Times New Roman"/>
      <w:lang w:eastAsia="pt-BR"/>
    </w:rPr>
  </w:style>
  <w:style w:type="paragraph" w:styleId="Rodap">
    <w:name w:val="footer"/>
    <w:basedOn w:val="Normal"/>
    <w:link w:val="RodapChar"/>
    <w:uiPriority w:val="99"/>
    <w:unhideWhenUsed/>
    <w:rsid w:val="005A197E"/>
    <w:pPr>
      <w:tabs>
        <w:tab w:val="center" w:pos="4252"/>
        <w:tab w:val="right" w:pos="8504"/>
      </w:tabs>
      <w:spacing w:after="0" w:line="240" w:lineRule="auto"/>
    </w:pPr>
  </w:style>
  <w:style w:type="character" w:customStyle="1" w:styleId="RodapChar">
    <w:name w:val="Rodapé Char"/>
    <w:link w:val="Rodap"/>
    <w:uiPriority w:val="99"/>
    <w:rsid w:val="005A197E"/>
    <w:rPr>
      <w:rFonts w:ascii="Arial" w:eastAsia="Times New Roman" w:hAnsi="Arial" w:cs="Times New Roman"/>
      <w:lang w:eastAsia="pt-BR"/>
    </w:rPr>
  </w:style>
  <w:style w:type="table" w:styleId="Tabelacomgrade">
    <w:name w:val="Table Grid"/>
    <w:basedOn w:val="Tabelanormal"/>
    <w:uiPriority w:val="59"/>
    <w:rsid w:val="0012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35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7355">
      <w:bodyDiv w:val="1"/>
      <w:marLeft w:val="0"/>
      <w:marRight w:val="0"/>
      <w:marTop w:val="0"/>
      <w:marBottom w:val="0"/>
      <w:divBdr>
        <w:top w:val="none" w:sz="0" w:space="0" w:color="auto"/>
        <w:left w:val="none" w:sz="0" w:space="0" w:color="auto"/>
        <w:bottom w:val="none" w:sz="0" w:space="0" w:color="auto"/>
        <w:right w:val="none" w:sz="0" w:space="0" w:color="auto"/>
      </w:divBdr>
      <w:divsChild>
        <w:div w:id="314186307">
          <w:marLeft w:val="547"/>
          <w:marRight w:val="0"/>
          <w:marTop w:val="0"/>
          <w:marBottom w:val="0"/>
          <w:divBdr>
            <w:top w:val="none" w:sz="0" w:space="0" w:color="auto"/>
            <w:left w:val="none" w:sz="0" w:space="0" w:color="auto"/>
            <w:bottom w:val="none" w:sz="0" w:space="0" w:color="auto"/>
            <w:right w:val="none" w:sz="0" w:space="0" w:color="auto"/>
          </w:divBdr>
        </w:div>
      </w:divsChild>
    </w:div>
    <w:div w:id="690254374">
      <w:bodyDiv w:val="1"/>
      <w:marLeft w:val="0"/>
      <w:marRight w:val="0"/>
      <w:marTop w:val="0"/>
      <w:marBottom w:val="0"/>
      <w:divBdr>
        <w:top w:val="none" w:sz="0" w:space="0" w:color="auto"/>
        <w:left w:val="none" w:sz="0" w:space="0" w:color="auto"/>
        <w:bottom w:val="none" w:sz="0" w:space="0" w:color="auto"/>
        <w:right w:val="none" w:sz="0" w:space="0" w:color="auto"/>
      </w:divBdr>
    </w:div>
    <w:div w:id="715736241">
      <w:bodyDiv w:val="1"/>
      <w:marLeft w:val="0"/>
      <w:marRight w:val="0"/>
      <w:marTop w:val="0"/>
      <w:marBottom w:val="0"/>
      <w:divBdr>
        <w:top w:val="none" w:sz="0" w:space="0" w:color="auto"/>
        <w:left w:val="none" w:sz="0" w:space="0" w:color="auto"/>
        <w:bottom w:val="none" w:sz="0" w:space="0" w:color="auto"/>
        <w:right w:val="none" w:sz="0" w:space="0" w:color="auto"/>
      </w:divBdr>
      <w:divsChild>
        <w:div w:id="1381588176">
          <w:marLeft w:val="547"/>
          <w:marRight w:val="0"/>
          <w:marTop w:val="0"/>
          <w:marBottom w:val="0"/>
          <w:divBdr>
            <w:top w:val="none" w:sz="0" w:space="0" w:color="auto"/>
            <w:left w:val="none" w:sz="0" w:space="0" w:color="auto"/>
            <w:bottom w:val="none" w:sz="0" w:space="0" w:color="auto"/>
            <w:right w:val="none" w:sz="0" w:space="0" w:color="auto"/>
          </w:divBdr>
        </w:div>
      </w:divsChild>
    </w:div>
    <w:div w:id="969358220">
      <w:bodyDiv w:val="1"/>
      <w:marLeft w:val="0"/>
      <w:marRight w:val="0"/>
      <w:marTop w:val="0"/>
      <w:marBottom w:val="0"/>
      <w:divBdr>
        <w:top w:val="none" w:sz="0" w:space="0" w:color="auto"/>
        <w:left w:val="none" w:sz="0" w:space="0" w:color="auto"/>
        <w:bottom w:val="none" w:sz="0" w:space="0" w:color="auto"/>
        <w:right w:val="none" w:sz="0" w:space="0" w:color="auto"/>
      </w:divBdr>
    </w:div>
    <w:div w:id="981349749">
      <w:bodyDiv w:val="1"/>
      <w:marLeft w:val="0"/>
      <w:marRight w:val="0"/>
      <w:marTop w:val="0"/>
      <w:marBottom w:val="0"/>
      <w:divBdr>
        <w:top w:val="none" w:sz="0" w:space="0" w:color="auto"/>
        <w:left w:val="none" w:sz="0" w:space="0" w:color="auto"/>
        <w:bottom w:val="none" w:sz="0" w:space="0" w:color="auto"/>
        <w:right w:val="none" w:sz="0" w:space="0" w:color="auto"/>
      </w:divBdr>
      <w:divsChild>
        <w:div w:id="1702245458">
          <w:marLeft w:val="547"/>
          <w:marRight w:val="0"/>
          <w:marTop w:val="0"/>
          <w:marBottom w:val="0"/>
          <w:divBdr>
            <w:top w:val="none" w:sz="0" w:space="0" w:color="auto"/>
            <w:left w:val="none" w:sz="0" w:space="0" w:color="auto"/>
            <w:bottom w:val="none" w:sz="0" w:space="0" w:color="auto"/>
            <w:right w:val="none" w:sz="0" w:space="0" w:color="auto"/>
          </w:divBdr>
        </w:div>
      </w:divsChild>
    </w:div>
    <w:div w:id="1072699243">
      <w:bodyDiv w:val="1"/>
      <w:marLeft w:val="0"/>
      <w:marRight w:val="0"/>
      <w:marTop w:val="0"/>
      <w:marBottom w:val="0"/>
      <w:divBdr>
        <w:top w:val="none" w:sz="0" w:space="0" w:color="auto"/>
        <w:left w:val="none" w:sz="0" w:space="0" w:color="auto"/>
        <w:bottom w:val="none" w:sz="0" w:space="0" w:color="auto"/>
        <w:right w:val="none" w:sz="0" w:space="0" w:color="auto"/>
      </w:divBdr>
    </w:div>
    <w:div w:id="1082026806">
      <w:bodyDiv w:val="1"/>
      <w:marLeft w:val="0"/>
      <w:marRight w:val="0"/>
      <w:marTop w:val="0"/>
      <w:marBottom w:val="0"/>
      <w:divBdr>
        <w:top w:val="none" w:sz="0" w:space="0" w:color="auto"/>
        <w:left w:val="none" w:sz="0" w:space="0" w:color="auto"/>
        <w:bottom w:val="none" w:sz="0" w:space="0" w:color="auto"/>
        <w:right w:val="none" w:sz="0" w:space="0" w:color="auto"/>
      </w:divBdr>
      <w:divsChild>
        <w:div w:id="244606241">
          <w:marLeft w:val="0"/>
          <w:marRight w:val="0"/>
          <w:marTop w:val="0"/>
          <w:marBottom w:val="0"/>
          <w:divBdr>
            <w:top w:val="none" w:sz="0" w:space="0" w:color="auto"/>
            <w:left w:val="none" w:sz="0" w:space="0" w:color="auto"/>
            <w:bottom w:val="none" w:sz="0" w:space="0" w:color="auto"/>
            <w:right w:val="none" w:sz="0" w:space="0" w:color="auto"/>
          </w:divBdr>
          <w:divsChild>
            <w:div w:id="1078790095">
              <w:marLeft w:val="0"/>
              <w:marRight w:val="60"/>
              <w:marTop w:val="0"/>
              <w:marBottom w:val="0"/>
              <w:divBdr>
                <w:top w:val="none" w:sz="0" w:space="0" w:color="auto"/>
                <w:left w:val="none" w:sz="0" w:space="0" w:color="auto"/>
                <w:bottom w:val="none" w:sz="0" w:space="0" w:color="auto"/>
                <w:right w:val="none" w:sz="0" w:space="0" w:color="auto"/>
              </w:divBdr>
              <w:divsChild>
                <w:div w:id="1266696912">
                  <w:marLeft w:val="0"/>
                  <w:marRight w:val="0"/>
                  <w:marTop w:val="0"/>
                  <w:marBottom w:val="120"/>
                  <w:divBdr>
                    <w:top w:val="single" w:sz="6" w:space="0" w:color="C0C0C0"/>
                    <w:left w:val="single" w:sz="6" w:space="0" w:color="D9D9D9"/>
                    <w:bottom w:val="single" w:sz="6" w:space="0" w:color="D9D9D9"/>
                    <w:right w:val="single" w:sz="6" w:space="0" w:color="D9D9D9"/>
                  </w:divBdr>
                  <w:divsChild>
                    <w:div w:id="36899922">
                      <w:marLeft w:val="0"/>
                      <w:marRight w:val="0"/>
                      <w:marTop w:val="0"/>
                      <w:marBottom w:val="0"/>
                      <w:divBdr>
                        <w:top w:val="none" w:sz="0" w:space="0" w:color="auto"/>
                        <w:left w:val="none" w:sz="0" w:space="0" w:color="auto"/>
                        <w:bottom w:val="none" w:sz="0" w:space="0" w:color="auto"/>
                        <w:right w:val="none" w:sz="0" w:space="0" w:color="auto"/>
                      </w:divBdr>
                    </w:div>
                    <w:div w:id="6322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1494">
          <w:marLeft w:val="0"/>
          <w:marRight w:val="0"/>
          <w:marTop w:val="0"/>
          <w:marBottom w:val="0"/>
          <w:divBdr>
            <w:top w:val="none" w:sz="0" w:space="0" w:color="auto"/>
            <w:left w:val="none" w:sz="0" w:space="0" w:color="auto"/>
            <w:bottom w:val="none" w:sz="0" w:space="0" w:color="auto"/>
            <w:right w:val="none" w:sz="0" w:space="0" w:color="auto"/>
          </w:divBdr>
          <w:divsChild>
            <w:div w:id="106195513">
              <w:marLeft w:val="60"/>
              <w:marRight w:val="0"/>
              <w:marTop w:val="0"/>
              <w:marBottom w:val="0"/>
              <w:divBdr>
                <w:top w:val="none" w:sz="0" w:space="0" w:color="auto"/>
                <w:left w:val="none" w:sz="0" w:space="0" w:color="auto"/>
                <w:bottom w:val="none" w:sz="0" w:space="0" w:color="auto"/>
                <w:right w:val="none" w:sz="0" w:space="0" w:color="auto"/>
              </w:divBdr>
              <w:divsChild>
                <w:div w:id="688795004">
                  <w:marLeft w:val="0"/>
                  <w:marRight w:val="0"/>
                  <w:marTop w:val="0"/>
                  <w:marBottom w:val="0"/>
                  <w:divBdr>
                    <w:top w:val="none" w:sz="0" w:space="0" w:color="auto"/>
                    <w:left w:val="none" w:sz="0" w:space="0" w:color="auto"/>
                    <w:bottom w:val="none" w:sz="0" w:space="0" w:color="auto"/>
                    <w:right w:val="none" w:sz="0" w:space="0" w:color="auto"/>
                  </w:divBdr>
                  <w:divsChild>
                    <w:div w:id="8221211">
                      <w:marLeft w:val="0"/>
                      <w:marRight w:val="0"/>
                      <w:marTop w:val="0"/>
                      <w:marBottom w:val="120"/>
                      <w:divBdr>
                        <w:top w:val="single" w:sz="6" w:space="0" w:color="F5F5F5"/>
                        <w:left w:val="single" w:sz="6" w:space="0" w:color="F5F5F5"/>
                        <w:bottom w:val="single" w:sz="6" w:space="0" w:color="F5F5F5"/>
                        <w:right w:val="single" w:sz="6" w:space="0" w:color="F5F5F5"/>
                      </w:divBdr>
                      <w:divsChild>
                        <w:div w:id="51122657">
                          <w:marLeft w:val="0"/>
                          <w:marRight w:val="0"/>
                          <w:marTop w:val="0"/>
                          <w:marBottom w:val="0"/>
                          <w:divBdr>
                            <w:top w:val="none" w:sz="0" w:space="0" w:color="auto"/>
                            <w:left w:val="none" w:sz="0" w:space="0" w:color="auto"/>
                            <w:bottom w:val="none" w:sz="0" w:space="0" w:color="auto"/>
                            <w:right w:val="none" w:sz="0" w:space="0" w:color="auto"/>
                          </w:divBdr>
                          <w:divsChild>
                            <w:div w:id="10468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9570">
      <w:bodyDiv w:val="1"/>
      <w:marLeft w:val="0"/>
      <w:marRight w:val="0"/>
      <w:marTop w:val="0"/>
      <w:marBottom w:val="0"/>
      <w:divBdr>
        <w:top w:val="none" w:sz="0" w:space="0" w:color="auto"/>
        <w:left w:val="none" w:sz="0" w:space="0" w:color="auto"/>
        <w:bottom w:val="none" w:sz="0" w:space="0" w:color="auto"/>
        <w:right w:val="none" w:sz="0" w:space="0" w:color="auto"/>
      </w:divBdr>
    </w:div>
    <w:div w:id="1280990034">
      <w:bodyDiv w:val="1"/>
      <w:marLeft w:val="0"/>
      <w:marRight w:val="0"/>
      <w:marTop w:val="0"/>
      <w:marBottom w:val="0"/>
      <w:divBdr>
        <w:top w:val="none" w:sz="0" w:space="0" w:color="auto"/>
        <w:left w:val="none" w:sz="0" w:space="0" w:color="auto"/>
        <w:bottom w:val="none" w:sz="0" w:space="0" w:color="auto"/>
        <w:right w:val="none" w:sz="0" w:space="0" w:color="auto"/>
      </w:divBdr>
    </w:div>
    <w:div w:id="1549486020">
      <w:bodyDiv w:val="1"/>
      <w:marLeft w:val="0"/>
      <w:marRight w:val="0"/>
      <w:marTop w:val="0"/>
      <w:marBottom w:val="0"/>
      <w:divBdr>
        <w:top w:val="none" w:sz="0" w:space="0" w:color="auto"/>
        <w:left w:val="none" w:sz="0" w:space="0" w:color="auto"/>
        <w:bottom w:val="none" w:sz="0" w:space="0" w:color="auto"/>
        <w:right w:val="none" w:sz="0" w:space="0" w:color="auto"/>
      </w:divBdr>
    </w:div>
    <w:div w:id="1661035425">
      <w:bodyDiv w:val="1"/>
      <w:marLeft w:val="0"/>
      <w:marRight w:val="0"/>
      <w:marTop w:val="0"/>
      <w:marBottom w:val="0"/>
      <w:divBdr>
        <w:top w:val="none" w:sz="0" w:space="0" w:color="auto"/>
        <w:left w:val="none" w:sz="0" w:space="0" w:color="auto"/>
        <w:bottom w:val="none" w:sz="0" w:space="0" w:color="auto"/>
        <w:right w:val="none" w:sz="0" w:space="0" w:color="auto"/>
      </w:divBdr>
      <w:divsChild>
        <w:div w:id="1288851097">
          <w:marLeft w:val="547"/>
          <w:marRight w:val="0"/>
          <w:marTop w:val="0"/>
          <w:marBottom w:val="0"/>
          <w:divBdr>
            <w:top w:val="none" w:sz="0" w:space="0" w:color="auto"/>
            <w:left w:val="none" w:sz="0" w:space="0" w:color="auto"/>
            <w:bottom w:val="none" w:sz="0" w:space="0" w:color="auto"/>
            <w:right w:val="none" w:sz="0" w:space="0" w:color="auto"/>
          </w:divBdr>
        </w:div>
      </w:divsChild>
    </w:div>
    <w:div w:id="1902668079">
      <w:bodyDiv w:val="1"/>
      <w:marLeft w:val="0"/>
      <w:marRight w:val="0"/>
      <w:marTop w:val="0"/>
      <w:marBottom w:val="0"/>
      <w:divBdr>
        <w:top w:val="none" w:sz="0" w:space="0" w:color="auto"/>
        <w:left w:val="none" w:sz="0" w:space="0" w:color="auto"/>
        <w:bottom w:val="none" w:sz="0" w:space="0" w:color="auto"/>
        <w:right w:val="none" w:sz="0" w:space="0" w:color="auto"/>
      </w:divBdr>
      <w:divsChild>
        <w:div w:id="1895238917">
          <w:marLeft w:val="547"/>
          <w:marRight w:val="0"/>
          <w:marTop w:val="0"/>
          <w:marBottom w:val="0"/>
          <w:divBdr>
            <w:top w:val="none" w:sz="0" w:space="0" w:color="auto"/>
            <w:left w:val="none" w:sz="0" w:space="0" w:color="auto"/>
            <w:bottom w:val="none" w:sz="0" w:space="0" w:color="auto"/>
            <w:right w:val="none" w:sz="0" w:space="0" w:color="auto"/>
          </w:divBdr>
        </w:div>
      </w:divsChild>
    </w:div>
    <w:div w:id="1987588350">
      <w:bodyDiv w:val="1"/>
      <w:marLeft w:val="0"/>
      <w:marRight w:val="0"/>
      <w:marTop w:val="0"/>
      <w:marBottom w:val="0"/>
      <w:divBdr>
        <w:top w:val="none" w:sz="0" w:space="0" w:color="auto"/>
        <w:left w:val="none" w:sz="0" w:space="0" w:color="auto"/>
        <w:bottom w:val="none" w:sz="0" w:space="0" w:color="auto"/>
        <w:right w:val="none" w:sz="0" w:space="0" w:color="auto"/>
      </w:divBdr>
      <w:divsChild>
        <w:div w:id="1400789542">
          <w:marLeft w:val="547"/>
          <w:marRight w:val="0"/>
          <w:marTop w:val="0"/>
          <w:marBottom w:val="0"/>
          <w:divBdr>
            <w:top w:val="none" w:sz="0" w:space="0" w:color="auto"/>
            <w:left w:val="none" w:sz="0" w:space="0" w:color="auto"/>
            <w:bottom w:val="none" w:sz="0" w:space="0" w:color="auto"/>
            <w:right w:val="none" w:sz="0" w:space="0" w:color="auto"/>
          </w:divBdr>
        </w:div>
      </w:divsChild>
    </w:div>
    <w:div w:id="200640103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20">
          <w:marLeft w:val="0"/>
          <w:marRight w:val="0"/>
          <w:marTop w:val="0"/>
          <w:marBottom w:val="0"/>
          <w:divBdr>
            <w:top w:val="none" w:sz="0" w:space="0" w:color="auto"/>
            <w:left w:val="none" w:sz="0" w:space="0" w:color="auto"/>
            <w:bottom w:val="none" w:sz="0" w:space="0" w:color="auto"/>
            <w:right w:val="none" w:sz="0" w:space="0" w:color="auto"/>
          </w:divBdr>
        </w:div>
        <w:div w:id="175617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7277641619300701E-4"/>
          <c:y val="0.15317822560315555"/>
          <c:w val="0.65804905181554296"/>
          <c:h val="0.81715082224891378"/>
        </c:manualLayout>
      </c:layout>
      <c:pie3DChart>
        <c:varyColors val="1"/>
        <c:ser>
          <c:idx val="0"/>
          <c:order val="0"/>
          <c:dPt>
            <c:idx val="0"/>
            <c:bubble3D val="0"/>
          </c:dPt>
          <c:dPt>
            <c:idx val="1"/>
            <c:bubble3D val="0"/>
          </c:dPt>
          <c:dPt>
            <c:idx val="2"/>
            <c:bubble3D val="0"/>
          </c:dPt>
          <c:dLbls>
            <c:dLbl>
              <c:idx val="0"/>
              <c:layout>
                <c:manualLayout>
                  <c:x val="3.1434183309867726E-2"/>
                  <c:y val="6.5770422764950986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3.7384019050598807E-2"/>
                  <c:y val="7.312602873793318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4.963463176374476E-2"/>
                  <c:y val="-5.4613935969868174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'Q16 - Como é mensurado'!$E$15:$E$17</c:f>
              <c:strCache>
                <c:ptCount val="3"/>
                <c:pt idx="0">
                  <c:v>Fair value - Fluxo de Caixa Descontado (23)</c:v>
                </c:pt>
                <c:pt idx="1">
                  <c:v>Fair value - mercado ativo (6)</c:v>
                </c:pt>
                <c:pt idx="2">
                  <c:v>Custo histórico (3)</c:v>
                </c:pt>
              </c:strCache>
            </c:strRef>
          </c:cat>
          <c:val>
            <c:numRef>
              <c:f>'Q16 - Como é mensurado'!$F$15:$F$17</c:f>
              <c:numCache>
                <c:formatCode>ge\r\a\l</c:formatCode>
                <c:ptCount val="3"/>
                <c:pt idx="0">
                  <c:v>23</c:v>
                </c:pt>
                <c:pt idx="1">
                  <c:v>6</c:v>
                </c:pt>
                <c:pt idx="2">
                  <c:v>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5472719055813391"/>
          <c:y val="0.23154292154158695"/>
          <c:w val="0.42521336323025849"/>
          <c:h val="0.43359825321295897"/>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6FDEC7-84EA-48AE-8BD8-E34D6231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19</Pages>
  <Words>31409</Words>
  <Characters>169610</Characters>
  <Application>Microsoft Office Word</Application>
  <DocSecurity>0</DocSecurity>
  <Lines>1413</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Revisor1</cp:lastModifiedBy>
  <cp:revision>73</cp:revision>
  <cp:lastPrinted>2018-01-10T11:07:00Z</cp:lastPrinted>
  <dcterms:created xsi:type="dcterms:W3CDTF">2018-12-03T18:23:00Z</dcterms:created>
  <dcterms:modified xsi:type="dcterms:W3CDTF">2018-12-04T13:45:00Z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http://www.zotero.org/styles/apa-old-doi-prefix</vt:lpwstr>
  </property>
  <property fmtid="{D5CDD505-2E9C-101B-9397-08002B2CF9AE}" pid="9" name="Mendeley Recent Style Name 3_1">
    <vt:lpwstr>American Psychological Association 6th edition ("doi:" DOI prefix)</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http://www.zotero.org/styles/associacao-brasileira-de-normas-tecnicas</vt:lpwstr>
  </property>
  <property fmtid="{D5CDD505-2E9C-101B-9397-08002B2CF9AE}" pid="13" name="Mendeley Recent Style Name 5_1">
    <vt:lpwstr>Associação Brasileira de Normas Técnicas (Portuguese - Brazil)</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16th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Harvard - Cite Them Right 9th edition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http://www.zotero.org/styles/associacao-brasileira-de-normas-tecnicas-ufrgs-initials</vt:lpwstr>
  </property>
  <property fmtid="{D5CDD505-2E9C-101B-9397-08002B2CF9AE}" pid="21" name="Mendeley Recent Style Name 9_1">
    <vt:lpwstr>Universidade Federal do Rio Grande do Sul - SBUFRGS - ABNT (autoria abreviada) (Portuguese - Brazil)</vt:lpwstr>
  </property>
  <property fmtid="{D5CDD505-2E9C-101B-9397-08002B2CF9AE}" pid="22" name="Mendeley Document_1">
    <vt:lpwstr>True</vt:lpwstr>
  </property>
  <property fmtid="{D5CDD505-2E9C-101B-9397-08002B2CF9AE}" pid="23" name="Mendeley Unique User Id_1">
    <vt:lpwstr>8a9fb8e2-510d-397a-ae88-94b45bb29b19</vt:lpwstr>
  </property>
  <property fmtid="{D5CDD505-2E9C-101B-9397-08002B2CF9AE}" pid="24" name="Mendeley Citation Style_1">
    <vt:lpwstr>http://www.zotero.org/styles/associacao-brasileira-de-normas-tecnicas</vt:lpwstr>
  </property>
</Properties>
</file>