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259DA" w14:textId="457505A2" w:rsidR="0043083B" w:rsidRDefault="0040148E" w:rsidP="00C5195E">
      <w:pPr>
        <w:pStyle w:val="Ttulo3"/>
        <w:shd w:val="clear" w:color="auto" w:fill="FFFFFF"/>
        <w:spacing w:before="300" w:beforeAutospacing="0" w:after="150" w:afterAutospacing="0"/>
        <w:jc w:val="center"/>
        <w:rPr>
          <w:sz w:val="24"/>
          <w:szCs w:val="24"/>
        </w:rPr>
      </w:pPr>
      <w:r w:rsidRPr="00F62FC8">
        <w:rPr>
          <w:rFonts w:eastAsiaTheme="minorHAnsi" w:cstheme="minorBidi"/>
          <w:bCs w:val="0"/>
          <w:sz w:val="24"/>
          <w:szCs w:val="24"/>
          <w:lang w:eastAsia="en-US"/>
        </w:rPr>
        <w:t xml:space="preserve">Governança e </w:t>
      </w:r>
      <w:r w:rsidR="00C123F9" w:rsidRPr="00F62FC8">
        <w:rPr>
          <w:rFonts w:eastAsiaTheme="minorHAnsi" w:cstheme="minorBidi"/>
          <w:bCs w:val="0"/>
          <w:sz w:val="24"/>
          <w:szCs w:val="24"/>
          <w:lang w:eastAsia="en-US"/>
        </w:rPr>
        <w:t>Leg</w:t>
      </w:r>
      <w:bookmarkStart w:id="0" w:name="_GoBack"/>
      <w:bookmarkEnd w:id="0"/>
      <w:r w:rsidR="00C123F9" w:rsidRPr="00F62FC8">
        <w:rPr>
          <w:rFonts w:eastAsiaTheme="minorHAnsi" w:cstheme="minorBidi"/>
          <w:bCs w:val="0"/>
          <w:sz w:val="24"/>
          <w:szCs w:val="24"/>
          <w:lang w:eastAsia="en-US"/>
        </w:rPr>
        <w:t>itimidade</w:t>
      </w:r>
      <w:r w:rsidRPr="00F62FC8">
        <w:rPr>
          <w:rFonts w:eastAsiaTheme="minorHAnsi" w:cstheme="minorBidi"/>
          <w:bCs w:val="0"/>
          <w:sz w:val="24"/>
          <w:szCs w:val="24"/>
          <w:lang w:eastAsia="en-US"/>
        </w:rPr>
        <w:t xml:space="preserve">: </w:t>
      </w:r>
      <w:r w:rsidR="00C5195E">
        <w:rPr>
          <w:rFonts w:eastAsiaTheme="minorHAnsi" w:cstheme="minorBidi"/>
          <w:bCs w:val="0"/>
          <w:sz w:val="24"/>
          <w:szCs w:val="24"/>
          <w:lang w:eastAsia="en-US"/>
        </w:rPr>
        <w:t>u</w:t>
      </w:r>
      <w:r w:rsidR="00F62FC8" w:rsidRPr="00F62FC8">
        <w:rPr>
          <w:rFonts w:eastAsiaTheme="minorHAnsi" w:cstheme="minorBidi"/>
          <w:bCs w:val="0"/>
          <w:sz w:val="24"/>
          <w:szCs w:val="24"/>
          <w:lang w:eastAsia="en-US"/>
        </w:rPr>
        <w:t>m</w:t>
      </w:r>
      <w:r w:rsidR="00C5195E">
        <w:rPr>
          <w:rFonts w:eastAsiaTheme="minorHAnsi" w:cstheme="minorBidi"/>
          <w:bCs w:val="0"/>
          <w:sz w:val="24"/>
          <w:szCs w:val="24"/>
          <w:lang w:eastAsia="en-US"/>
        </w:rPr>
        <w:t>a</w:t>
      </w:r>
      <w:r w:rsidR="00F62FC8" w:rsidRPr="00F62FC8">
        <w:rPr>
          <w:rFonts w:eastAsiaTheme="minorHAnsi" w:cstheme="minorBidi"/>
          <w:bCs w:val="0"/>
          <w:sz w:val="24"/>
          <w:szCs w:val="24"/>
          <w:lang w:eastAsia="en-US"/>
        </w:rPr>
        <w:t xml:space="preserve"> Análise da </w:t>
      </w:r>
      <w:r w:rsidR="00F62FC8">
        <w:rPr>
          <w:rFonts w:eastAsiaTheme="minorHAnsi" w:cstheme="minorBidi"/>
          <w:bCs w:val="0"/>
          <w:sz w:val="24"/>
          <w:szCs w:val="24"/>
          <w:lang w:eastAsia="en-US"/>
        </w:rPr>
        <w:t>C</w:t>
      </w:r>
      <w:r w:rsidRPr="00F62FC8">
        <w:rPr>
          <w:sz w:val="24"/>
          <w:szCs w:val="24"/>
        </w:rPr>
        <w:t xml:space="preserve">onfiguração do </w:t>
      </w:r>
      <w:r w:rsidR="00F62FC8">
        <w:rPr>
          <w:sz w:val="24"/>
          <w:szCs w:val="24"/>
        </w:rPr>
        <w:t>D</w:t>
      </w:r>
      <w:r w:rsidRPr="00F62FC8">
        <w:rPr>
          <w:sz w:val="24"/>
          <w:szCs w:val="24"/>
        </w:rPr>
        <w:t xml:space="preserve">iscurso da Petrobras </w:t>
      </w:r>
      <w:r w:rsidR="00F62FC8">
        <w:rPr>
          <w:sz w:val="24"/>
          <w:szCs w:val="24"/>
        </w:rPr>
        <w:t>aos Reguladores</w:t>
      </w:r>
    </w:p>
    <w:p w14:paraId="27C9ACC3" w14:textId="71632348" w:rsidR="00C5195E" w:rsidRPr="00C5195E" w:rsidRDefault="00C5195E" w:rsidP="00C5195E">
      <w:pPr>
        <w:pStyle w:val="Ttulo3"/>
        <w:shd w:val="clear" w:color="auto" w:fill="FFFFFF"/>
        <w:spacing w:before="300" w:beforeAutospacing="0" w:after="150" w:afterAutospacing="0"/>
        <w:jc w:val="center"/>
        <w:rPr>
          <w:rFonts w:eastAsiaTheme="minorHAnsi" w:cstheme="minorBidi"/>
          <w:bCs w:val="0"/>
          <w:sz w:val="24"/>
          <w:szCs w:val="24"/>
          <w:lang w:val="en-US" w:eastAsia="en-US"/>
        </w:rPr>
      </w:pPr>
      <w:r w:rsidRPr="00C5195E">
        <w:rPr>
          <w:rFonts w:eastAsiaTheme="minorHAnsi" w:cstheme="minorBidi"/>
          <w:bCs w:val="0"/>
          <w:sz w:val="24"/>
          <w:szCs w:val="24"/>
          <w:lang w:val="en-US" w:eastAsia="en-US"/>
        </w:rPr>
        <w:t xml:space="preserve">Governance and Legitimacy: Analysis of the </w:t>
      </w:r>
      <w:r w:rsidR="00DC2148">
        <w:rPr>
          <w:rFonts w:eastAsiaTheme="minorHAnsi" w:cstheme="minorBidi"/>
          <w:bCs w:val="0"/>
          <w:sz w:val="24"/>
          <w:szCs w:val="24"/>
          <w:lang w:val="en-US" w:eastAsia="en-US"/>
        </w:rPr>
        <w:t>D</w:t>
      </w:r>
      <w:r w:rsidRPr="00C5195E">
        <w:rPr>
          <w:rFonts w:eastAsiaTheme="minorHAnsi" w:cstheme="minorBidi"/>
          <w:bCs w:val="0"/>
          <w:sz w:val="24"/>
          <w:szCs w:val="24"/>
          <w:lang w:val="en-US" w:eastAsia="en-US"/>
        </w:rPr>
        <w:t xml:space="preserve">iscourse </w:t>
      </w:r>
      <w:r w:rsidR="00DC2148">
        <w:rPr>
          <w:rFonts w:eastAsiaTheme="minorHAnsi" w:cstheme="minorBidi"/>
          <w:bCs w:val="0"/>
          <w:sz w:val="24"/>
          <w:szCs w:val="24"/>
          <w:lang w:val="en-US" w:eastAsia="en-US"/>
        </w:rPr>
        <w:t>C</w:t>
      </w:r>
      <w:r w:rsidRPr="00C5195E">
        <w:rPr>
          <w:rFonts w:eastAsiaTheme="minorHAnsi" w:cstheme="minorBidi"/>
          <w:bCs w:val="0"/>
          <w:sz w:val="24"/>
          <w:szCs w:val="24"/>
          <w:lang w:val="en-US" w:eastAsia="en-US"/>
        </w:rPr>
        <w:t>onfiguration</w:t>
      </w:r>
      <w:r w:rsidR="00C64F9F">
        <w:rPr>
          <w:rFonts w:eastAsiaTheme="minorHAnsi" w:cstheme="minorBidi"/>
          <w:bCs w:val="0"/>
          <w:sz w:val="24"/>
          <w:szCs w:val="24"/>
          <w:lang w:val="en-US" w:eastAsia="en-US"/>
        </w:rPr>
        <w:t xml:space="preserve"> of </w:t>
      </w:r>
      <w:r w:rsidRPr="00C5195E">
        <w:rPr>
          <w:rFonts w:eastAsiaTheme="minorHAnsi" w:cstheme="minorBidi"/>
          <w:bCs w:val="0"/>
          <w:sz w:val="24"/>
          <w:szCs w:val="24"/>
          <w:lang w:val="en-US" w:eastAsia="en-US"/>
        </w:rPr>
        <w:t>Petrobras to Regulators</w:t>
      </w:r>
    </w:p>
    <w:p w14:paraId="7498015E" w14:textId="5518E797" w:rsidR="007E54BB" w:rsidRDefault="007E54BB" w:rsidP="00C123F9">
      <w:pPr>
        <w:spacing w:after="0" w:line="240" w:lineRule="auto"/>
        <w:jc w:val="center"/>
        <w:rPr>
          <w:b/>
          <w:lang w:val="en-US"/>
        </w:rPr>
      </w:pPr>
    </w:p>
    <w:p w14:paraId="37796027" w14:textId="466A78E8" w:rsidR="00BD0B3E" w:rsidRDefault="00BD0B3E" w:rsidP="00C123F9">
      <w:pPr>
        <w:spacing w:after="0" w:line="240" w:lineRule="auto"/>
        <w:jc w:val="center"/>
        <w:rPr>
          <w:b/>
          <w:lang w:val="en-US"/>
        </w:rPr>
      </w:pPr>
    </w:p>
    <w:p w14:paraId="7DAD33B8" w14:textId="576919E8" w:rsidR="00BD0B3E" w:rsidRPr="00A6313D" w:rsidRDefault="00BD0B3E" w:rsidP="00C123F9">
      <w:pPr>
        <w:spacing w:after="0" w:line="240" w:lineRule="auto"/>
        <w:jc w:val="center"/>
        <w:rPr>
          <w:b/>
        </w:rPr>
      </w:pPr>
      <w:r w:rsidRPr="00A6313D">
        <w:rPr>
          <w:b/>
        </w:rPr>
        <w:t>Gabriela de Abreu Passos</w:t>
      </w:r>
    </w:p>
    <w:p w14:paraId="7613AE2C" w14:textId="7521043D" w:rsidR="00BD0B3E" w:rsidRDefault="00BD0B3E" w:rsidP="00C123F9">
      <w:pPr>
        <w:spacing w:after="0" w:line="240" w:lineRule="auto"/>
        <w:jc w:val="center"/>
      </w:pPr>
      <w:r w:rsidRPr="00BD0B3E">
        <w:t>Mestranda em Contabilidade pela U</w:t>
      </w:r>
      <w:r>
        <w:t>niversidade Federal do Paraná (UFPR)</w:t>
      </w:r>
    </w:p>
    <w:p w14:paraId="0EAC8629" w14:textId="3DA0D728" w:rsidR="00AF296D" w:rsidRDefault="00AF296D" w:rsidP="00C123F9">
      <w:pPr>
        <w:spacing w:after="0" w:line="240" w:lineRule="auto"/>
        <w:jc w:val="center"/>
      </w:pPr>
      <w:r w:rsidRPr="00AF296D">
        <w:t xml:space="preserve">Avenida Prefeito </w:t>
      </w:r>
      <w:proofErr w:type="spellStart"/>
      <w:r w:rsidRPr="00AF296D">
        <w:t>Lothário</w:t>
      </w:r>
      <w:proofErr w:type="spellEnd"/>
      <w:r w:rsidRPr="00AF296D">
        <w:t xml:space="preserve"> </w:t>
      </w:r>
      <w:proofErr w:type="spellStart"/>
      <w:r w:rsidRPr="00AF296D">
        <w:t>Meissner</w:t>
      </w:r>
      <w:proofErr w:type="spellEnd"/>
      <w:r w:rsidRPr="00AF296D">
        <w:t>, 632</w:t>
      </w:r>
      <w:r>
        <w:t xml:space="preserve">, Jardim Botânico, Curitiba/PR, CEP: </w:t>
      </w:r>
      <w:r w:rsidRPr="00AF296D">
        <w:t>80210-170</w:t>
      </w:r>
    </w:p>
    <w:p w14:paraId="4B5C4861" w14:textId="0CA06B16" w:rsidR="00CF67E4" w:rsidRPr="00BD0B3E" w:rsidRDefault="00CF67E4" w:rsidP="00CF67E4">
      <w:pPr>
        <w:spacing w:after="0" w:line="240" w:lineRule="auto"/>
        <w:jc w:val="center"/>
      </w:pPr>
      <w:r>
        <w:t>gabriela.abreu.passos@gmail.com</w:t>
      </w:r>
    </w:p>
    <w:p w14:paraId="6B50639F" w14:textId="77777777" w:rsidR="00BD0B3E" w:rsidRPr="00BD0B3E" w:rsidRDefault="00BD0B3E" w:rsidP="00C123F9">
      <w:pPr>
        <w:spacing w:after="0" w:line="240" w:lineRule="auto"/>
        <w:jc w:val="center"/>
      </w:pPr>
    </w:p>
    <w:p w14:paraId="6FDCF9EF" w14:textId="77777777" w:rsidR="00BD0B3E" w:rsidRPr="00BD0B3E" w:rsidRDefault="00BD0B3E" w:rsidP="00C123F9">
      <w:pPr>
        <w:spacing w:after="0" w:line="240" w:lineRule="auto"/>
        <w:jc w:val="center"/>
        <w:rPr>
          <w:b/>
        </w:rPr>
      </w:pPr>
    </w:p>
    <w:p w14:paraId="6783C66E" w14:textId="22F87F28" w:rsidR="00BD0B3E" w:rsidRPr="00BD0B3E" w:rsidRDefault="00BD0B3E" w:rsidP="00C123F9">
      <w:pPr>
        <w:spacing w:after="0" w:line="240" w:lineRule="auto"/>
        <w:jc w:val="center"/>
        <w:rPr>
          <w:b/>
        </w:rPr>
      </w:pPr>
      <w:proofErr w:type="spellStart"/>
      <w:r w:rsidRPr="00BD0B3E">
        <w:rPr>
          <w:b/>
        </w:rPr>
        <w:t>Mayla</w:t>
      </w:r>
      <w:proofErr w:type="spellEnd"/>
      <w:r w:rsidRPr="00BD0B3E">
        <w:rPr>
          <w:b/>
        </w:rPr>
        <w:t xml:space="preserve"> Cristina Costa</w:t>
      </w:r>
    </w:p>
    <w:p w14:paraId="171CB1DD" w14:textId="14DC647E" w:rsidR="00BD0B3E" w:rsidRDefault="00BD0B3E" w:rsidP="00C123F9">
      <w:pPr>
        <w:spacing w:after="0" w:line="240" w:lineRule="auto"/>
        <w:jc w:val="center"/>
      </w:pPr>
      <w:r w:rsidRPr="00BD0B3E">
        <w:t>Doutora e</w:t>
      </w:r>
      <w:r>
        <w:t>m Administração pela Universidade Positivo (UP)</w:t>
      </w:r>
    </w:p>
    <w:p w14:paraId="6607EECB" w14:textId="6860AF61" w:rsidR="00BD0B3E" w:rsidRDefault="00BD0B3E" w:rsidP="00C123F9">
      <w:pPr>
        <w:spacing w:after="0" w:line="240" w:lineRule="auto"/>
        <w:jc w:val="center"/>
      </w:pPr>
      <w:r>
        <w:t xml:space="preserve">Professora </w:t>
      </w:r>
      <w:r w:rsidR="00CF67E4">
        <w:t>d</w:t>
      </w:r>
      <w:r w:rsidR="00AF296D">
        <w:t>o curso de Ciências Contábeis e do Programa de Pós-Graduação em Contabilidade da</w:t>
      </w:r>
      <w:r w:rsidR="00CF67E4">
        <w:t xml:space="preserve"> Universidade Federal do Paraná (UFPR)</w:t>
      </w:r>
    </w:p>
    <w:p w14:paraId="6E748509" w14:textId="77777777" w:rsidR="00AF296D" w:rsidRDefault="00AF296D" w:rsidP="00AF296D">
      <w:pPr>
        <w:spacing w:after="0" w:line="240" w:lineRule="auto"/>
        <w:jc w:val="center"/>
      </w:pPr>
      <w:r w:rsidRPr="00AF296D">
        <w:t xml:space="preserve">Avenida Prefeito </w:t>
      </w:r>
      <w:proofErr w:type="spellStart"/>
      <w:r w:rsidRPr="00AF296D">
        <w:t>Lothário</w:t>
      </w:r>
      <w:proofErr w:type="spellEnd"/>
      <w:r w:rsidRPr="00AF296D">
        <w:t xml:space="preserve"> </w:t>
      </w:r>
      <w:proofErr w:type="spellStart"/>
      <w:r w:rsidRPr="00AF296D">
        <w:t>Meissner</w:t>
      </w:r>
      <w:proofErr w:type="spellEnd"/>
      <w:r w:rsidRPr="00AF296D">
        <w:t>, 632</w:t>
      </w:r>
      <w:r>
        <w:t xml:space="preserve">, Jardim Botânico, Curitiba/PR, CEP: </w:t>
      </w:r>
      <w:r w:rsidRPr="00AF296D">
        <w:t>80210-170</w:t>
      </w:r>
    </w:p>
    <w:p w14:paraId="37D98AB5" w14:textId="348B7812" w:rsidR="00CF67E4" w:rsidRPr="00BD0B3E" w:rsidRDefault="00CF67E4" w:rsidP="00C123F9">
      <w:pPr>
        <w:spacing w:after="0" w:line="240" w:lineRule="auto"/>
        <w:jc w:val="center"/>
      </w:pPr>
      <w:r>
        <w:t>mayla.c.costa@gmail.com</w:t>
      </w:r>
    </w:p>
    <w:p w14:paraId="2F58BEDA" w14:textId="07208B28" w:rsidR="00BD0B3E" w:rsidRDefault="00BD0B3E" w:rsidP="00C123F9">
      <w:pPr>
        <w:spacing w:after="0" w:line="240" w:lineRule="auto"/>
        <w:jc w:val="center"/>
        <w:rPr>
          <w:b/>
        </w:rPr>
      </w:pPr>
    </w:p>
    <w:p w14:paraId="06872BC4" w14:textId="77777777" w:rsidR="00AF296D" w:rsidRPr="00BD0B3E" w:rsidRDefault="00AF296D" w:rsidP="00C123F9">
      <w:pPr>
        <w:spacing w:after="0" w:line="240" w:lineRule="auto"/>
        <w:jc w:val="center"/>
        <w:rPr>
          <w:b/>
        </w:rPr>
      </w:pPr>
    </w:p>
    <w:p w14:paraId="756EDD62" w14:textId="6B53714E" w:rsidR="00F42566" w:rsidRDefault="00731E27" w:rsidP="009D1D9F">
      <w:pPr>
        <w:spacing w:after="0" w:line="240" w:lineRule="auto"/>
        <w:jc w:val="both"/>
        <w:rPr>
          <w:b/>
        </w:rPr>
      </w:pPr>
      <w:r w:rsidRPr="00DD11B1">
        <w:rPr>
          <w:b/>
        </w:rPr>
        <w:t>RESUMO</w:t>
      </w:r>
    </w:p>
    <w:p w14:paraId="7B2EB511" w14:textId="77777777" w:rsidR="00D3473E" w:rsidRPr="00DD11B1" w:rsidRDefault="00D3473E" w:rsidP="009D1D9F">
      <w:pPr>
        <w:spacing w:after="0" w:line="240" w:lineRule="auto"/>
        <w:jc w:val="both"/>
        <w:rPr>
          <w:b/>
        </w:rPr>
      </w:pPr>
    </w:p>
    <w:p w14:paraId="6DDD7583" w14:textId="42E4B6DB" w:rsidR="00231996" w:rsidRPr="00231996" w:rsidRDefault="00F31199" w:rsidP="00231996">
      <w:pPr>
        <w:spacing w:after="0" w:line="240" w:lineRule="auto"/>
        <w:jc w:val="both"/>
        <w:rPr>
          <w:szCs w:val="20"/>
        </w:rPr>
      </w:pPr>
      <w:r w:rsidRPr="00074DF9">
        <w:t xml:space="preserve">O objetivo deste artigo é analisar a configuração </w:t>
      </w:r>
      <w:r w:rsidR="00D37A43">
        <w:t xml:space="preserve">e o comportamento </w:t>
      </w:r>
      <w:r w:rsidRPr="00074DF9">
        <w:t xml:space="preserve">do discurso da Petrobras nas citações </w:t>
      </w:r>
      <w:r w:rsidR="00570E72">
        <w:t>à</w:t>
      </w:r>
      <w:r w:rsidRPr="00074DF9">
        <w:t xml:space="preserve"> órgãos reguladores, especificamente, Tribunal de Contas da União e Comissão de Valores Mobiliários</w:t>
      </w:r>
      <w:r w:rsidR="00996693" w:rsidRPr="00074DF9">
        <w:t>,</w:t>
      </w:r>
      <w:r w:rsidR="003B3EB0" w:rsidRPr="00074DF9">
        <w:t xml:space="preserve"> em comunicados e fatos relevantes para o mercad</w:t>
      </w:r>
      <w:r w:rsidR="00996693" w:rsidRPr="00074DF9">
        <w:t xml:space="preserve">o. A </w:t>
      </w:r>
      <w:r w:rsidR="006B69A8" w:rsidRPr="00074DF9">
        <w:t xml:space="preserve">Governança </w:t>
      </w:r>
      <w:r w:rsidR="00996693" w:rsidRPr="00074DF9">
        <w:t>é c</w:t>
      </w:r>
      <w:r w:rsidR="00A8004B">
        <w:t>ompreendida aqui, como</w:t>
      </w:r>
      <w:r w:rsidR="00996693" w:rsidRPr="00074DF9">
        <w:t xml:space="preserve"> produto da pluralidade de atores que interagem na sociedade. </w:t>
      </w:r>
      <w:r w:rsidRPr="00074DF9">
        <w:t>Nesse sentido, considera-se que</w:t>
      </w:r>
      <w:r w:rsidR="00A8004B">
        <w:t xml:space="preserve"> as </w:t>
      </w:r>
      <w:r w:rsidRPr="00074DF9">
        <w:t xml:space="preserve">práticas discursivas </w:t>
      </w:r>
      <w:r w:rsidR="00A8004B">
        <w:t xml:space="preserve">que integram a transparência – um dos elementos da Governança – </w:t>
      </w:r>
      <w:r w:rsidRPr="00074DF9">
        <w:t>s</w:t>
      </w:r>
      <w:r w:rsidR="009760D9" w:rsidRPr="00074DF9">
        <w:t xml:space="preserve">ão </w:t>
      </w:r>
      <w:r w:rsidR="00DE0049" w:rsidRPr="00074DF9">
        <w:t>racionalizad</w:t>
      </w:r>
      <w:r w:rsidRPr="00074DF9">
        <w:t>a</w:t>
      </w:r>
      <w:r w:rsidR="00DE0049" w:rsidRPr="00074DF9">
        <w:t xml:space="preserve">s </w:t>
      </w:r>
      <w:r w:rsidRPr="00074DF9">
        <w:t xml:space="preserve">e </w:t>
      </w:r>
      <w:r w:rsidR="00DE0049" w:rsidRPr="00074DF9">
        <w:t>exerce</w:t>
      </w:r>
      <w:r w:rsidRPr="00074DF9">
        <w:t>m</w:t>
      </w:r>
      <w:r w:rsidR="00DE0049" w:rsidRPr="00074DF9">
        <w:t xml:space="preserve"> influência </w:t>
      </w:r>
      <w:r w:rsidRPr="00074DF9">
        <w:t xml:space="preserve">na </w:t>
      </w:r>
      <w:r w:rsidR="009760D9" w:rsidRPr="00074DF9">
        <w:t>percepç</w:t>
      </w:r>
      <w:r w:rsidR="00AF5D64" w:rsidRPr="00074DF9">
        <w:t>ão</w:t>
      </w:r>
      <w:r w:rsidR="00071002" w:rsidRPr="00074DF9">
        <w:t xml:space="preserve"> </w:t>
      </w:r>
      <w:r w:rsidR="00DE0049" w:rsidRPr="00074DF9">
        <w:t>do mercado</w:t>
      </w:r>
      <w:r w:rsidR="00F60720" w:rsidRPr="00074DF9">
        <w:t xml:space="preserve"> e</w:t>
      </w:r>
      <w:r w:rsidR="00233880" w:rsidRPr="00074DF9">
        <w:t xml:space="preserve"> </w:t>
      </w:r>
      <w:r w:rsidR="00A8004B">
        <w:t>n</w:t>
      </w:r>
      <w:r w:rsidR="00233880" w:rsidRPr="00074DF9">
        <w:t>a</w:t>
      </w:r>
      <w:r w:rsidR="00F60720" w:rsidRPr="00074DF9">
        <w:t xml:space="preserve"> legitimidade da organização</w:t>
      </w:r>
      <w:r w:rsidR="00124F33" w:rsidRPr="00074DF9">
        <w:t xml:space="preserve">. </w:t>
      </w:r>
      <w:r w:rsidR="00C854EE" w:rsidRPr="00074DF9">
        <w:t>Utiliza</w:t>
      </w:r>
      <w:r w:rsidR="00124F33" w:rsidRPr="00074DF9">
        <w:t>-se da abordagem qualitativa</w:t>
      </w:r>
      <w:r w:rsidR="00C854EE" w:rsidRPr="00074DF9">
        <w:t xml:space="preserve"> e</w:t>
      </w:r>
      <w:r w:rsidR="00124F33" w:rsidRPr="00074DF9">
        <w:t xml:space="preserve"> a técnica de análise de conteúdo</w:t>
      </w:r>
      <w:r w:rsidR="00E20A5E" w:rsidRPr="00074DF9">
        <w:t xml:space="preserve">, </w:t>
      </w:r>
      <w:r w:rsidR="00AF5D64" w:rsidRPr="00074DF9">
        <w:t xml:space="preserve">por meio da coleta de </w:t>
      </w:r>
      <w:r w:rsidR="00124F33" w:rsidRPr="00074DF9">
        <w:t>Comunicados e Fatos Relevantes divulgados pela companhia</w:t>
      </w:r>
      <w:r w:rsidR="00CD3BF8" w:rsidRPr="00074DF9">
        <w:t>,</w:t>
      </w:r>
      <w:r w:rsidR="00AF5D64" w:rsidRPr="00074DF9">
        <w:t xml:space="preserve"> no período de 2005 a 2018</w:t>
      </w:r>
      <w:r w:rsidR="00124F33" w:rsidRPr="00074DF9">
        <w:t>.</w:t>
      </w:r>
      <w:r w:rsidR="00A11C99" w:rsidRPr="00074DF9">
        <w:t xml:space="preserve"> </w:t>
      </w:r>
      <w:r w:rsidR="004F2CF7" w:rsidRPr="00074DF9">
        <w:t>O</w:t>
      </w:r>
      <w:r w:rsidR="00AF5D64" w:rsidRPr="00074DF9">
        <w:t xml:space="preserve"> resultado demonstra </w:t>
      </w:r>
      <w:r w:rsidR="00CB7BA6" w:rsidRPr="00074DF9">
        <w:t>três</w:t>
      </w:r>
      <w:r w:rsidR="00071002" w:rsidRPr="00074DF9">
        <w:t xml:space="preserve"> </w:t>
      </w:r>
      <w:r w:rsidRPr="00074DF9">
        <w:t>configurações do discurso</w:t>
      </w:r>
      <w:r w:rsidR="00CB7BA6" w:rsidRPr="00074DF9">
        <w:t xml:space="preserve">: </w:t>
      </w:r>
      <w:r w:rsidR="004D5A7D" w:rsidRPr="00074DF9">
        <w:rPr>
          <w:szCs w:val="20"/>
        </w:rPr>
        <w:t>(i) defesa; (</w:t>
      </w:r>
      <w:proofErr w:type="spellStart"/>
      <w:r w:rsidR="004D5A7D" w:rsidRPr="00074DF9">
        <w:rPr>
          <w:szCs w:val="20"/>
        </w:rPr>
        <w:t>ii</w:t>
      </w:r>
      <w:proofErr w:type="spellEnd"/>
      <w:r w:rsidR="004D5A7D" w:rsidRPr="00074DF9">
        <w:rPr>
          <w:szCs w:val="20"/>
        </w:rPr>
        <w:t>) subordinação; e (</w:t>
      </w:r>
      <w:proofErr w:type="spellStart"/>
      <w:r w:rsidR="004D5A7D" w:rsidRPr="00074DF9">
        <w:rPr>
          <w:szCs w:val="20"/>
        </w:rPr>
        <w:t>iii</w:t>
      </w:r>
      <w:proofErr w:type="spellEnd"/>
      <w:r w:rsidR="004D5A7D" w:rsidRPr="00074DF9">
        <w:rPr>
          <w:szCs w:val="20"/>
        </w:rPr>
        <w:t>) validade da ação</w:t>
      </w:r>
      <w:r w:rsidR="009760D9" w:rsidRPr="00074DF9">
        <w:rPr>
          <w:szCs w:val="20"/>
        </w:rPr>
        <w:t xml:space="preserve">. </w:t>
      </w:r>
      <w:r w:rsidR="00CD3BF8" w:rsidRPr="00074DF9">
        <w:rPr>
          <w:szCs w:val="20"/>
        </w:rPr>
        <w:t>O</w:t>
      </w:r>
      <w:r w:rsidR="00071002" w:rsidRPr="00074DF9">
        <w:rPr>
          <w:szCs w:val="20"/>
        </w:rPr>
        <w:t>bservou-se</w:t>
      </w:r>
      <w:r w:rsidR="00CD3BF8" w:rsidRPr="00074DF9">
        <w:rPr>
          <w:szCs w:val="20"/>
        </w:rPr>
        <w:t xml:space="preserve"> </w:t>
      </w:r>
      <w:r w:rsidR="00071002" w:rsidRPr="00074DF9">
        <w:rPr>
          <w:szCs w:val="20"/>
        </w:rPr>
        <w:t xml:space="preserve">que </w:t>
      </w:r>
      <w:r w:rsidR="009760D9" w:rsidRPr="00074DF9">
        <w:rPr>
          <w:szCs w:val="20"/>
        </w:rPr>
        <w:t xml:space="preserve">o comportamento discursivo nas referências aos órgãos reguladores apresenta </w:t>
      </w:r>
      <w:r w:rsidR="00323D60" w:rsidRPr="00074DF9">
        <w:rPr>
          <w:szCs w:val="20"/>
        </w:rPr>
        <w:t>diferenças</w:t>
      </w:r>
      <w:r w:rsidR="00CD3BF8" w:rsidRPr="00074DF9">
        <w:rPr>
          <w:szCs w:val="20"/>
        </w:rPr>
        <w:t xml:space="preserve"> ao longo do tempo</w:t>
      </w:r>
      <w:r w:rsidR="00323D60" w:rsidRPr="00074DF9">
        <w:rPr>
          <w:szCs w:val="20"/>
        </w:rPr>
        <w:t xml:space="preserve">, </w:t>
      </w:r>
      <w:r w:rsidR="00071002" w:rsidRPr="00074DF9">
        <w:rPr>
          <w:szCs w:val="20"/>
        </w:rPr>
        <w:t xml:space="preserve">em que </w:t>
      </w:r>
      <w:r w:rsidR="003B3EB0" w:rsidRPr="00074DF9">
        <w:rPr>
          <w:szCs w:val="20"/>
        </w:rPr>
        <w:t>foram</w:t>
      </w:r>
      <w:r w:rsidR="00323D60" w:rsidRPr="00074DF9">
        <w:rPr>
          <w:szCs w:val="20"/>
        </w:rPr>
        <w:t xml:space="preserve"> utilizados mecanismos de repetição, intertextualidade e interdiscursividade </w:t>
      </w:r>
      <w:r w:rsidR="00CD3BF8" w:rsidRPr="00074DF9">
        <w:rPr>
          <w:szCs w:val="20"/>
        </w:rPr>
        <w:t xml:space="preserve">para </w:t>
      </w:r>
      <w:r w:rsidR="00323D60" w:rsidRPr="00074DF9">
        <w:rPr>
          <w:szCs w:val="20"/>
        </w:rPr>
        <w:t>legitimar as ações da companhia.</w:t>
      </w:r>
      <w:r w:rsidR="00231996">
        <w:rPr>
          <w:szCs w:val="20"/>
        </w:rPr>
        <w:t xml:space="preserve"> Por fim, </w:t>
      </w:r>
      <w:r w:rsidR="00327E29">
        <w:t>procura</w:t>
      </w:r>
      <w:r w:rsidR="00231996" w:rsidRPr="00DD11B1">
        <w:t xml:space="preserve">-se contribuir com </w:t>
      </w:r>
      <w:r w:rsidR="00231996">
        <w:t>a literatura dos estudos</w:t>
      </w:r>
      <w:r w:rsidR="00231996" w:rsidRPr="00DD11B1">
        <w:t xml:space="preserve"> organizacionais e da </w:t>
      </w:r>
      <w:r w:rsidR="00231996" w:rsidRPr="008C0139">
        <w:t>área de contabilidade</w:t>
      </w:r>
      <w:r w:rsidR="00231996" w:rsidRPr="00DD11B1">
        <w:t xml:space="preserve">, com os gestores e aos responsáveis pelas divulgações das entidades, ao evidenciar a importância de se observar a linguagem e as configurações do discurso contido nas publicações emitidas a mercado, </w:t>
      </w:r>
      <w:r w:rsidR="00231996">
        <w:t>em busca de um mercado mais transparente e</w:t>
      </w:r>
      <w:r w:rsidR="0014375F">
        <w:t xml:space="preserve"> de um</w:t>
      </w:r>
      <w:r w:rsidR="00231996">
        <w:t xml:space="preserve"> sistema de  governança mais justo para os distintos atores envolvidos.</w:t>
      </w:r>
    </w:p>
    <w:p w14:paraId="4021CA1C" w14:textId="77777777" w:rsidR="00D3473E" w:rsidRDefault="00D3473E" w:rsidP="009D1D9F">
      <w:pPr>
        <w:spacing w:after="0" w:line="240" w:lineRule="auto"/>
        <w:jc w:val="both"/>
        <w:rPr>
          <w:b/>
          <w:szCs w:val="20"/>
        </w:rPr>
      </w:pPr>
    </w:p>
    <w:p w14:paraId="2FD864D5" w14:textId="202B81DD" w:rsidR="00CB7BA6" w:rsidRPr="00DD11B1" w:rsidRDefault="00731E27" w:rsidP="009D1D9F">
      <w:pPr>
        <w:spacing w:after="0" w:line="240" w:lineRule="auto"/>
        <w:jc w:val="both"/>
        <w:rPr>
          <w:szCs w:val="20"/>
        </w:rPr>
      </w:pPr>
      <w:r w:rsidRPr="00DD11B1">
        <w:rPr>
          <w:b/>
          <w:szCs w:val="20"/>
        </w:rPr>
        <w:t>PALAVRAS-CHAVE</w:t>
      </w:r>
      <w:r w:rsidR="003C0BDC" w:rsidRPr="00DD11B1">
        <w:rPr>
          <w:b/>
          <w:szCs w:val="20"/>
        </w:rPr>
        <w:t>:</w:t>
      </w:r>
      <w:r w:rsidR="003C0BDC" w:rsidRPr="00DD11B1">
        <w:rPr>
          <w:szCs w:val="20"/>
        </w:rPr>
        <w:t xml:space="preserve"> </w:t>
      </w:r>
      <w:r w:rsidR="00917F98" w:rsidRPr="00F60720">
        <w:rPr>
          <w:szCs w:val="20"/>
        </w:rPr>
        <w:t>Discurso</w:t>
      </w:r>
      <w:r w:rsidR="00A135C3" w:rsidRPr="00F60720">
        <w:rPr>
          <w:szCs w:val="20"/>
        </w:rPr>
        <w:t>;</w:t>
      </w:r>
      <w:r w:rsidR="00221A79" w:rsidRPr="00F60720">
        <w:rPr>
          <w:szCs w:val="20"/>
        </w:rPr>
        <w:t xml:space="preserve"> </w:t>
      </w:r>
      <w:r w:rsidR="00F60720" w:rsidRPr="00F60720">
        <w:rPr>
          <w:szCs w:val="20"/>
        </w:rPr>
        <w:t xml:space="preserve">Governança; </w:t>
      </w:r>
      <w:r w:rsidR="00F60720">
        <w:rPr>
          <w:szCs w:val="20"/>
        </w:rPr>
        <w:t xml:space="preserve">Legitimidade; </w:t>
      </w:r>
      <w:r w:rsidR="00221A79" w:rsidRPr="00F60720">
        <w:rPr>
          <w:szCs w:val="20"/>
        </w:rPr>
        <w:t>Órgãos</w:t>
      </w:r>
      <w:r w:rsidR="00221A79" w:rsidRPr="00DD11B1">
        <w:rPr>
          <w:szCs w:val="20"/>
        </w:rPr>
        <w:t xml:space="preserve"> </w:t>
      </w:r>
      <w:r w:rsidR="00F65FBF" w:rsidRPr="00DD11B1">
        <w:rPr>
          <w:szCs w:val="20"/>
        </w:rPr>
        <w:t>Reguladores</w:t>
      </w:r>
      <w:r w:rsidR="00221A79" w:rsidRPr="00DD11B1">
        <w:rPr>
          <w:szCs w:val="20"/>
        </w:rPr>
        <w:t>;</w:t>
      </w:r>
      <w:r w:rsidR="00A135C3" w:rsidRPr="00DD11B1">
        <w:rPr>
          <w:szCs w:val="20"/>
        </w:rPr>
        <w:t xml:space="preserve"> Petrobr</w:t>
      </w:r>
      <w:r w:rsidR="00DE0049" w:rsidRPr="00DD11B1">
        <w:rPr>
          <w:szCs w:val="20"/>
        </w:rPr>
        <w:t>a</w:t>
      </w:r>
      <w:r w:rsidR="00A135C3" w:rsidRPr="00DD11B1">
        <w:rPr>
          <w:szCs w:val="20"/>
        </w:rPr>
        <w:t>s</w:t>
      </w:r>
      <w:r w:rsidR="00917F98" w:rsidRPr="00DD11B1">
        <w:rPr>
          <w:szCs w:val="20"/>
        </w:rPr>
        <w:t>.</w:t>
      </w:r>
    </w:p>
    <w:p w14:paraId="0D4138E9" w14:textId="77777777" w:rsidR="00F60720" w:rsidRDefault="00F60720" w:rsidP="009D1D9F">
      <w:pPr>
        <w:spacing w:after="0" w:line="240" w:lineRule="auto"/>
        <w:jc w:val="both"/>
        <w:rPr>
          <w:b/>
        </w:rPr>
      </w:pPr>
    </w:p>
    <w:p w14:paraId="51B6EBB0" w14:textId="49E55791" w:rsidR="00C64F9F" w:rsidRDefault="00731E27" w:rsidP="00C64F9F">
      <w:pPr>
        <w:spacing w:after="0" w:line="240" w:lineRule="auto"/>
        <w:jc w:val="both"/>
        <w:rPr>
          <w:b/>
          <w:lang w:val="en-US"/>
        </w:rPr>
      </w:pPr>
      <w:r w:rsidRPr="00C64F9F">
        <w:rPr>
          <w:b/>
          <w:lang w:val="en-US"/>
        </w:rPr>
        <w:t>ABSTRACT</w:t>
      </w:r>
    </w:p>
    <w:p w14:paraId="7E5D4265" w14:textId="77777777" w:rsidR="00D3473E" w:rsidRPr="00C64F9F" w:rsidRDefault="00D3473E" w:rsidP="00C64F9F">
      <w:pPr>
        <w:spacing w:after="0" w:line="240" w:lineRule="auto"/>
        <w:jc w:val="both"/>
        <w:rPr>
          <w:b/>
          <w:lang w:val="en-US"/>
        </w:rPr>
      </w:pPr>
    </w:p>
    <w:p w14:paraId="40450766" w14:textId="44966844" w:rsidR="00327E29" w:rsidRDefault="00C64F9F" w:rsidP="00A8004B">
      <w:pPr>
        <w:spacing w:after="0" w:line="240" w:lineRule="auto"/>
        <w:jc w:val="both"/>
        <w:rPr>
          <w:b/>
          <w:lang w:val="en-US"/>
        </w:rPr>
      </w:pPr>
      <w:r w:rsidRPr="00866A4D">
        <w:rPr>
          <w:lang w:val="en-US"/>
        </w:rPr>
        <w:t>The aim this paper i</w:t>
      </w:r>
      <w:r>
        <w:rPr>
          <w:lang w:val="en-US"/>
        </w:rPr>
        <w:t>s analysis the configuration</w:t>
      </w:r>
      <w:r w:rsidR="00D37A43">
        <w:rPr>
          <w:lang w:val="en-US"/>
        </w:rPr>
        <w:t xml:space="preserve"> and </w:t>
      </w:r>
      <w:r w:rsidR="00D37A43" w:rsidRPr="00D37A43">
        <w:rPr>
          <w:lang w:val="en-US"/>
        </w:rPr>
        <w:t>behavior</w:t>
      </w:r>
      <w:r w:rsidR="00D37A43">
        <w:rPr>
          <w:lang w:val="en-US"/>
        </w:rPr>
        <w:t xml:space="preserve"> of the </w:t>
      </w:r>
      <w:r w:rsidR="00D37A43">
        <w:rPr>
          <w:lang w:val="en-US"/>
        </w:rPr>
        <w:t>discourse</w:t>
      </w:r>
      <w:r>
        <w:rPr>
          <w:lang w:val="en-US"/>
        </w:rPr>
        <w:t xml:space="preserve"> of the Petrobras in the citations to regulatory agencies, </w:t>
      </w:r>
      <w:r w:rsidRPr="00866A4D">
        <w:rPr>
          <w:lang w:val="en-US"/>
        </w:rPr>
        <w:t>specifically</w:t>
      </w:r>
      <w:r>
        <w:rPr>
          <w:lang w:val="en-US"/>
        </w:rPr>
        <w:t xml:space="preserve">, the </w:t>
      </w:r>
      <w:r w:rsidRPr="00535A7B">
        <w:rPr>
          <w:lang w:val="en-US"/>
        </w:rPr>
        <w:t>Brazil's Federal Court of Accounts</w:t>
      </w:r>
      <w:r>
        <w:rPr>
          <w:lang w:val="en-US"/>
        </w:rPr>
        <w:t xml:space="preserve"> and the </w:t>
      </w:r>
      <w:r w:rsidRPr="00432921">
        <w:rPr>
          <w:lang w:val="en-US"/>
        </w:rPr>
        <w:t>Securities Commission</w:t>
      </w:r>
      <w:r>
        <w:rPr>
          <w:lang w:val="en-US"/>
        </w:rPr>
        <w:t xml:space="preserve"> in communicated and relevant facts for the market. </w:t>
      </w:r>
      <w:r w:rsidR="00A8004B">
        <w:rPr>
          <w:lang w:val="en-US"/>
        </w:rPr>
        <w:t xml:space="preserve">Here, we </w:t>
      </w:r>
      <w:r w:rsidR="00A8004B" w:rsidRPr="00A8004B">
        <w:rPr>
          <w:lang w:val="en-US"/>
        </w:rPr>
        <w:t>understand</w:t>
      </w:r>
      <w:r w:rsidR="00A8004B">
        <w:rPr>
          <w:lang w:val="en-US"/>
        </w:rPr>
        <w:t xml:space="preserve"> t</w:t>
      </w:r>
      <w:r>
        <w:rPr>
          <w:lang w:val="en-US"/>
        </w:rPr>
        <w:t xml:space="preserve">he </w:t>
      </w:r>
      <w:r w:rsidRPr="00C64F9F">
        <w:rPr>
          <w:lang w:val="en-US"/>
        </w:rPr>
        <w:t xml:space="preserve">Governance </w:t>
      </w:r>
      <w:r w:rsidR="00A8004B">
        <w:rPr>
          <w:lang w:val="en-US"/>
        </w:rPr>
        <w:t>as a</w:t>
      </w:r>
      <w:r w:rsidRPr="00C64F9F">
        <w:rPr>
          <w:lang w:val="en-US"/>
        </w:rPr>
        <w:t xml:space="preserve"> product of the plurality of actors that interact in society</w:t>
      </w:r>
      <w:r w:rsidR="003D6155">
        <w:rPr>
          <w:lang w:val="en-US"/>
        </w:rPr>
        <w:t>. In th</w:t>
      </w:r>
      <w:r w:rsidR="00D614FE">
        <w:rPr>
          <w:lang w:val="en-US"/>
        </w:rPr>
        <w:t>is</w:t>
      </w:r>
      <w:r w:rsidR="003D6155">
        <w:rPr>
          <w:lang w:val="en-US"/>
        </w:rPr>
        <w:t xml:space="preserve"> </w:t>
      </w:r>
      <w:r w:rsidR="003D6155">
        <w:rPr>
          <w:lang w:val="en-US"/>
        </w:rPr>
        <w:lastRenderedPageBreak/>
        <w:t>context, considered this the discursive practices</w:t>
      </w:r>
      <w:r w:rsidR="001709DF">
        <w:rPr>
          <w:lang w:val="en-US"/>
        </w:rPr>
        <w:t xml:space="preserve"> that integrate the transparency – one of the elements of Governance – </w:t>
      </w:r>
      <w:r w:rsidR="003D6155">
        <w:rPr>
          <w:lang w:val="en-US"/>
        </w:rPr>
        <w:t xml:space="preserve">are rationalized and </w:t>
      </w:r>
      <w:r w:rsidR="003D6155" w:rsidRPr="00F749D5">
        <w:rPr>
          <w:lang w:val="en-US"/>
        </w:rPr>
        <w:t>influences market perception</w:t>
      </w:r>
      <w:r w:rsidR="00233880">
        <w:rPr>
          <w:lang w:val="en-US"/>
        </w:rPr>
        <w:t xml:space="preserve"> and the legitimacy of the organization.</w:t>
      </w:r>
      <w:r w:rsidR="00C854EE">
        <w:rPr>
          <w:lang w:val="en-US"/>
        </w:rPr>
        <w:t xml:space="preserve"> We utilized the qualitative approach and the </w:t>
      </w:r>
      <w:r w:rsidR="00C854EE" w:rsidRPr="00C854EE">
        <w:rPr>
          <w:lang w:val="en-US"/>
        </w:rPr>
        <w:t xml:space="preserve">content </w:t>
      </w:r>
      <w:r w:rsidR="00C854EE">
        <w:rPr>
          <w:lang w:val="en-US"/>
        </w:rPr>
        <w:t xml:space="preserve">analysis </w:t>
      </w:r>
      <w:r w:rsidR="00C854EE" w:rsidRPr="00C854EE">
        <w:rPr>
          <w:lang w:val="en-US"/>
        </w:rPr>
        <w:t>technique</w:t>
      </w:r>
      <w:r w:rsidR="00C854EE">
        <w:rPr>
          <w:lang w:val="en-US"/>
        </w:rPr>
        <w:t xml:space="preserve">, </w:t>
      </w:r>
      <w:r w:rsidR="00C854EE" w:rsidRPr="00C854EE">
        <w:rPr>
          <w:lang w:val="en-US"/>
        </w:rPr>
        <w:t>through the collection of</w:t>
      </w:r>
      <w:r w:rsidR="00D614FE">
        <w:rPr>
          <w:lang w:val="en-US"/>
        </w:rPr>
        <w:t xml:space="preserve"> the</w:t>
      </w:r>
      <w:r w:rsidR="00C854EE" w:rsidRPr="00C854EE">
        <w:rPr>
          <w:lang w:val="en-US"/>
        </w:rPr>
        <w:t xml:space="preserve"> </w:t>
      </w:r>
      <w:r w:rsidR="00C854EE">
        <w:rPr>
          <w:lang w:val="en-US"/>
        </w:rPr>
        <w:t xml:space="preserve">communicated and relevant facts </w:t>
      </w:r>
      <w:r w:rsidR="00C854EE" w:rsidRPr="00C854EE">
        <w:rPr>
          <w:lang w:val="en-US"/>
        </w:rPr>
        <w:t>published by</w:t>
      </w:r>
      <w:r w:rsidR="00D614FE">
        <w:rPr>
          <w:lang w:val="en-US"/>
        </w:rPr>
        <w:t xml:space="preserve"> the</w:t>
      </w:r>
      <w:r w:rsidR="00C854EE" w:rsidRPr="00C854EE">
        <w:rPr>
          <w:lang w:val="en-US"/>
        </w:rPr>
        <w:t xml:space="preserve"> company, </w:t>
      </w:r>
      <w:r w:rsidR="00C854EE">
        <w:rPr>
          <w:lang w:val="en-US"/>
        </w:rPr>
        <w:t xml:space="preserve">in the period </w:t>
      </w:r>
      <w:r w:rsidR="00C854EE" w:rsidRPr="00C854EE">
        <w:rPr>
          <w:lang w:val="en-US"/>
        </w:rPr>
        <w:t>from 2005 to 2018.</w:t>
      </w:r>
      <w:r w:rsidR="00C854EE">
        <w:rPr>
          <w:lang w:val="en-US"/>
        </w:rPr>
        <w:t xml:space="preserve"> </w:t>
      </w:r>
      <w:r w:rsidR="00E42B13">
        <w:rPr>
          <w:lang w:val="en-US"/>
        </w:rPr>
        <w:t>T</w:t>
      </w:r>
      <w:r w:rsidR="00E42B13" w:rsidRPr="00E42B13">
        <w:rPr>
          <w:lang w:val="en-US"/>
        </w:rPr>
        <w:t>he results</w:t>
      </w:r>
      <w:r w:rsidR="00E42B13">
        <w:rPr>
          <w:lang w:val="en-US"/>
        </w:rPr>
        <w:t xml:space="preserve"> </w:t>
      </w:r>
      <w:r w:rsidR="00E42B13" w:rsidRPr="00E42B13">
        <w:rPr>
          <w:lang w:val="en-US"/>
        </w:rPr>
        <w:t>demonstrate three configurations of the discourse:</w:t>
      </w:r>
      <w:r w:rsidR="00E42B13">
        <w:rPr>
          <w:lang w:val="en-US"/>
        </w:rPr>
        <w:t xml:space="preserve"> (</w:t>
      </w:r>
      <w:proofErr w:type="spellStart"/>
      <w:r w:rsidR="00E42B13">
        <w:rPr>
          <w:lang w:val="en-US"/>
        </w:rPr>
        <w:t>i</w:t>
      </w:r>
      <w:proofErr w:type="spellEnd"/>
      <w:r w:rsidR="00E42B13">
        <w:rPr>
          <w:lang w:val="en-US"/>
        </w:rPr>
        <w:t xml:space="preserve">) </w:t>
      </w:r>
      <w:r w:rsidR="00E42B13" w:rsidRPr="00E42B13">
        <w:rPr>
          <w:lang w:val="en-US"/>
        </w:rPr>
        <w:t>defense;</w:t>
      </w:r>
      <w:r w:rsidR="00E42B13">
        <w:rPr>
          <w:lang w:val="en-US"/>
        </w:rPr>
        <w:t xml:space="preserve"> (ii) subordination; and (iii) </w:t>
      </w:r>
      <w:r w:rsidR="00E42B13" w:rsidRPr="00E42B13">
        <w:rPr>
          <w:lang w:val="en-US"/>
        </w:rPr>
        <w:t>validity of the action.</w:t>
      </w:r>
      <w:r w:rsidR="00E42B13">
        <w:rPr>
          <w:lang w:val="en-US"/>
        </w:rPr>
        <w:t xml:space="preserve"> We </w:t>
      </w:r>
      <w:r w:rsidR="00E42B13" w:rsidRPr="00E42B13">
        <w:rPr>
          <w:lang w:val="en-US"/>
        </w:rPr>
        <w:t xml:space="preserve">observed that the discursive behavior in the references to the </w:t>
      </w:r>
      <w:r w:rsidR="00074DF9">
        <w:rPr>
          <w:lang w:val="en-US"/>
        </w:rPr>
        <w:t>regulatory agencies</w:t>
      </w:r>
      <w:r w:rsidR="00074DF9" w:rsidRPr="00E42B13">
        <w:rPr>
          <w:lang w:val="en-US"/>
        </w:rPr>
        <w:t xml:space="preserve"> </w:t>
      </w:r>
      <w:r w:rsidR="00E42B13" w:rsidRPr="00E42B13">
        <w:rPr>
          <w:lang w:val="en-US"/>
        </w:rPr>
        <w:t>presents differences over time, in which repetition, intertextuality and interdiscursivity mechanisms were used to legitimize the company's actions.</w:t>
      </w:r>
      <w:r w:rsidR="00327E29">
        <w:rPr>
          <w:lang w:val="en-US"/>
        </w:rPr>
        <w:t xml:space="preserve"> </w:t>
      </w:r>
      <w:r w:rsidR="00327E29" w:rsidRPr="00327E29">
        <w:rPr>
          <w:lang w:val="en-US"/>
        </w:rPr>
        <w:t>Finally, we seek to contribute</w:t>
      </w:r>
      <w:r w:rsidR="0014375F">
        <w:rPr>
          <w:lang w:val="en-US"/>
        </w:rPr>
        <w:t>d</w:t>
      </w:r>
      <w:r w:rsidR="00327E29" w:rsidRPr="00327E29">
        <w:rPr>
          <w:lang w:val="en-US"/>
        </w:rPr>
        <w:t xml:space="preserve"> to the literature of organizational studies and the accounting</w:t>
      </w:r>
      <w:r w:rsidR="00036C67">
        <w:rPr>
          <w:lang w:val="en-US"/>
        </w:rPr>
        <w:t xml:space="preserve"> </w:t>
      </w:r>
      <w:r w:rsidR="00036C67" w:rsidRPr="00036C67">
        <w:rPr>
          <w:lang w:val="en-US"/>
        </w:rPr>
        <w:t xml:space="preserve">area, with the managers and those responsible for the disclosures of the entities, </w:t>
      </w:r>
      <w:r w:rsidR="00CD4B1F" w:rsidRPr="00CD4B1F">
        <w:rPr>
          <w:lang w:val="en-US"/>
        </w:rPr>
        <w:t>evidencing the importance of observing the language and the configurations of the discourse contained</w:t>
      </w:r>
      <w:r w:rsidR="00CD4B1F">
        <w:rPr>
          <w:lang w:val="en-US"/>
        </w:rPr>
        <w:t xml:space="preserve"> </w:t>
      </w:r>
      <w:r w:rsidR="0014375F">
        <w:rPr>
          <w:lang w:val="en-US"/>
        </w:rPr>
        <w:t xml:space="preserve"> </w:t>
      </w:r>
      <w:r w:rsidR="0014375F" w:rsidRPr="0014375F">
        <w:rPr>
          <w:lang w:val="en-US"/>
        </w:rPr>
        <w:t>in the publications emitted to the market, in search of a more transparent market and a fairer governance system for the distinct actors involved.</w:t>
      </w:r>
    </w:p>
    <w:p w14:paraId="6DDF8C1C" w14:textId="77777777" w:rsidR="00D3473E" w:rsidRDefault="00D3473E" w:rsidP="009D1D9F">
      <w:pPr>
        <w:spacing w:after="0" w:line="240" w:lineRule="auto"/>
        <w:jc w:val="both"/>
        <w:rPr>
          <w:b/>
          <w:lang w:val="en-US"/>
        </w:rPr>
      </w:pPr>
    </w:p>
    <w:p w14:paraId="01D035DF" w14:textId="5AC90C09" w:rsidR="00C64F9F" w:rsidRPr="003112B1" w:rsidRDefault="00731E27" w:rsidP="009D1D9F">
      <w:pPr>
        <w:spacing w:after="0" w:line="240" w:lineRule="auto"/>
        <w:jc w:val="both"/>
        <w:rPr>
          <w:lang w:val="en-US"/>
        </w:rPr>
      </w:pPr>
      <w:r>
        <w:rPr>
          <w:b/>
          <w:lang w:val="en-US"/>
        </w:rPr>
        <w:t>K</w:t>
      </w:r>
      <w:r w:rsidRPr="003112B1">
        <w:rPr>
          <w:b/>
          <w:lang w:val="en-US"/>
        </w:rPr>
        <w:t>EYWORDS</w:t>
      </w:r>
      <w:r>
        <w:rPr>
          <w:b/>
          <w:lang w:val="en-US"/>
        </w:rPr>
        <w:t xml:space="preserve">: </w:t>
      </w:r>
      <w:r w:rsidR="003112B1">
        <w:rPr>
          <w:lang w:val="en-US"/>
        </w:rPr>
        <w:t>Discourse; Governance; Legitimacy; Regulatory Agencies; Petrobras.</w:t>
      </w:r>
    </w:p>
    <w:p w14:paraId="00FD9AF4" w14:textId="77777777" w:rsidR="00C64F9F" w:rsidRPr="00C64F9F" w:rsidRDefault="00C64F9F" w:rsidP="009D1D9F">
      <w:pPr>
        <w:spacing w:after="0" w:line="240" w:lineRule="auto"/>
        <w:jc w:val="both"/>
        <w:rPr>
          <w:b/>
          <w:lang w:val="en-US"/>
        </w:rPr>
      </w:pPr>
    </w:p>
    <w:p w14:paraId="31A2E84F" w14:textId="77777777" w:rsidR="00C64F9F" w:rsidRPr="00C64F9F" w:rsidRDefault="00C64F9F" w:rsidP="009D1D9F">
      <w:pPr>
        <w:spacing w:after="0" w:line="240" w:lineRule="auto"/>
        <w:jc w:val="both"/>
        <w:rPr>
          <w:b/>
          <w:lang w:val="en-US"/>
        </w:rPr>
      </w:pPr>
    </w:p>
    <w:p w14:paraId="4252E7C1" w14:textId="5F32B877" w:rsidR="00974F60" w:rsidRPr="00DC2148" w:rsidRDefault="00731E27" w:rsidP="009D1D9F">
      <w:pPr>
        <w:spacing w:after="0" w:line="240" w:lineRule="auto"/>
        <w:jc w:val="both"/>
        <w:rPr>
          <w:b/>
        </w:rPr>
      </w:pPr>
      <w:r w:rsidRPr="00DC2148">
        <w:rPr>
          <w:b/>
        </w:rPr>
        <w:t>1 INTRODUÇÃO</w:t>
      </w:r>
    </w:p>
    <w:p w14:paraId="2C83C8FF" w14:textId="77777777" w:rsidR="00DC2148" w:rsidRPr="00DC2148" w:rsidRDefault="00DC2148" w:rsidP="009D1D9F">
      <w:pPr>
        <w:spacing w:after="0" w:line="240" w:lineRule="auto"/>
        <w:jc w:val="both"/>
      </w:pPr>
    </w:p>
    <w:p w14:paraId="7F312FB2" w14:textId="77777777" w:rsidR="003F2197" w:rsidRDefault="006B69A8" w:rsidP="006B69A8">
      <w:pPr>
        <w:keepNext/>
        <w:spacing w:after="0"/>
        <w:ind w:firstLine="708"/>
        <w:jc w:val="both"/>
      </w:pPr>
      <w:r>
        <w:t>Neste artigo considera-se que</w:t>
      </w:r>
      <w:r w:rsidR="00FA6C27">
        <w:t xml:space="preserve"> o sistema de</w:t>
      </w:r>
      <w:r>
        <w:t xml:space="preserve"> g</w:t>
      </w:r>
      <w:r w:rsidRPr="0054722F">
        <w:t>overnança não é simplesmente produto do governo (</w:t>
      </w:r>
      <w:r w:rsidR="00DC2148">
        <w:t xml:space="preserve">VAN </w:t>
      </w:r>
      <w:r w:rsidR="00DC2148" w:rsidRPr="0054722F">
        <w:t>SCHOOTEN</w:t>
      </w:r>
      <w:r w:rsidR="00DC2148">
        <w:t>;</w:t>
      </w:r>
      <w:r w:rsidR="00DC2148" w:rsidRPr="0054722F">
        <w:t xml:space="preserve"> VERSCHUUREN</w:t>
      </w:r>
      <w:r w:rsidRPr="0054722F">
        <w:t>, 2008), mas sim, produto da pluralidade de atores que interagem na sociedade (</w:t>
      </w:r>
      <w:r w:rsidR="00DC2148" w:rsidRPr="0054722F">
        <w:t>ENROTH</w:t>
      </w:r>
      <w:r w:rsidRPr="0054722F">
        <w:t>, 2011), a partir de distintas racionalidades</w:t>
      </w:r>
      <w:r>
        <w:t xml:space="preserve"> e que a melhor compreensão deste sistema vai de encontro </w:t>
      </w:r>
      <w:r w:rsidR="00036158">
        <w:t xml:space="preserve">a práticas </w:t>
      </w:r>
      <w:r w:rsidR="002F18B6">
        <w:t>mais transparentes</w:t>
      </w:r>
      <w:r>
        <w:t xml:space="preserve"> </w:t>
      </w:r>
      <w:r w:rsidR="00036158">
        <w:t xml:space="preserve">e justas </w:t>
      </w:r>
      <w:r>
        <w:t>no Brasil</w:t>
      </w:r>
      <w:r w:rsidRPr="0054722F">
        <w:t xml:space="preserve">. </w:t>
      </w:r>
      <w:r>
        <w:t xml:space="preserve"> </w:t>
      </w:r>
    </w:p>
    <w:p w14:paraId="0191A3EB" w14:textId="5BE87083" w:rsidR="00C55C8F" w:rsidRPr="00BA3676" w:rsidRDefault="00C55C8F" w:rsidP="006B69A8">
      <w:pPr>
        <w:keepNext/>
        <w:spacing w:after="0"/>
        <w:ind w:firstLine="708"/>
        <w:jc w:val="both"/>
      </w:pPr>
      <w:r w:rsidRPr="000373EB">
        <w:t xml:space="preserve">Ao longo dos últimos anos houve um aumento de estudos que retratam o </w:t>
      </w:r>
      <w:r w:rsidRPr="000373EB">
        <w:rPr>
          <w:i/>
        </w:rPr>
        <w:t>disclosure</w:t>
      </w:r>
      <w:r w:rsidRPr="000373EB">
        <w:t xml:space="preserve"> das empresas e mais especificamen</w:t>
      </w:r>
      <w:r w:rsidR="004A752F" w:rsidRPr="000373EB">
        <w:t>te, a parte voluntária desta prá</w:t>
      </w:r>
      <w:r w:rsidRPr="000373EB">
        <w:t xml:space="preserve">tica </w:t>
      </w:r>
      <w:r w:rsidR="00E20A5E" w:rsidRPr="000373EB">
        <w:t>(</w:t>
      </w:r>
      <w:r w:rsidR="00DC2148" w:rsidRPr="000373EB">
        <w:t>PEDRONI</w:t>
      </w:r>
      <w:r w:rsidR="00DC2148">
        <w:t xml:space="preserve"> et al.</w:t>
      </w:r>
      <w:r w:rsidR="00E20A5E" w:rsidRPr="000373EB">
        <w:t xml:space="preserve">, </w:t>
      </w:r>
      <w:r w:rsidR="007E1B18" w:rsidRPr="000373EB">
        <w:t>2016)</w:t>
      </w:r>
      <w:r w:rsidR="005B0897" w:rsidRPr="000373EB">
        <w:t>. Entende-se</w:t>
      </w:r>
      <w:r w:rsidRPr="000373EB">
        <w:t xml:space="preserve"> que esse crescimento decorre da ânsia social por uma maior transparência dos acontecimentos internos das organizações</w:t>
      </w:r>
      <w:r w:rsidR="007436BF" w:rsidRPr="000373EB">
        <w:t xml:space="preserve"> e que não estão relacionadas </w:t>
      </w:r>
      <w:r w:rsidR="00A52E15" w:rsidRPr="000373EB">
        <w:t>às práticas previstas por mecanismos coercitivos e normativos</w:t>
      </w:r>
      <w:r w:rsidR="006B69A8">
        <w:t xml:space="preserve">, sendo </w:t>
      </w:r>
      <w:r w:rsidR="00A843F5" w:rsidRPr="000373EB">
        <w:t xml:space="preserve">cada vez mais valorizada </w:t>
      </w:r>
      <w:r w:rsidR="005A7C02" w:rsidRPr="000373EB">
        <w:t xml:space="preserve">pelo mercado </w:t>
      </w:r>
      <w:r w:rsidR="00A843F5" w:rsidRPr="000373EB">
        <w:t>a</w:t>
      </w:r>
      <w:r w:rsidR="005A7C02" w:rsidRPr="000373EB">
        <w:t xml:space="preserve"> divulgação voluntária no contexto brasileiro, </w:t>
      </w:r>
      <w:r w:rsidR="00DA04F3" w:rsidRPr="000373EB">
        <w:t xml:space="preserve">principalmente, após </w:t>
      </w:r>
      <w:r w:rsidR="005A7C02" w:rsidRPr="000373EB">
        <w:t xml:space="preserve">a </w:t>
      </w:r>
      <w:r w:rsidR="00DA04F3" w:rsidRPr="000373EB">
        <w:t>divulgação de casos de corrupção</w:t>
      </w:r>
      <w:r w:rsidR="00036158">
        <w:t xml:space="preserve"> (</w:t>
      </w:r>
      <w:r w:rsidR="00036158" w:rsidRPr="00C63020">
        <w:rPr>
          <w:szCs w:val="24"/>
          <w:shd w:val="clear" w:color="auto" w:fill="FFFFFF"/>
        </w:rPr>
        <w:t>C</w:t>
      </w:r>
      <w:r w:rsidR="00DC2148">
        <w:rPr>
          <w:szCs w:val="24"/>
          <w:shd w:val="clear" w:color="auto" w:fill="FFFFFF"/>
        </w:rPr>
        <w:t>OSTA</w:t>
      </w:r>
      <w:r w:rsidR="00A6313D">
        <w:rPr>
          <w:szCs w:val="24"/>
          <w:shd w:val="clear" w:color="auto" w:fill="FFFFFF"/>
        </w:rPr>
        <w:t xml:space="preserve">; PASSOS; </w:t>
      </w:r>
      <w:r w:rsidR="00A6313D" w:rsidRPr="00A6313D">
        <w:rPr>
          <w:szCs w:val="24"/>
          <w:shd w:val="clear" w:color="auto" w:fill="FFFFFF"/>
        </w:rPr>
        <w:t>RYNGELBLUM</w:t>
      </w:r>
      <w:r w:rsidR="00DC2148">
        <w:rPr>
          <w:szCs w:val="24"/>
          <w:shd w:val="clear" w:color="auto" w:fill="FFFFFF"/>
        </w:rPr>
        <w:t xml:space="preserve">, </w:t>
      </w:r>
      <w:r w:rsidR="00036158">
        <w:t>201</w:t>
      </w:r>
      <w:r w:rsidR="00A6313D">
        <w:t>9</w:t>
      </w:r>
      <w:r w:rsidR="00036158">
        <w:t>)</w:t>
      </w:r>
      <w:r w:rsidRPr="000373EB">
        <w:t xml:space="preserve"> </w:t>
      </w:r>
    </w:p>
    <w:p w14:paraId="3782BFA6" w14:textId="13F81A2B" w:rsidR="00A4119B" w:rsidRDefault="007F425A" w:rsidP="00F70DF8">
      <w:pPr>
        <w:spacing w:after="0" w:line="240" w:lineRule="auto"/>
        <w:jc w:val="both"/>
      </w:pPr>
      <w:r w:rsidRPr="00BA3676">
        <w:tab/>
      </w:r>
      <w:r w:rsidR="00AE09FE" w:rsidRPr="00BA3676">
        <w:t xml:space="preserve">Dentre os aspectos que envolvem </w:t>
      </w:r>
      <w:r w:rsidRPr="00BA3676">
        <w:t xml:space="preserve">o </w:t>
      </w:r>
      <w:r w:rsidRPr="00BA3676">
        <w:rPr>
          <w:i/>
        </w:rPr>
        <w:t>disclosure</w:t>
      </w:r>
      <w:r w:rsidR="00AE09FE" w:rsidRPr="00BA3676">
        <w:t>, tem-se</w:t>
      </w:r>
      <w:r w:rsidR="001E53B3" w:rsidRPr="00BA3676">
        <w:t xml:space="preserve"> o </w:t>
      </w:r>
      <w:r w:rsidRPr="00BA3676">
        <w:t>discurso</w:t>
      </w:r>
      <w:r w:rsidR="000A7D1E" w:rsidRPr="00BA3676">
        <w:t xml:space="preserve"> utilizado</w:t>
      </w:r>
      <w:r w:rsidR="00CF6FA3" w:rsidRPr="00BA3676">
        <w:t xml:space="preserve"> pelas empresas em suas</w:t>
      </w:r>
      <w:r w:rsidR="00F70DF8" w:rsidRPr="00BA3676">
        <w:t xml:space="preserve"> </w:t>
      </w:r>
      <w:r w:rsidR="00CF6FA3" w:rsidRPr="00BA3676">
        <w:t>publicações a mercado</w:t>
      </w:r>
      <w:r w:rsidR="000A7D1E" w:rsidRPr="00BA3676">
        <w:t xml:space="preserve">. </w:t>
      </w:r>
      <w:r w:rsidR="00CF6FA3" w:rsidRPr="00BA3676">
        <w:t>Nelas, a</w:t>
      </w:r>
      <w:r w:rsidR="00AC4B3B" w:rsidRPr="00BA3676">
        <w:t>s narrativas</w:t>
      </w:r>
      <w:r w:rsidR="00AE09FE" w:rsidRPr="00BA3676">
        <w:t xml:space="preserve"> </w:t>
      </w:r>
      <w:r w:rsidR="00BA3676">
        <w:t xml:space="preserve">são empregadas como forma de gerenciar as </w:t>
      </w:r>
      <w:r w:rsidR="00E42549">
        <w:t>impressões acerca</w:t>
      </w:r>
      <w:r w:rsidR="00BA3676">
        <w:t xml:space="preserve"> das informações divulgadas</w:t>
      </w:r>
      <w:r w:rsidR="005B41AF">
        <w:t>, tendo em vista o comportamento oportunista dos agentes que participam desse gerenciamento</w:t>
      </w:r>
      <w:r w:rsidR="00BA3676">
        <w:t xml:space="preserve"> (</w:t>
      </w:r>
      <w:r w:rsidR="00DC2148" w:rsidRPr="00BA3676">
        <w:t>MERKL-DAVIES</w:t>
      </w:r>
      <w:r w:rsidR="00DC2148">
        <w:t xml:space="preserve">; </w:t>
      </w:r>
      <w:r w:rsidR="00DC2148" w:rsidRPr="00BA3676">
        <w:t>BRENNAN</w:t>
      </w:r>
      <w:r w:rsidR="00BA3676">
        <w:t>, 2007)</w:t>
      </w:r>
      <w:r w:rsidR="005B41AF">
        <w:t xml:space="preserve">. </w:t>
      </w:r>
      <w:r w:rsidR="008A1168">
        <w:t>T</w:t>
      </w:r>
      <w:r w:rsidR="005B41AF">
        <w:t xml:space="preserve">al prática </w:t>
      </w:r>
      <w:r w:rsidR="008A1168">
        <w:t>possui o</w:t>
      </w:r>
      <w:r w:rsidR="005B41AF">
        <w:t xml:space="preserve"> </w:t>
      </w:r>
      <w:r w:rsidR="00AC4B3B" w:rsidRPr="00BA3676">
        <w:t>intuito de direcionar as</w:t>
      </w:r>
      <w:r w:rsidR="00AE09FE" w:rsidRPr="00BA3676">
        <w:t xml:space="preserve"> percepções e</w:t>
      </w:r>
      <w:r w:rsidR="00AC4B3B" w:rsidRPr="00BA3676">
        <w:t xml:space="preserve"> influenciar as decisões d</w:t>
      </w:r>
      <w:r w:rsidR="00E42549">
        <w:t>os</w:t>
      </w:r>
      <w:r w:rsidR="00AC4B3B" w:rsidRPr="00BA3676">
        <w:t xml:space="preserve"> </w:t>
      </w:r>
      <w:r w:rsidR="00AC4B3B" w:rsidRPr="00BA3676">
        <w:rPr>
          <w:i/>
        </w:rPr>
        <w:t>stakeholders</w:t>
      </w:r>
      <w:r w:rsidR="00AC4B3B" w:rsidRPr="00BA3676">
        <w:t xml:space="preserve"> </w:t>
      </w:r>
      <w:r w:rsidR="00E42549">
        <w:t>da organização</w:t>
      </w:r>
      <w:r w:rsidR="00E42549" w:rsidRPr="00BA3676">
        <w:t xml:space="preserve"> (</w:t>
      </w:r>
      <w:r w:rsidR="00EC238D" w:rsidRPr="00BA3676">
        <w:t>CHO</w:t>
      </w:r>
      <w:r w:rsidR="00EC238D">
        <w:t>;</w:t>
      </w:r>
      <w:r w:rsidR="00EC238D" w:rsidRPr="00BA3676">
        <w:t xml:space="preserve"> ROBERTS</w:t>
      </w:r>
      <w:r w:rsidR="00EC238D">
        <w:t>;</w:t>
      </w:r>
      <w:r w:rsidR="00EC238D" w:rsidRPr="00BA3676">
        <w:t xml:space="preserve"> PATTEN</w:t>
      </w:r>
      <w:r w:rsidR="00AC4B3B" w:rsidRPr="00BA3676">
        <w:t>, 2010)</w:t>
      </w:r>
      <w:r w:rsidR="00022E3A" w:rsidRPr="00BA3676">
        <w:t>.</w:t>
      </w:r>
      <w:r w:rsidR="00C92282" w:rsidRPr="00DD11B1">
        <w:t xml:space="preserve"> </w:t>
      </w:r>
    </w:p>
    <w:p w14:paraId="7D14BE67" w14:textId="0E7A2B46" w:rsidR="0006669A" w:rsidRPr="008A1168" w:rsidRDefault="00E42549" w:rsidP="0006669A">
      <w:pPr>
        <w:spacing w:after="0" w:line="240" w:lineRule="auto"/>
        <w:ind w:firstLine="708"/>
        <w:jc w:val="both"/>
      </w:pPr>
      <w:proofErr w:type="spellStart"/>
      <w:r w:rsidRPr="00E42549">
        <w:t>Hossain</w:t>
      </w:r>
      <w:proofErr w:type="spellEnd"/>
      <w:r>
        <w:t xml:space="preserve"> (2017)</w:t>
      </w:r>
      <w:r w:rsidR="003D368E">
        <w:t xml:space="preserve"> argumenta que</w:t>
      </w:r>
      <w:r>
        <w:t xml:space="preserve"> as diferentes publicações coorporativas se tornam ferramentas de manipulação</w:t>
      </w:r>
      <w:r w:rsidR="003D368E">
        <w:t>, uma vez que as formas narrativas aplica</w:t>
      </w:r>
      <w:r w:rsidR="00996693">
        <w:t>da</w:t>
      </w:r>
      <w:r w:rsidR="003D368E">
        <w:t>s são capazes de influenciar os leitores a que</w:t>
      </w:r>
      <w:r w:rsidR="00A927E6">
        <w:t>m</w:t>
      </w:r>
      <w:r w:rsidR="003D368E">
        <w:t xml:space="preserve"> ela</w:t>
      </w:r>
      <w:r w:rsidR="00A927E6">
        <w:t>s</w:t>
      </w:r>
      <w:r w:rsidR="003D368E">
        <w:t xml:space="preserve"> se direciona</w:t>
      </w:r>
      <w:r w:rsidR="00A927E6">
        <w:t>m</w:t>
      </w:r>
      <w:r w:rsidR="003D368E">
        <w:t xml:space="preserve">. </w:t>
      </w:r>
      <w:r w:rsidR="0006669A">
        <w:t xml:space="preserve">Nessa linha argumentativa, </w:t>
      </w:r>
      <w:r w:rsidR="00C7727E" w:rsidRPr="00DD11B1">
        <w:t xml:space="preserve">Phillips, Lawrence e </w:t>
      </w:r>
      <w:proofErr w:type="spellStart"/>
      <w:r w:rsidR="00C7727E" w:rsidRPr="00DD11B1">
        <w:t>Hardy</w:t>
      </w:r>
      <w:proofErr w:type="spellEnd"/>
      <w:r w:rsidR="00C7727E" w:rsidRPr="00DD11B1">
        <w:t xml:space="preserve"> (2004)</w:t>
      </w:r>
      <w:r w:rsidR="0006669A">
        <w:t>,</w:t>
      </w:r>
      <w:r w:rsidR="00C7727E" w:rsidRPr="00DD11B1">
        <w:t xml:space="preserve"> </w:t>
      </w:r>
      <w:r w:rsidR="0006669A">
        <w:t>discorrem sobre a adoção de</w:t>
      </w:r>
      <w:r w:rsidR="0005597B" w:rsidRPr="00DD11B1">
        <w:t xml:space="preserve"> </w:t>
      </w:r>
      <w:r w:rsidR="00583EE6" w:rsidRPr="00DD11B1">
        <w:t>meios coercitivos por parte do emissor</w:t>
      </w:r>
      <w:r w:rsidR="0005597B" w:rsidRPr="00DD11B1">
        <w:t xml:space="preserve"> </w:t>
      </w:r>
      <w:r w:rsidR="0006669A">
        <w:t xml:space="preserve">como direcionador das percepções </w:t>
      </w:r>
      <w:r w:rsidR="0005597B" w:rsidRPr="00DD11B1">
        <w:t>– como por exemplo, a citação de autoridades</w:t>
      </w:r>
      <w:r w:rsidR="00C72EA5" w:rsidRPr="00DD11B1">
        <w:t xml:space="preserve"> e ainda, a</w:t>
      </w:r>
      <w:r w:rsidR="0005597B" w:rsidRPr="00DD11B1">
        <w:t xml:space="preserve"> </w:t>
      </w:r>
      <w:r w:rsidR="00C72EA5" w:rsidRPr="00DD11B1">
        <w:t>evocação de outros textos (intertextualidade) e discursos (interdiscursividade)</w:t>
      </w:r>
      <w:r w:rsidR="00900268" w:rsidRPr="00DD11B1">
        <w:t xml:space="preserve">. </w:t>
      </w:r>
      <w:r w:rsidR="00A927E6">
        <w:t>Sendo que a utilização desses mecanismos se relaciona</w:t>
      </w:r>
      <w:r w:rsidR="0006669A" w:rsidRPr="00DD11B1">
        <w:t xml:space="preserve"> com a tentativa de aquisição, manutenção ou reparação da legitimidade das ações organizacionais</w:t>
      </w:r>
      <w:r w:rsidR="008A1168">
        <w:t xml:space="preserve"> </w:t>
      </w:r>
      <w:r w:rsidR="0006669A" w:rsidRPr="008A1168">
        <w:t>(</w:t>
      </w:r>
      <w:r w:rsidR="00EC238D" w:rsidRPr="00DD11B1">
        <w:t>PHILLIPS</w:t>
      </w:r>
      <w:r w:rsidR="00EC238D">
        <w:t>;</w:t>
      </w:r>
      <w:r w:rsidR="00EC238D" w:rsidRPr="00DD11B1">
        <w:t xml:space="preserve"> LAWRENCE</w:t>
      </w:r>
      <w:r w:rsidR="00EC238D">
        <w:t xml:space="preserve">; </w:t>
      </w:r>
      <w:r w:rsidR="00EC238D" w:rsidRPr="00DD11B1">
        <w:t>HARDY</w:t>
      </w:r>
      <w:r w:rsidR="00EC238D">
        <w:t xml:space="preserve">, </w:t>
      </w:r>
      <w:r w:rsidR="00EC238D" w:rsidRPr="008A1168">
        <w:t>2004; MERKL-DAVIES</w:t>
      </w:r>
      <w:r w:rsidR="00EC238D">
        <w:t>;</w:t>
      </w:r>
      <w:r w:rsidR="00EC238D" w:rsidRPr="008A1168">
        <w:t xml:space="preserve"> BRENNAN, 2007</w:t>
      </w:r>
      <w:r w:rsidR="0006669A" w:rsidRPr="008A1168">
        <w:t>)</w:t>
      </w:r>
      <w:r w:rsidR="008A1168">
        <w:t>.</w:t>
      </w:r>
    </w:p>
    <w:p w14:paraId="164AEB34" w14:textId="14F10615" w:rsidR="00000011" w:rsidRDefault="000F333B" w:rsidP="009D1D9F">
      <w:pPr>
        <w:spacing w:after="0" w:line="240" w:lineRule="auto"/>
        <w:jc w:val="both"/>
      </w:pPr>
      <w:r w:rsidRPr="008A1168">
        <w:tab/>
      </w:r>
      <w:r w:rsidR="000373EB" w:rsidRPr="006F4D3D">
        <w:t>Adem</w:t>
      </w:r>
      <w:r w:rsidR="008C0139" w:rsidRPr="006F4D3D">
        <w:t>ais</w:t>
      </w:r>
      <w:r w:rsidR="000373EB" w:rsidRPr="006F4D3D">
        <w:t>, de a</w:t>
      </w:r>
      <w:r w:rsidRPr="006F4D3D">
        <w:t xml:space="preserve">cordo com </w:t>
      </w:r>
      <w:r w:rsidR="000A7D1E" w:rsidRPr="006F4D3D">
        <w:t>Oliveira, Sobrinho e Guarido Filho (2015), as organizações</w:t>
      </w:r>
      <w:r w:rsidR="006636D7" w:rsidRPr="006F4D3D">
        <w:t xml:space="preserve"> atuam como agente</w:t>
      </w:r>
      <w:r w:rsidR="004A0B73" w:rsidRPr="006F4D3D">
        <w:t>s</w:t>
      </w:r>
      <w:r w:rsidR="006636D7" w:rsidRPr="006F4D3D">
        <w:t xml:space="preserve"> sociais na construção social da realidade por meio da linguagem </w:t>
      </w:r>
      <w:r w:rsidR="00C92282" w:rsidRPr="006F4D3D">
        <w:t>nas</w:t>
      </w:r>
      <w:r w:rsidR="006636D7" w:rsidRPr="006F4D3D">
        <w:t xml:space="preserve"> suas práticas dis</w:t>
      </w:r>
      <w:r w:rsidR="00C92282" w:rsidRPr="006F4D3D">
        <w:t xml:space="preserve">cursivas. </w:t>
      </w:r>
      <w:r w:rsidR="005A7C02" w:rsidRPr="006F4D3D">
        <w:t>E</w:t>
      </w:r>
      <w:r w:rsidR="00583BBA" w:rsidRPr="006F4D3D">
        <w:t>ssa</w:t>
      </w:r>
      <w:r w:rsidR="00361D72" w:rsidRPr="006F4D3D">
        <w:t>s</w:t>
      </w:r>
      <w:r w:rsidR="00583BBA" w:rsidRPr="006F4D3D">
        <w:t xml:space="preserve"> práticas</w:t>
      </w:r>
      <w:r w:rsidR="00361D72" w:rsidRPr="006F4D3D">
        <w:t xml:space="preserve"> </w:t>
      </w:r>
      <w:r w:rsidR="005A7C02" w:rsidRPr="006F4D3D">
        <w:t xml:space="preserve">podem ser vistas como mecanismo utilizado pelas </w:t>
      </w:r>
      <w:r w:rsidR="005A7C02" w:rsidRPr="006F4D3D">
        <w:lastRenderedPageBreak/>
        <w:t xml:space="preserve">organizações para intermediar </w:t>
      </w:r>
      <w:r w:rsidR="00361D72" w:rsidRPr="006F4D3D">
        <w:t>os níveis macro (instituições) e micro (indivíduo</w:t>
      </w:r>
      <w:r w:rsidR="00771979" w:rsidRPr="006F4D3D">
        <w:t>s</w:t>
      </w:r>
      <w:r w:rsidR="00361D72" w:rsidRPr="006F4D3D">
        <w:t>)</w:t>
      </w:r>
      <w:r w:rsidR="00C3475C" w:rsidRPr="006F4D3D">
        <w:t>,</w:t>
      </w:r>
      <w:r w:rsidR="00361D72" w:rsidRPr="006F4D3D">
        <w:t xml:space="preserve"> de </w:t>
      </w:r>
      <w:r w:rsidR="00C3475C" w:rsidRPr="006F4D3D">
        <w:t>forma</w:t>
      </w:r>
      <w:r w:rsidR="00361D72" w:rsidRPr="006F4D3D">
        <w:t xml:space="preserve"> a realizar </w:t>
      </w:r>
      <w:r w:rsidR="00C3475C" w:rsidRPr="006F4D3D">
        <w:t>transformações no cotidiano ou a manutenção de padrões sociais.</w:t>
      </w:r>
    </w:p>
    <w:p w14:paraId="678DCF63" w14:textId="75790857" w:rsidR="009F62E7" w:rsidRDefault="006A5869" w:rsidP="009D1D9F">
      <w:pPr>
        <w:spacing w:after="0" w:line="240" w:lineRule="auto"/>
        <w:jc w:val="both"/>
      </w:pPr>
      <w:r>
        <w:tab/>
      </w:r>
      <w:r w:rsidR="000B208A">
        <w:t>Com a finalidade de</w:t>
      </w:r>
      <w:r w:rsidR="003E5CB9">
        <w:t xml:space="preserve"> disseminação das práticas discursivas, as corporações se utilizam de diferentes meios de comunicação </w:t>
      </w:r>
      <w:r w:rsidR="009F62E7">
        <w:t>além dos relatórios anuais</w:t>
      </w:r>
      <w:r w:rsidR="009C065A">
        <w:t xml:space="preserve"> </w:t>
      </w:r>
      <w:r>
        <w:t>(</w:t>
      </w:r>
      <w:r w:rsidR="00BD0B3E" w:rsidRPr="00E42549">
        <w:t>HOSSAIN</w:t>
      </w:r>
      <w:r>
        <w:t>, 2017)</w:t>
      </w:r>
      <w:r w:rsidR="009F62E7">
        <w:t xml:space="preserve">. No Brasil, no meio das possibilidades, tem-se as </w:t>
      </w:r>
      <w:r w:rsidR="004C5136">
        <w:t>publicações</w:t>
      </w:r>
      <w:r w:rsidR="009F62E7">
        <w:t xml:space="preserve"> de informações relevantes por m</w:t>
      </w:r>
      <w:r w:rsidR="000B208A">
        <w:t>ei</w:t>
      </w:r>
      <w:r w:rsidR="009F62E7">
        <w:t>o de comunicados a mercado</w:t>
      </w:r>
      <w:r w:rsidR="000B208A">
        <w:t xml:space="preserve">. Segundo </w:t>
      </w:r>
      <w:r w:rsidR="009F62E7">
        <w:t xml:space="preserve">Silva </w:t>
      </w:r>
      <w:r w:rsidR="000B208A">
        <w:t>e</w:t>
      </w:r>
      <w:r w:rsidR="009F62E7">
        <w:t xml:space="preserve"> Felipe</w:t>
      </w:r>
      <w:r w:rsidR="000B208A">
        <w:t xml:space="preserve"> (</w:t>
      </w:r>
      <w:r w:rsidR="009F62E7">
        <w:t>2010)</w:t>
      </w:r>
      <w:r w:rsidR="000B208A">
        <w:t xml:space="preserve">, essa modalidade de </w:t>
      </w:r>
      <w:r w:rsidR="004C5136">
        <w:t xml:space="preserve">divulgação não possui uma regulamentação sobre a </w:t>
      </w:r>
      <w:r w:rsidR="007D52BA">
        <w:t xml:space="preserve">sua </w:t>
      </w:r>
      <w:r w:rsidR="004C5136">
        <w:t>periodicidade</w:t>
      </w:r>
      <w:r w:rsidR="007D52BA">
        <w:t xml:space="preserve"> e padronização dos leiautes e linguagem utilizadas – cabendo a empresa a análise do</w:t>
      </w:r>
      <w:r w:rsidR="0005737D">
        <w:t xml:space="preserve"> conteúdo</w:t>
      </w:r>
      <w:r w:rsidR="007D52BA">
        <w:t xml:space="preserve"> que será divulgado, bem como a sua forma. </w:t>
      </w:r>
    </w:p>
    <w:p w14:paraId="37D0A64B" w14:textId="59B8DDA0" w:rsidR="007D52BA" w:rsidRDefault="00771979" w:rsidP="00570E72">
      <w:pPr>
        <w:spacing w:after="0" w:line="240" w:lineRule="auto"/>
        <w:ind w:firstLine="708"/>
        <w:jc w:val="both"/>
      </w:pPr>
      <w:r w:rsidRPr="00F60720">
        <w:t xml:space="preserve">Diante disso, </w:t>
      </w:r>
      <w:r w:rsidR="004E0E05" w:rsidRPr="00F60720">
        <w:t xml:space="preserve">o presente artigo possui a seguinte questão de pesquisa: </w:t>
      </w:r>
      <w:r w:rsidR="00570E72">
        <w:t>q</w:t>
      </w:r>
      <w:r w:rsidR="00097D8D">
        <w:t>ual a configuração</w:t>
      </w:r>
      <w:r w:rsidR="00097D8D" w:rsidRPr="00074DF9">
        <w:t xml:space="preserve"> </w:t>
      </w:r>
      <w:r w:rsidR="00097D8D">
        <w:t xml:space="preserve">e o comportamento </w:t>
      </w:r>
      <w:r w:rsidR="00097D8D" w:rsidRPr="00074DF9">
        <w:t xml:space="preserve">do discurso da Petrobras nas citações </w:t>
      </w:r>
      <w:r w:rsidR="00570E72">
        <w:t>à</w:t>
      </w:r>
      <w:r w:rsidR="00097D8D" w:rsidRPr="00074DF9">
        <w:t xml:space="preserve"> órgãos reguladores</w:t>
      </w:r>
      <w:r w:rsidR="00570E72">
        <w:t xml:space="preserve">? </w:t>
      </w:r>
      <w:r w:rsidR="004E0E05" w:rsidRPr="00F60720">
        <w:t xml:space="preserve">Para tanto, analisa-se o discurso contido nos Comunicados e Fatos Relevantes da </w:t>
      </w:r>
      <w:r w:rsidR="00B54DA2">
        <w:t>Petrobras</w:t>
      </w:r>
      <w:r w:rsidR="004E0E05" w:rsidRPr="00F60720">
        <w:t xml:space="preserve"> e </w:t>
      </w:r>
      <w:r w:rsidR="00A91364" w:rsidRPr="00F60720">
        <w:t xml:space="preserve">se compara as citações realizadas pela empresa </w:t>
      </w:r>
      <w:r w:rsidR="005A7C02" w:rsidRPr="00F60720">
        <w:t xml:space="preserve">aos </w:t>
      </w:r>
      <w:r w:rsidR="00A300D6" w:rsidRPr="00F60720">
        <w:t>dois principais</w:t>
      </w:r>
      <w:r w:rsidR="00A91364" w:rsidRPr="00F60720">
        <w:t xml:space="preserve"> órgãos </w:t>
      </w:r>
      <w:r w:rsidRPr="00F60720">
        <w:t>reguladores: Tribunal de Contas da União</w:t>
      </w:r>
      <w:r w:rsidR="00E83C04" w:rsidRPr="00F60720">
        <w:t xml:space="preserve"> (TCU)</w:t>
      </w:r>
      <w:r w:rsidRPr="00F60720">
        <w:t xml:space="preserve"> e Comissão de Valores Mobiliários</w:t>
      </w:r>
      <w:r w:rsidR="00E83C04" w:rsidRPr="00F60720">
        <w:t xml:space="preserve"> (CVM)</w:t>
      </w:r>
      <w:r w:rsidRPr="00F60720">
        <w:t xml:space="preserve">. </w:t>
      </w:r>
      <w:r w:rsidR="00A91364" w:rsidRPr="00F60720">
        <w:t>Isso pois,</w:t>
      </w:r>
      <w:r w:rsidR="00840A7C" w:rsidRPr="00F60720">
        <w:t xml:space="preserve"> </w:t>
      </w:r>
      <w:r w:rsidR="00AF2C52" w:rsidRPr="00F60720">
        <w:t>defe</w:t>
      </w:r>
      <w:r w:rsidR="00945022" w:rsidRPr="00F60720">
        <w:t>nde</w:t>
      </w:r>
      <w:r w:rsidR="00AF2C52" w:rsidRPr="00F60720">
        <w:t xml:space="preserve">-se que </w:t>
      </w:r>
      <w:r w:rsidR="00945022" w:rsidRPr="00F60720">
        <w:t xml:space="preserve">a utilização das citações à órgãos reguladores se configura como uma prática discursiva que pode influenciar as percepções das ações organizacionais, servindo como </w:t>
      </w:r>
      <w:r w:rsidR="0005737D" w:rsidRPr="00F60720">
        <w:t xml:space="preserve">meio legitimador de suas escolhas frente aos seus </w:t>
      </w:r>
      <w:r w:rsidR="0005737D" w:rsidRPr="00F60720">
        <w:rPr>
          <w:i/>
        </w:rPr>
        <w:t>stakeholders</w:t>
      </w:r>
      <w:r w:rsidR="00945022" w:rsidRPr="00F60720">
        <w:rPr>
          <w:i/>
        </w:rPr>
        <w:t>.</w:t>
      </w:r>
    </w:p>
    <w:p w14:paraId="35C3A5DB" w14:textId="72A4F12B" w:rsidR="003E2C49" w:rsidRPr="00DD11B1" w:rsidRDefault="00716F68" w:rsidP="009D1D9F">
      <w:pPr>
        <w:spacing w:after="0" w:line="240" w:lineRule="auto"/>
        <w:ind w:firstLine="708"/>
        <w:jc w:val="both"/>
      </w:pPr>
      <w:r w:rsidRPr="00DD11B1">
        <w:t xml:space="preserve">Dessa forma, </w:t>
      </w:r>
      <w:r w:rsidR="001376C8" w:rsidRPr="00DD11B1">
        <w:t xml:space="preserve">por meio do caso aplicado a uma importante empresa brasileira </w:t>
      </w:r>
      <w:r w:rsidRPr="00DD11B1">
        <w:t xml:space="preserve">busca-se </w:t>
      </w:r>
      <w:r w:rsidR="00B86FA1" w:rsidRPr="00DD11B1">
        <w:t xml:space="preserve">contribuir com </w:t>
      </w:r>
      <w:r w:rsidR="005B4E7F" w:rsidRPr="00DD11B1">
        <w:t>os estudos organizacionais</w:t>
      </w:r>
      <w:r w:rsidR="00CC2B73" w:rsidRPr="00DD11B1">
        <w:t xml:space="preserve"> e da </w:t>
      </w:r>
      <w:r w:rsidR="00CC2B73" w:rsidRPr="008C0139">
        <w:t>área de contabilidade</w:t>
      </w:r>
      <w:r w:rsidR="003E2C49" w:rsidRPr="00DD11B1">
        <w:t xml:space="preserve">, com os gestores e aos responsáveis pelas divulgações das entidades – tanto públicas, quanto privadas –, </w:t>
      </w:r>
      <w:r w:rsidR="005B4E7F" w:rsidRPr="00DD11B1">
        <w:t>ao evidenciar a importância de se observar</w:t>
      </w:r>
      <w:r w:rsidR="001376C8" w:rsidRPr="00DD11B1">
        <w:t xml:space="preserve"> a </w:t>
      </w:r>
      <w:r w:rsidR="005B4E7F" w:rsidRPr="00DD11B1">
        <w:t xml:space="preserve">linguagem e </w:t>
      </w:r>
      <w:r w:rsidR="001376C8" w:rsidRPr="00DD11B1">
        <w:t xml:space="preserve">as configurações </w:t>
      </w:r>
      <w:r w:rsidR="003E2C49" w:rsidRPr="00DD11B1">
        <w:t>d</w:t>
      </w:r>
      <w:r w:rsidR="005B4E7F" w:rsidRPr="00DD11B1">
        <w:t>o discurso contido nas publicações emitidas a mercado</w:t>
      </w:r>
      <w:r w:rsidR="00CC2B73" w:rsidRPr="00DD11B1">
        <w:t>,</w:t>
      </w:r>
      <w:r w:rsidR="001376C8" w:rsidRPr="00DD11B1">
        <w:t xml:space="preserve"> </w:t>
      </w:r>
      <w:r w:rsidR="007A07EA">
        <w:t>em busca de um mercado mais transparente e</w:t>
      </w:r>
      <w:r w:rsidR="00677B9F">
        <w:t xml:space="preserve"> sistema de </w:t>
      </w:r>
      <w:r w:rsidR="007A07EA">
        <w:t xml:space="preserve"> governança mais just</w:t>
      </w:r>
      <w:r w:rsidR="00036158">
        <w:t>o</w:t>
      </w:r>
      <w:r w:rsidR="007A07EA">
        <w:t xml:space="preserve"> para os distintos atores envolvidos.</w:t>
      </w:r>
    </w:p>
    <w:p w14:paraId="2E1A4D6D" w14:textId="77777777" w:rsidR="00156067" w:rsidRPr="00DD11B1" w:rsidRDefault="00156067" w:rsidP="009D1D9F">
      <w:pPr>
        <w:spacing w:after="0" w:line="240" w:lineRule="auto"/>
        <w:ind w:firstLine="708"/>
        <w:jc w:val="both"/>
      </w:pPr>
    </w:p>
    <w:p w14:paraId="538FB334" w14:textId="354D41BE" w:rsidR="00AF2AE3" w:rsidRDefault="00AF2AE3" w:rsidP="009D1D9F">
      <w:pPr>
        <w:spacing w:after="0" w:line="240" w:lineRule="auto"/>
        <w:jc w:val="both"/>
        <w:rPr>
          <w:b/>
        </w:rPr>
      </w:pPr>
      <w:r w:rsidRPr="00DD11B1">
        <w:rPr>
          <w:b/>
          <w:szCs w:val="24"/>
        </w:rPr>
        <w:t xml:space="preserve">2 </w:t>
      </w:r>
      <w:r w:rsidR="0079111F">
        <w:rPr>
          <w:b/>
          <w:szCs w:val="24"/>
        </w:rPr>
        <w:t xml:space="preserve">SISTEMA DE </w:t>
      </w:r>
      <w:r w:rsidR="0079111F" w:rsidRPr="00F60720">
        <w:rPr>
          <w:b/>
          <w:szCs w:val="24"/>
        </w:rPr>
        <w:t xml:space="preserve">GOVERNANÇA, </w:t>
      </w:r>
      <w:r w:rsidR="0079111F" w:rsidRPr="00F60720">
        <w:rPr>
          <w:b/>
        </w:rPr>
        <w:t>LINGUAGEM E DISCURSO</w:t>
      </w:r>
    </w:p>
    <w:p w14:paraId="1453F92A" w14:textId="77777777" w:rsidR="002F18B6" w:rsidRDefault="002F18B6" w:rsidP="006B69A8">
      <w:pPr>
        <w:keepNext/>
        <w:spacing w:after="0"/>
        <w:ind w:firstLine="708"/>
        <w:jc w:val="both"/>
      </w:pPr>
    </w:p>
    <w:p w14:paraId="7573A48B" w14:textId="29D86E44" w:rsidR="006B69A8" w:rsidRDefault="00BB3F94" w:rsidP="006B69A8">
      <w:pPr>
        <w:keepNext/>
        <w:spacing w:after="0"/>
        <w:ind w:firstLine="708"/>
        <w:jc w:val="both"/>
      </w:pPr>
      <w:r w:rsidRPr="0054722F">
        <w:t>Buscando se afastar do confuso entendimento que circunda o termo governança</w:t>
      </w:r>
      <w:r>
        <w:t xml:space="preserve">, </w:t>
      </w:r>
      <w:r w:rsidRPr="0054722F">
        <w:t xml:space="preserve">assumimos que este </w:t>
      </w:r>
      <w:r>
        <w:t xml:space="preserve">conceito </w:t>
      </w:r>
      <w:r w:rsidRPr="0054722F">
        <w:t xml:space="preserve">dirige atenção ao complexo processo </w:t>
      </w:r>
      <w:r>
        <w:t>d</w:t>
      </w:r>
      <w:r w:rsidRPr="0054722F">
        <w:t xml:space="preserve">e interação que </w:t>
      </w:r>
      <w:r w:rsidR="006B69A8" w:rsidRPr="0054722F">
        <w:t>constitui</w:t>
      </w:r>
      <w:r w:rsidRPr="0054722F">
        <w:t xml:space="preserve"> os padrões das regras</w:t>
      </w:r>
      <w:r>
        <w:t xml:space="preserve"> que regulam esse sistema </w:t>
      </w:r>
      <w:r w:rsidRPr="0054722F">
        <w:t>(</w:t>
      </w:r>
      <w:r w:rsidR="00BD0B3E" w:rsidRPr="0054722F">
        <w:t xml:space="preserve">BEVIR, </w:t>
      </w:r>
      <w:r w:rsidRPr="0054722F">
        <w:t>2011). Nesse sentido, governança não é simplesmente produto do governo (</w:t>
      </w:r>
      <w:r w:rsidR="00DF314F">
        <w:t xml:space="preserve">VAN </w:t>
      </w:r>
      <w:r w:rsidR="00DF314F" w:rsidRPr="0054722F">
        <w:t>SCHOOTEN</w:t>
      </w:r>
      <w:r w:rsidR="00DF314F">
        <w:t>;</w:t>
      </w:r>
      <w:r w:rsidR="00DF314F" w:rsidRPr="0054722F">
        <w:t xml:space="preserve"> VERSCHUUREN</w:t>
      </w:r>
      <w:r w:rsidRPr="0054722F">
        <w:t>, 2008), mas sim, produto da pluralidade de atores que interagem na sociedade (</w:t>
      </w:r>
      <w:r w:rsidR="00BD0B3E" w:rsidRPr="0054722F">
        <w:t>ENROTH</w:t>
      </w:r>
      <w:r w:rsidRPr="0054722F">
        <w:t xml:space="preserve">, 2011), a partir de distintas racionalidades. </w:t>
      </w:r>
    </w:p>
    <w:p w14:paraId="706927D2" w14:textId="539284B5" w:rsidR="006B69A8" w:rsidRDefault="00BB3F94" w:rsidP="006B69A8">
      <w:pPr>
        <w:keepNext/>
        <w:spacing w:after="0"/>
        <w:ind w:firstLine="708"/>
        <w:jc w:val="both"/>
      </w:pPr>
      <w:r>
        <w:t xml:space="preserve">Nesta linha de raciocínio, para </w:t>
      </w:r>
      <w:proofErr w:type="spellStart"/>
      <w:r>
        <w:t>Schuppert</w:t>
      </w:r>
      <w:proofErr w:type="spellEnd"/>
      <w:r>
        <w:t xml:space="preserve"> (2011</w:t>
      </w:r>
      <w:r w:rsidR="00441093">
        <w:t xml:space="preserve">, p. </w:t>
      </w:r>
      <w:r>
        <w:t xml:space="preserve">286), governança se refere “a vários modos institucionalizados de coordenação social utilizados para produzir e implementar regras ou para prover bens coletivos”. Neste sentido, o autor afirma que, para tornar claro o conceito da estruturação de governança, é necessário compreender a governança como os arranjos das práticas de parceiros públicos e privados situados em determinado contexto comum de referência. Ainda segundo este autor, a definição mais ampla de parceria inclui quatro modos de governança: cooptação, delegação, </w:t>
      </w:r>
      <w:proofErr w:type="spellStart"/>
      <w:r>
        <w:t>co-regulação</w:t>
      </w:r>
      <w:proofErr w:type="spellEnd"/>
      <w:r>
        <w:t xml:space="preserve"> e </w:t>
      </w:r>
      <w:proofErr w:type="spellStart"/>
      <w:r>
        <w:t>auto-regulação</w:t>
      </w:r>
      <w:proofErr w:type="spellEnd"/>
      <w:r>
        <w:t xml:space="preserve"> hierárquica.</w:t>
      </w:r>
    </w:p>
    <w:p w14:paraId="1B3242B5" w14:textId="57316127" w:rsidR="006B69A8" w:rsidRDefault="00BB3F94" w:rsidP="006B69A8">
      <w:pPr>
        <w:keepNext/>
        <w:spacing w:after="0"/>
        <w:ind w:firstLine="708"/>
        <w:jc w:val="both"/>
        <w:rPr>
          <w:rFonts w:cs="Arial"/>
        </w:rPr>
      </w:pPr>
      <w:r>
        <w:rPr>
          <w:lang w:eastAsia="pt-BR"/>
        </w:rPr>
        <w:t xml:space="preserve">De acordo com as novas teorias, dilemas e práticas sobre esse tema, governança também deve ser considerada como sistemas combinados de atividades concretas </w:t>
      </w:r>
      <w:r w:rsidR="00036158">
        <w:rPr>
          <w:lang w:eastAsia="pt-BR"/>
        </w:rPr>
        <w:t>hibridizadas</w:t>
      </w:r>
      <w:r>
        <w:rPr>
          <w:lang w:eastAsia="pt-BR"/>
        </w:rPr>
        <w:t xml:space="preserve"> por parte de sistemas políticos, mecanismos do mercado e da atuação de organizações sem fins-lucrativos, sendo que a multiplicidade dos atores e as condições de regulação de suas atividades são assim responsáveis pela sua estruturação (</w:t>
      </w:r>
      <w:r w:rsidR="00DF314F">
        <w:rPr>
          <w:lang w:eastAsia="pt-BR"/>
        </w:rPr>
        <w:t>BEVIR</w:t>
      </w:r>
      <w:r>
        <w:rPr>
          <w:lang w:eastAsia="pt-BR"/>
        </w:rPr>
        <w:t>, 2011). A estruturação da governança é vista ainda como abrangendo</w:t>
      </w:r>
      <w:r>
        <w:rPr>
          <w:rFonts w:cs="Arial"/>
        </w:rPr>
        <w:t xml:space="preserve"> a dinâmica d</w:t>
      </w:r>
      <w:r w:rsidRPr="004F3923">
        <w:rPr>
          <w:rFonts w:cs="Arial"/>
        </w:rPr>
        <w:t>a construção da estrutura institucional normativo-</w:t>
      </w:r>
      <w:proofErr w:type="spellStart"/>
      <w:r w:rsidRPr="004F3923">
        <w:rPr>
          <w:rFonts w:cs="Arial"/>
        </w:rPr>
        <w:t>regulativa</w:t>
      </w:r>
      <w:proofErr w:type="spellEnd"/>
      <w:r w:rsidRPr="004F3923">
        <w:rPr>
          <w:rFonts w:cs="Arial"/>
        </w:rPr>
        <w:t xml:space="preserve"> de arranjos responsáveis por controles </w:t>
      </w:r>
      <w:r>
        <w:rPr>
          <w:rFonts w:cs="Arial"/>
        </w:rPr>
        <w:t>regularizados, ligados ao uso de</w:t>
      </w:r>
      <w:r w:rsidRPr="004F3923">
        <w:rPr>
          <w:rFonts w:cs="Arial"/>
        </w:rPr>
        <w:t xml:space="preserve"> recursos e </w:t>
      </w:r>
      <w:r w:rsidRPr="004F3923">
        <w:rPr>
          <w:rFonts w:cs="Arial"/>
        </w:rPr>
        <w:lastRenderedPageBreak/>
        <w:t>práticas voltadas para o suporte ou alteração desses arranjos (</w:t>
      </w:r>
      <w:r w:rsidR="00DF314F" w:rsidRPr="004F3923">
        <w:rPr>
          <w:rFonts w:cs="Arial"/>
        </w:rPr>
        <w:t>SCOTT</w:t>
      </w:r>
      <w:r w:rsidR="00DF314F">
        <w:rPr>
          <w:rFonts w:cs="Arial"/>
        </w:rPr>
        <w:t>;</w:t>
      </w:r>
      <w:r w:rsidR="00DF314F" w:rsidRPr="004F3923">
        <w:rPr>
          <w:rFonts w:cs="Arial"/>
        </w:rPr>
        <w:t xml:space="preserve"> MENDEL</w:t>
      </w:r>
      <w:r w:rsidR="00DF314F">
        <w:rPr>
          <w:rFonts w:cs="Arial"/>
        </w:rPr>
        <w:t>;</w:t>
      </w:r>
      <w:r w:rsidR="00DF314F" w:rsidRPr="004F3923">
        <w:rPr>
          <w:rFonts w:cs="Arial"/>
        </w:rPr>
        <w:t xml:space="preserve"> POLLACK</w:t>
      </w:r>
      <w:r w:rsidRPr="004F3923">
        <w:rPr>
          <w:rFonts w:cs="Arial"/>
        </w:rPr>
        <w:t>, 2009).</w:t>
      </w:r>
    </w:p>
    <w:p w14:paraId="79C66373" w14:textId="2E64D324" w:rsidR="00BB3F94" w:rsidRPr="0050687B" w:rsidRDefault="00BB3F94" w:rsidP="000D5EBA">
      <w:pPr>
        <w:keepNext/>
        <w:spacing w:after="0"/>
        <w:ind w:firstLine="708"/>
        <w:jc w:val="both"/>
      </w:pPr>
      <w:r>
        <w:rPr>
          <w:rFonts w:cs="Arial"/>
        </w:rPr>
        <w:t>Nessa perspectiva, para compreensão da estrutura normativa-</w:t>
      </w:r>
      <w:proofErr w:type="spellStart"/>
      <w:r>
        <w:rPr>
          <w:rFonts w:cs="Arial"/>
        </w:rPr>
        <w:t>regulativa</w:t>
      </w:r>
      <w:proofErr w:type="spellEnd"/>
      <w:r>
        <w:rPr>
          <w:rFonts w:cs="Arial"/>
        </w:rPr>
        <w:t xml:space="preserve"> que suporta as formas de governança de campos organizacionais, deve-se levar em consideração as </w:t>
      </w:r>
      <w:r w:rsidRPr="004F3923">
        <w:rPr>
          <w:rFonts w:cs="Arial"/>
        </w:rPr>
        <w:t xml:space="preserve">regras preexistentes de interação e </w:t>
      </w:r>
      <w:r w:rsidRPr="00B142C6">
        <w:rPr>
          <w:rFonts w:cs="Arial"/>
        </w:rPr>
        <w:t xml:space="preserve">distribuição de recursos, combinadas com os agentes envolvidos. </w:t>
      </w:r>
      <w:r w:rsidR="0050687B">
        <w:rPr>
          <w:rFonts w:cs="Arial"/>
        </w:rPr>
        <w:t xml:space="preserve">Desse </w:t>
      </w:r>
      <w:r>
        <w:t xml:space="preserve">modo, a criação de leis codificadas e a compreensão dos mecanismos de </w:t>
      </w:r>
      <w:proofErr w:type="spellStart"/>
      <w:r>
        <w:rPr>
          <w:i/>
        </w:rPr>
        <w:t>enforcement</w:t>
      </w:r>
      <w:proofErr w:type="spellEnd"/>
      <w:r>
        <w:rPr>
          <w:i/>
        </w:rPr>
        <w:t xml:space="preserve"> </w:t>
      </w:r>
      <w:r>
        <w:t xml:space="preserve">tornam-se relevantes no processo de governança. De acordo com </w:t>
      </w:r>
      <w:r>
        <w:rPr>
          <w:rFonts w:eastAsia="Times New Roman" w:cs="Arial"/>
          <w:lang w:val="pt-PT" w:eastAsia="pt-BR"/>
        </w:rPr>
        <w:t>Selznick (1969), a lei é gerada</w:t>
      </w:r>
      <w:r w:rsidRPr="0065473A">
        <w:rPr>
          <w:rFonts w:eastAsia="Times New Roman" w:cs="Arial"/>
          <w:lang w:val="pt-PT" w:eastAsia="pt-BR"/>
        </w:rPr>
        <w:t xml:space="preserve"> pelas instituições,</w:t>
      </w:r>
      <w:r>
        <w:rPr>
          <w:rFonts w:eastAsia="Times New Roman" w:cs="Arial"/>
          <w:lang w:val="pt-PT" w:eastAsia="pt-BR"/>
        </w:rPr>
        <w:t xml:space="preserve"> e </w:t>
      </w:r>
      <w:r w:rsidRPr="0065473A">
        <w:rPr>
          <w:rFonts w:eastAsia="Times New Roman" w:cs="Arial"/>
          <w:lang w:val="pt-PT" w:eastAsia="pt-BR"/>
        </w:rPr>
        <w:t>são m</w:t>
      </w:r>
      <w:r>
        <w:rPr>
          <w:rFonts w:eastAsia="Times New Roman" w:cs="Arial"/>
          <w:lang w:val="pt-PT" w:eastAsia="pt-BR"/>
        </w:rPr>
        <w:t>elhor compreendidas como ‘regidas</w:t>
      </w:r>
      <w:r w:rsidRPr="0065473A">
        <w:rPr>
          <w:rFonts w:eastAsia="Times New Roman" w:cs="Arial"/>
          <w:lang w:val="pt-PT" w:eastAsia="pt-BR"/>
        </w:rPr>
        <w:t xml:space="preserve"> pela multiplicidade de racionalidades</w:t>
      </w:r>
      <w:r>
        <w:rPr>
          <w:rFonts w:eastAsia="Times New Roman" w:cs="Arial"/>
          <w:lang w:val="pt-PT" w:eastAsia="pt-BR"/>
        </w:rPr>
        <w:t>’</w:t>
      </w:r>
      <w:r w:rsidRPr="0070390E">
        <w:rPr>
          <w:rFonts w:eastAsia="Times New Roman" w:cs="Arial"/>
          <w:lang w:val="pt-PT" w:eastAsia="pt-BR"/>
        </w:rPr>
        <w:t xml:space="preserve"> </w:t>
      </w:r>
      <w:r w:rsidRPr="0065473A">
        <w:rPr>
          <w:rFonts w:eastAsia="Times New Roman" w:cs="Arial"/>
          <w:lang w:val="pt-PT" w:eastAsia="pt-BR"/>
        </w:rPr>
        <w:t>e</w:t>
      </w:r>
      <w:r>
        <w:rPr>
          <w:rFonts w:eastAsia="Times New Roman" w:cs="Arial"/>
          <w:lang w:val="pt-PT" w:eastAsia="pt-BR"/>
        </w:rPr>
        <w:t xml:space="preserve"> pela</w:t>
      </w:r>
      <w:r w:rsidRPr="0065473A">
        <w:rPr>
          <w:rFonts w:eastAsia="Times New Roman" w:cs="Arial"/>
          <w:lang w:val="pt-PT" w:eastAsia="pt-BR"/>
        </w:rPr>
        <w:t xml:space="preserve"> autoridade negociada</w:t>
      </w:r>
      <w:r>
        <w:rPr>
          <w:rFonts w:eastAsia="Times New Roman" w:cs="Arial"/>
          <w:lang w:val="pt-PT" w:eastAsia="pt-BR"/>
        </w:rPr>
        <w:t xml:space="preserve"> entre diferentes atores. Segundo o autor, as leis possuem</w:t>
      </w:r>
      <w:r w:rsidRPr="0065473A">
        <w:rPr>
          <w:rFonts w:eastAsia="Times New Roman" w:cs="Arial"/>
          <w:lang w:val="pt-PT" w:eastAsia="pt-BR"/>
        </w:rPr>
        <w:t xml:space="preserve"> um baix</w:t>
      </w:r>
      <w:r>
        <w:rPr>
          <w:rFonts w:eastAsia="Times New Roman" w:cs="Arial"/>
          <w:lang w:val="pt-PT" w:eastAsia="pt-BR"/>
        </w:rPr>
        <w:t xml:space="preserve">o acoplamento e podem organizar anarquia, sem uma </w:t>
      </w:r>
      <w:r w:rsidRPr="0065473A">
        <w:rPr>
          <w:rFonts w:eastAsia="Times New Roman" w:cs="Arial"/>
          <w:lang w:val="pt-PT" w:eastAsia="pt-BR"/>
        </w:rPr>
        <w:t>sist</w:t>
      </w:r>
      <w:r>
        <w:rPr>
          <w:rFonts w:eastAsia="Times New Roman" w:cs="Arial"/>
          <w:lang w:val="pt-PT" w:eastAsia="pt-BR"/>
        </w:rPr>
        <w:t xml:space="preserve">ema unificado de coordenação. </w:t>
      </w:r>
      <w:r w:rsidRPr="0065473A">
        <w:rPr>
          <w:rFonts w:eastAsia="Times New Roman" w:cs="Arial"/>
          <w:lang w:val="pt-PT" w:eastAsia="pt-BR"/>
        </w:rPr>
        <w:t>Essa compr</w:t>
      </w:r>
      <w:r>
        <w:rPr>
          <w:rFonts w:eastAsia="Times New Roman" w:cs="Arial"/>
          <w:lang w:val="pt-PT" w:eastAsia="pt-BR"/>
        </w:rPr>
        <w:t xml:space="preserve">eensão tem em conta a lei como sendo endógena e </w:t>
      </w:r>
      <w:r w:rsidRPr="0065473A">
        <w:rPr>
          <w:rFonts w:eastAsia="Times New Roman" w:cs="Arial"/>
          <w:lang w:val="pt-PT" w:eastAsia="pt-BR"/>
        </w:rPr>
        <w:t>permea</w:t>
      </w:r>
      <w:r>
        <w:rPr>
          <w:rFonts w:eastAsia="Times New Roman" w:cs="Arial"/>
          <w:lang w:val="pt-PT" w:eastAsia="pt-BR"/>
        </w:rPr>
        <w:t>da</w:t>
      </w:r>
      <w:r w:rsidRPr="0065473A">
        <w:rPr>
          <w:rFonts w:eastAsia="Times New Roman" w:cs="Arial"/>
          <w:lang w:val="pt-PT" w:eastAsia="pt-BR"/>
        </w:rPr>
        <w:t xml:space="preserve"> </w:t>
      </w:r>
      <w:r>
        <w:rPr>
          <w:rFonts w:eastAsia="Times New Roman" w:cs="Arial"/>
          <w:lang w:val="pt-PT" w:eastAsia="pt-BR"/>
        </w:rPr>
        <w:t xml:space="preserve">de significado da moral </w:t>
      </w:r>
      <w:r w:rsidRPr="0065473A">
        <w:rPr>
          <w:rFonts w:eastAsia="Times New Roman" w:cs="Arial"/>
          <w:lang w:val="pt-PT" w:eastAsia="pt-BR"/>
        </w:rPr>
        <w:t xml:space="preserve">e </w:t>
      </w:r>
      <w:r>
        <w:rPr>
          <w:rFonts w:eastAsia="Times New Roman" w:cs="Arial"/>
          <w:lang w:val="pt-PT" w:eastAsia="pt-BR"/>
        </w:rPr>
        <w:t xml:space="preserve">da própria </w:t>
      </w:r>
      <w:r w:rsidRPr="0065473A">
        <w:rPr>
          <w:rFonts w:eastAsia="Times New Roman" w:cs="Arial"/>
          <w:lang w:val="pt-PT" w:eastAsia="pt-BR"/>
        </w:rPr>
        <w:t>vida organiza</w:t>
      </w:r>
      <w:r>
        <w:rPr>
          <w:rFonts w:eastAsia="Times New Roman" w:cs="Arial"/>
          <w:lang w:val="pt-PT" w:eastAsia="pt-BR"/>
        </w:rPr>
        <w:t xml:space="preserve">cional, na medida em que a lei constrói e legitima formas de organização e normas organizacionais. </w:t>
      </w:r>
      <w:r w:rsidRPr="00E51C23">
        <w:rPr>
          <w:rFonts w:eastAsia="Times New Roman" w:cs="Arial"/>
          <w:lang w:eastAsia="pt-BR"/>
        </w:rPr>
        <w:t>Em conformidade com essa visão, E</w:t>
      </w:r>
      <w:r>
        <w:rPr>
          <w:rFonts w:eastAsia="Times New Roman" w:cs="Arial"/>
          <w:lang w:eastAsia="pt-BR"/>
        </w:rPr>
        <w:t xml:space="preserve">delman e </w:t>
      </w:r>
      <w:proofErr w:type="spellStart"/>
      <w:r>
        <w:rPr>
          <w:rFonts w:eastAsia="Times New Roman" w:cs="Arial"/>
          <w:lang w:eastAsia="pt-BR"/>
        </w:rPr>
        <w:t>S</w:t>
      </w:r>
      <w:r w:rsidRPr="00E51C23">
        <w:rPr>
          <w:rFonts w:eastAsia="Times New Roman" w:cs="Arial"/>
          <w:lang w:eastAsia="pt-BR"/>
        </w:rPr>
        <w:t>uchman</w:t>
      </w:r>
      <w:proofErr w:type="spellEnd"/>
      <w:r w:rsidRPr="00E51C23">
        <w:rPr>
          <w:rFonts w:eastAsia="Times New Roman" w:cs="Arial"/>
          <w:lang w:eastAsia="pt-BR"/>
        </w:rPr>
        <w:t xml:space="preserve"> (1997</w:t>
      </w:r>
      <w:r>
        <w:rPr>
          <w:rFonts w:eastAsia="Times New Roman" w:cs="Arial"/>
          <w:lang w:eastAsia="pt-BR"/>
        </w:rPr>
        <w:t>, p. 4</w:t>
      </w:r>
      <w:r w:rsidRPr="00E51C23">
        <w:rPr>
          <w:rFonts w:eastAsia="Times New Roman" w:cs="Arial"/>
          <w:lang w:eastAsia="pt-BR"/>
        </w:rPr>
        <w:t xml:space="preserve">93) consideram que </w:t>
      </w:r>
      <w:r w:rsidR="006B69A8" w:rsidRPr="00E51C23">
        <w:rPr>
          <w:rFonts w:eastAsia="Times New Roman" w:cs="Arial"/>
          <w:lang w:eastAsia="pt-BR"/>
        </w:rPr>
        <w:t>“as</w:t>
      </w:r>
      <w:r>
        <w:rPr>
          <w:rFonts w:eastAsia="Times New Roman" w:cs="Arial"/>
          <w:lang w:eastAsia="pt-BR"/>
        </w:rPr>
        <w:t xml:space="preserve"> leis constroem e legitimam as formas organizacionais, inspiram e moldam as normas e ideais organizacionais, e ajudam a construir as identidades e capacidades dos atores organizacionais”.</w:t>
      </w:r>
    </w:p>
    <w:p w14:paraId="69F9DF75" w14:textId="31B166C7" w:rsidR="006B69A8" w:rsidRDefault="00BB3F94" w:rsidP="006B69A8">
      <w:pPr>
        <w:spacing w:after="0"/>
        <w:ind w:firstLine="708"/>
        <w:jc w:val="both"/>
        <w:textAlignment w:val="top"/>
        <w:rPr>
          <w:rFonts w:eastAsia="Times New Roman" w:cs="Arial"/>
          <w:lang w:val="pt-PT" w:eastAsia="pt-BR"/>
        </w:rPr>
      </w:pPr>
      <w:r>
        <w:rPr>
          <w:rFonts w:eastAsia="Times New Roman"/>
          <w:lang w:val="pt-PT" w:eastAsia="pt-BR"/>
        </w:rPr>
        <w:t xml:space="preserve">No entanto, todos os regimes reguladores necessitam de mecanismos que criem, implementem e orientem a conduta dos membros regulados. De acordo com Zuckman (1977) quanto mais institucionalizada uma prática, menor a necessidade de controle. Neste sentido, tendo em vista que o grau de institucionalização de práticas e seu processo de implementação tem sido de grande interesse empírico, várias pesquisas tem sido realizadas </w:t>
      </w:r>
      <w:r w:rsidRPr="008A3EFE">
        <w:rPr>
          <w:rFonts w:eastAsia="Times New Roman"/>
          <w:lang w:val="pt-PT" w:eastAsia="pt-BR"/>
        </w:rPr>
        <w:t>para compreen</w:t>
      </w:r>
      <w:r>
        <w:rPr>
          <w:rFonts w:eastAsia="Times New Roman"/>
          <w:lang w:val="pt-PT" w:eastAsia="pt-BR"/>
        </w:rPr>
        <w:t>der os desafios associados com o</w:t>
      </w:r>
      <w:r>
        <w:rPr>
          <w:rFonts w:eastAsia="Times New Roman" w:cs="Arial"/>
          <w:lang w:val="pt-PT" w:eastAsia="pt-BR"/>
        </w:rPr>
        <w:t xml:space="preserve"> </w:t>
      </w:r>
      <w:r w:rsidRPr="008A3EFE">
        <w:rPr>
          <w:rFonts w:eastAsia="Times New Roman"/>
          <w:lang w:val="pt-PT" w:eastAsia="pt-BR"/>
        </w:rPr>
        <w:t>uso de regras para guiar o comportamento</w:t>
      </w:r>
      <w:r>
        <w:rPr>
          <w:rFonts w:eastAsia="Times New Roman"/>
          <w:lang w:val="pt-PT" w:eastAsia="pt-BR"/>
        </w:rPr>
        <w:t xml:space="preserve"> (</w:t>
      </w:r>
      <w:r w:rsidR="00DF314F">
        <w:rPr>
          <w:rFonts w:eastAsia="Times New Roman"/>
          <w:lang w:val="pt-PT" w:eastAsia="pt-BR"/>
        </w:rPr>
        <w:t>EDELMAN; SUCHMAN, 1997</w:t>
      </w:r>
      <w:r>
        <w:rPr>
          <w:rFonts w:eastAsia="Times New Roman"/>
          <w:lang w:val="pt-PT" w:eastAsia="pt-BR"/>
        </w:rPr>
        <w:t>)</w:t>
      </w:r>
      <w:r w:rsidRPr="008A3EFE">
        <w:rPr>
          <w:rFonts w:eastAsia="Times New Roman"/>
          <w:lang w:val="pt-PT" w:eastAsia="pt-BR"/>
        </w:rPr>
        <w:t>.</w:t>
      </w:r>
      <w:r>
        <w:rPr>
          <w:rFonts w:eastAsia="Times New Roman"/>
          <w:lang w:val="pt-PT" w:eastAsia="pt-BR"/>
        </w:rPr>
        <w:t xml:space="preserve"> De acordo com Morgan e Yeung (2007), alguns </w:t>
      </w:r>
      <w:r w:rsidRPr="008A3EFE">
        <w:rPr>
          <w:rFonts w:eastAsia="Times New Roman"/>
          <w:lang w:val="pt-PT" w:eastAsia="pt-BR"/>
        </w:rPr>
        <w:t xml:space="preserve">problemas são atribuídos </w:t>
      </w:r>
      <w:r>
        <w:rPr>
          <w:rFonts w:eastAsia="Times New Roman"/>
          <w:lang w:val="pt-PT" w:eastAsia="pt-BR"/>
        </w:rPr>
        <w:t xml:space="preserve">a característica </w:t>
      </w:r>
      <w:r w:rsidRPr="008A3EFE">
        <w:rPr>
          <w:rFonts w:eastAsia="Times New Roman"/>
          <w:lang w:val="pt-PT" w:eastAsia="pt-BR"/>
        </w:rPr>
        <w:t>indeterminada de regras, que</w:t>
      </w:r>
      <w:r>
        <w:rPr>
          <w:rFonts w:eastAsia="Times New Roman" w:cs="Arial"/>
          <w:lang w:val="pt-PT" w:eastAsia="pt-BR"/>
        </w:rPr>
        <w:t xml:space="preserve"> </w:t>
      </w:r>
      <w:r w:rsidRPr="008A3EFE">
        <w:rPr>
          <w:rFonts w:eastAsia="Times New Roman"/>
          <w:lang w:val="pt-PT" w:eastAsia="pt-BR"/>
        </w:rPr>
        <w:t xml:space="preserve">é em si um produto da indeterminação inerente </w:t>
      </w:r>
      <w:r>
        <w:rPr>
          <w:rFonts w:eastAsia="Times New Roman"/>
          <w:lang w:val="pt-PT" w:eastAsia="pt-BR"/>
        </w:rPr>
        <w:t xml:space="preserve">da cognição dos autores, </w:t>
      </w:r>
      <w:r w:rsidRPr="008A3EFE">
        <w:rPr>
          <w:rFonts w:eastAsia="Times New Roman"/>
          <w:lang w:val="pt-PT" w:eastAsia="pt-BR"/>
        </w:rPr>
        <w:t>da linguagem e nat</w:t>
      </w:r>
      <w:r>
        <w:rPr>
          <w:rFonts w:eastAsia="Times New Roman"/>
          <w:lang w:val="pt-PT" w:eastAsia="pt-BR"/>
        </w:rPr>
        <w:t>ureza contingente de como é compreendido o</w:t>
      </w:r>
      <w:r w:rsidRPr="008A3EFE">
        <w:rPr>
          <w:rFonts w:eastAsia="Times New Roman"/>
          <w:lang w:val="pt-PT" w:eastAsia="pt-BR"/>
        </w:rPr>
        <w:t xml:space="preserve"> contexto em que as regras são</w:t>
      </w:r>
      <w:r>
        <w:rPr>
          <w:rFonts w:eastAsia="Times New Roman" w:cs="Arial"/>
          <w:lang w:val="pt-PT" w:eastAsia="pt-BR"/>
        </w:rPr>
        <w:t xml:space="preserve"> </w:t>
      </w:r>
      <w:r w:rsidRPr="008A3EFE">
        <w:rPr>
          <w:rFonts w:eastAsia="Times New Roman"/>
          <w:lang w:val="pt-PT" w:eastAsia="pt-BR"/>
        </w:rPr>
        <w:t>aplicada</w:t>
      </w:r>
      <w:r>
        <w:rPr>
          <w:rFonts w:eastAsia="Times New Roman"/>
          <w:lang w:val="pt-PT" w:eastAsia="pt-BR"/>
        </w:rPr>
        <w:t xml:space="preserve">s. </w:t>
      </w:r>
    </w:p>
    <w:p w14:paraId="6A0428D8" w14:textId="57A4771E" w:rsidR="00BB3F94" w:rsidRPr="006B69A8" w:rsidRDefault="00BB3F94" w:rsidP="006B69A8">
      <w:pPr>
        <w:spacing w:after="0"/>
        <w:ind w:firstLine="708"/>
        <w:jc w:val="both"/>
        <w:textAlignment w:val="top"/>
        <w:rPr>
          <w:rFonts w:eastAsia="Times New Roman" w:cs="Arial"/>
          <w:lang w:val="pt-PT" w:eastAsia="pt-BR"/>
        </w:rPr>
      </w:pPr>
      <w:r>
        <w:rPr>
          <w:rFonts w:eastAsia="Times New Roman"/>
          <w:lang w:val="pt-PT" w:eastAsia="pt-BR"/>
        </w:rPr>
        <w:t>Ainda de acordo com estes autores, n</w:t>
      </w:r>
      <w:r w:rsidRPr="008A3EFE">
        <w:rPr>
          <w:rFonts w:eastAsia="Times New Roman"/>
          <w:lang w:val="pt-PT" w:eastAsia="pt-BR"/>
        </w:rPr>
        <w:t>ormas prescritivas</w:t>
      </w:r>
      <w:r>
        <w:rPr>
          <w:rFonts w:eastAsia="Times New Roman" w:cs="Arial"/>
          <w:lang w:val="pt-PT" w:eastAsia="pt-BR"/>
        </w:rPr>
        <w:t xml:space="preserve"> são </w:t>
      </w:r>
      <w:r>
        <w:rPr>
          <w:rFonts w:eastAsia="Times New Roman"/>
          <w:lang w:val="pt-PT" w:eastAsia="pt-BR"/>
        </w:rPr>
        <w:t>abstrações generalizadas e ao mesmo tempo formas de comunicação compreendidas como estruturas ling</w:t>
      </w:r>
      <w:r w:rsidR="0050687B">
        <w:rPr>
          <w:rFonts w:eastAsia="Times New Roman"/>
          <w:lang w:val="pt-PT" w:eastAsia="pt-BR"/>
        </w:rPr>
        <w:t>u</w:t>
      </w:r>
      <w:r>
        <w:rPr>
          <w:rFonts w:eastAsia="Times New Roman"/>
          <w:lang w:val="pt-PT" w:eastAsia="pt-BR"/>
        </w:rPr>
        <w:t>ísticas</w:t>
      </w:r>
      <w:r>
        <w:rPr>
          <w:rFonts w:eastAsia="Times New Roman" w:cs="Arial"/>
          <w:lang w:val="pt-PT" w:eastAsia="pt-BR"/>
        </w:rPr>
        <w:t xml:space="preserve">. Os autores consideram que </w:t>
      </w:r>
      <w:r w:rsidRPr="008A3EFE">
        <w:rPr>
          <w:rFonts w:eastAsia="Times New Roman"/>
          <w:lang w:val="pt-PT" w:eastAsia="pt-BR"/>
        </w:rPr>
        <w:t xml:space="preserve">interpretar e aplicar as regras depende em parte </w:t>
      </w:r>
      <w:r>
        <w:rPr>
          <w:rFonts w:eastAsia="Times New Roman"/>
          <w:lang w:val="pt-PT" w:eastAsia="pt-BR"/>
        </w:rPr>
        <w:t xml:space="preserve">de </w:t>
      </w:r>
      <w:r w:rsidRPr="008A3EFE">
        <w:rPr>
          <w:rFonts w:eastAsia="Times New Roman"/>
          <w:lang w:val="pt-PT" w:eastAsia="pt-BR"/>
        </w:rPr>
        <w:t>como entendemos</w:t>
      </w:r>
      <w:r>
        <w:rPr>
          <w:rFonts w:eastAsia="Times New Roman" w:cs="Arial"/>
          <w:lang w:val="pt-PT" w:eastAsia="pt-BR"/>
        </w:rPr>
        <w:t xml:space="preserve"> </w:t>
      </w:r>
      <w:r>
        <w:rPr>
          <w:rFonts w:eastAsia="Times New Roman"/>
          <w:lang w:val="pt-PT" w:eastAsia="pt-BR"/>
        </w:rPr>
        <w:t>e interpretamos</w:t>
      </w:r>
      <w:r w:rsidRPr="008A3EFE">
        <w:rPr>
          <w:rFonts w:eastAsia="Times New Roman"/>
          <w:lang w:val="pt-PT" w:eastAsia="pt-BR"/>
        </w:rPr>
        <w:t xml:space="preserve"> a linguagem</w:t>
      </w:r>
      <w:r>
        <w:rPr>
          <w:rFonts w:eastAsia="Times New Roman"/>
          <w:lang w:val="pt-PT" w:eastAsia="pt-BR"/>
        </w:rPr>
        <w:t xml:space="preserve"> utilizada em determinada interação social. </w:t>
      </w:r>
      <w:r w:rsidRPr="008A3EFE">
        <w:rPr>
          <w:rFonts w:eastAsia="Times New Roman"/>
          <w:lang w:val="pt-PT" w:eastAsia="pt-BR"/>
        </w:rPr>
        <w:t>A</w:t>
      </w:r>
      <w:r>
        <w:rPr>
          <w:rFonts w:eastAsia="Times New Roman"/>
          <w:lang w:val="pt-PT" w:eastAsia="pt-BR"/>
        </w:rPr>
        <w:t xml:space="preserve">ssim, ao </w:t>
      </w:r>
      <w:r w:rsidRPr="008A3EFE">
        <w:rPr>
          <w:rFonts w:eastAsia="Times New Roman"/>
          <w:lang w:val="pt-PT" w:eastAsia="pt-BR"/>
        </w:rPr>
        <w:t>considerar a nat</w:t>
      </w:r>
      <w:r>
        <w:rPr>
          <w:rFonts w:eastAsia="Times New Roman"/>
          <w:lang w:val="pt-PT" w:eastAsia="pt-BR"/>
        </w:rPr>
        <w:t xml:space="preserve">ureza e as limitações de uma regra, </w:t>
      </w:r>
      <w:r w:rsidRPr="008A3EFE">
        <w:rPr>
          <w:rFonts w:eastAsia="Times New Roman"/>
          <w:lang w:val="pt-PT" w:eastAsia="pt-BR"/>
        </w:rPr>
        <w:t xml:space="preserve">a análise jurídica </w:t>
      </w:r>
      <w:r>
        <w:rPr>
          <w:rFonts w:eastAsia="Times New Roman"/>
          <w:lang w:val="pt-PT" w:eastAsia="pt-BR"/>
        </w:rPr>
        <w:t>acerca dos papéis que essas regras desempenham</w:t>
      </w:r>
      <w:r w:rsidRPr="008A3EFE">
        <w:rPr>
          <w:rFonts w:eastAsia="Times New Roman"/>
          <w:lang w:val="pt-PT" w:eastAsia="pt-BR"/>
        </w:rPr>
        <w:t xml:space="preserve"> em um sistema regulatório</w:t>
      </w:r>
      <w:r>
        <w:rPr>
          <w:rFonts w:eastAsia="Times New Roman" w:cs="Arial"/>
          <w:lang w:val="pt-PT" w:eastAsia="pt-BR"/>
        </w:rPr>
        <w:t xml:space="preserve"> deve </w:t>
      </w:r>
      <w:r>
        <w:rPr>
          <w:rFonts w:eastAsia="Times New Roman"/>
          <w:lang w:val="pt-PT" w:eastAsia="pt-BR"/>
        </w:rPr>
        <w:t>ser acoplada</w:t>
      </w:r>
      <w:r w:rsidRPr="008A3EFE">
        <w:rPr>
          <w:rFonts w:eastAsia="Times New Roman"/>
          <w:lang w:val="pt-PT" w:eastAsia="pt-BR"/>
        </w:rPr>
        <w:t xml:space="preserve"> a um exame dessas propriedades ling</w:t>
      </w:r>
      <w:r w:rsidR="0050687B">
        <w:rPr>
          <w:rFonts w:eastAsia="Times New Roman"/>
          <w:lang w:val="pt-PT" w:eastAsia="pt-BR"/>
        </w:rPr>
        <w:t>u</w:t>
      </w:r>
      <w:r w:rsidRPr="008A3EFE">
        <w:rPr>
          <w:rFonts w:eastAsia="Times New Roman"/>
          <w:lang w:val="pt-PT" w:eastAsia="pt-BR"/>
        </w:rPr>
        <w:t>ísticas</w:t>
      </w:r>
      <w:r w:rsidR="0050687B">
        <w:rPr>
          <w:rFonts w:eastAsia="Times New Roman"/>
          <w:lang w:val="pt-PT" w:eastAsia="pt-BR"/>
        </w:rPr>
        <w:t xml:space="preserve"> (</w:t>
      </w:r>
      <w:r w:rsidR="00DF314F">
        <w:rPr>
          <w:rFonts w:eastAsia="Times New Roman"/>
          <w:lang w:val="pt-PT" w:eastAsia="pt-BR"/>
        </w:rPr>
        <w:t xml:space="preserve">MORGAN; YEUNG, </w:t>
      </w:r>
      <w:r w:rsidR="0050687B">
        <w:rPr>
          <w:rFonts w:eastAsia="Times New Roman"/>
          <w:lang w:val="pt-PT" w:eastAsia="pt-BR"/>
        </w:rPr>
        <w:t>2007)</w:t>
      </w:r>
      <w:r w:rsidRPr="008A3EFE">
        <w:rPr>
          <w:rFonts w:eastAsia="Times New Roman"/>
          <w:lang w:val="pt-PT" w:eastAsia="pt-BR"/>
        </w:rPr>
        <w:t>.</w:t>
      </w:r>
    </w:p>
    <w:p w14:paraId="4ADAB818" w14:textId="2EDCD5D7" w:rsidR="00AF2AE3" w:rsidRPr="00DD11B1" w:rsidRDefault="00AF2AE3" w:rsidP="009D1D9F">
      <w:pPr>
        <w:spacing w:after="0" w:line="240" w:lineRule="auto"/>
        <w:jc w:val="both"/>
        <w:rPr>
          <w:szCs w:val="24"/>
        </w:rPr>
      </w:pPr>
      <w:r w:rsidRPr="00DD11B1">
        <w:rPr>
          <w:szCs w:val="24"/>
        </w:rPr>
        <w:tab/>
      </w:r>
      <w:r w:rsidR="006B69A8">
        <w:rPr>
          <w:szCs w:val="24"/>
        </w:rPr>
        <w:t>Por sua vez, o</w:t>
      </w:r>
      <w:r w:rsidRPr="00DD11B1">
        <w:rPr>
          <w:szCs w:val="24"/>
        </w:rPr>
        <w:t xml:space="preserve"> </w:t>
      </w:r>
      <w:r w:rsidRPr="00DD11B1">
        <w:rPr>
          <w:i/>
          <w:szCs w:val="24"/>
        </w:rPr>
        <w:t>disclosure</w:t>
      </w:r>
      <w:r w:rsidRPr="00DD11B1">
        <w:rPr>
          <w:szCs w:val="24"/>
        </w:rPr>
        <w:t xml:space="preserve"> pode ser entendido como evidenciação ou divulgação de informação, tendo por objetivo a diminuição da assimetria informacional entre as partes internas e externa</w:t>
      </w:r>
      <w:r w:rsidR="00CC2B73" w:rsidRPr="00DD11B1">
        <w:rPr>
          <w:szCs w:val="24"/>
        </w:rPr>
        <w:t>s</w:t>
      </w:r>
      <w:r w:rsidRPr="00DD11B1">
        <w:rPr>
          <w:szCs w:val="24"/>
        </w:rPr>
        <w:t xml:space="preserve"> de uma organização (</w:t>
      </w:r>
      <w:r w:rsidR="00DF314F" w:rsidRPr="00DD11B1">
        <w:rPr>
          <w:szCs w:val="24"/>
        </w:rPr>
        <w:t>DYE</w:t>
      </w:r>
      <w:r w:rsidRPr="00DD11B1">
        <w:rPr>
          <w:szCs w:val="24"/>
        </w:rPr>
        <w:t>, 1998). Sendo caracterizados como canais por meio do qual notícias corporativas são tramitadas a mercado, podendo deter o caráter de divulgação obrigatória ou voluntária (</w:t>
      </w:r>
      <w:r w:rsidR="00DF314F" w:rsidRPr="00DD11B1">
        <w:rPr>
          <w:szCs w:val="24"/>
        </w:rPr>
        <w:t>BUSHMAN</w:t>
      </w:r>
      <w:r w:rsidR="00DF314F">
        <w:rPr>
          <w:szCs w:val="24"/>
        </w:rPr>
        <w:t>;</w:t>
      </w:r>
      <w:r w:rsidR="00DF314F" w:rsidRPr="00DD11B1">
        <w:rPr>
          <w:szCs w:val="24"/>
        </w:rPr>
        <w:t xml:space="preserve"> PIOTROSHI</w:t>
      </w:r>
      <w:r w:rsidR="00DF314F">
        <w:rPr>
          <w:szCs w:val="24"/>
        </w:rPr>
        <w:t>;</w:t>
      </w:r>
      <w:r w:rsidR="00DF314F" w:rsidRPr="00DD11B1">
        <w:rPr>
          <w:szCs w:val="24"/>
        </w:rPr>
        <w:t xml:space="preserve"> SMITH</w:t>
      </w:r>
      <w:r w:rsidRPr="00DD11B1">
        <w:rPr>
          <w:szCs w:val="24"/>
        </w:rPr>
        <w:t xml:space="preserve">, 2004). Dentre as formas de sua utilização em uma corporação, o </w:t>
      </w:r>
      <w:r w:rsidRPr="00DD11B1">
        <w:rPr>
          <w:i/>
          <w:szCs w:val="24"/>
        </w:rPr>
        <w:t>disclosure</w:t>
      </w:r>
      <w:r w:rsidRPr="00DD11B1">
        <w:rPr>
          <w:szCs w:val="24"/>
        </w:rPr>
        <w:t xml:space="preserve"> pode ser empregado como uma estratégia corporativa, através do seu posicionamento de divulgação, o que acarretará na maneira como a informação é administrada (</w:t>
      </w:r>
      <w:r w:rsidR="00731E27" w:rsidRPr="00DD11B1">
        <w:rPr>
          <w:szCs w:val="24"/>
        </w:rPr>
        <w:t>GIBBINS</w:t>
      </w:r>
      <w:r w:rsidR="00731E27">
        <w:rPr>
          <w:szCs w:val="24"/>
        </w:rPr>
        <w:t>;</w:t>
      </w:r>
      <w:r w:rsidR="00731E27" w:rsidRPr="00DD11B1">
        <w:rPr>
          <w:szCs w:val="24"/>
        </w:rPr>
        <w:t xml:space="preserve"> RICHARDSON</w:t>
      </w:r>
      <w:r w:rsidR="00731E27">
        <w:rPr>
          <w:szCs w:val="24"/>
        </w:rPr>
        <w:t>;</w:t>
      </w:r>
      <w:r w:rsidR="00731E27" w:rsidRPr="00DD11B1">
        <w:rPr>
          <w:szCs w:val="24"/>
        </w:rPr>
        <w:t xml:space="preserve"> WATERHOUSE</w:t>
      </w:r>
      <w:r w:rsidRPr="00DD11B1">
        <w:rPr>
          <w:szCs w:val="24"/>
        </w:rPr>
        <w:t xml:space="preserve">, 1990). </w:t>
      </w:r>
    </w:p>
    <w:p w14:paraId="7DEEF6FD" w14:textId="220D60E3" w:rsidR="00CC2B73" w:rsidRPr="00DD11B1" w:rsidRDefault="00CC2B73" w:rsidP="009D1D9F">
      <w:pPr>
        <w:spacing w:after="0" w:line="240" w:lineRule="auto"/>
        <w:ind w:firstLine="708"/>
        <w:jc w:val="both"/>
        <w:rPr>
          <w:szCs w:val="24"/>
        </w:rPr>
      </w:pPr>
      <w:r w:rsidRPr="00DD11B1">
        <w:rPr>
          <w:szCs w:val="24"/>
        </w:rPr>
        <w:t>Embora a maior partes dos pesquisadores na área de ciências sociais concordarem com a concepção de que os enunciados, mais do que produzir uma representação do mundo, criam o mundo e que nesse sentido, o ponto de vista constrói o objeto que está sendo analisado</w:t>
      </w:r>
      <w:r w:rsidR="00D95BB8" w:rsidRPr="00DD11B1">
        <w:rPr>
          <w:szCs w:val="24"/>
        </w:rPr>
        <w:t xml:space="preserve"> (</w:t>
      </w:r>
      <w:r w:rsidR="00731E27" w:rsidRPr="00DD11B1">
        <w:rPr>
          <w:szCs w:val="24"/>
        </w:rPr>
        <w:t>GODOI</w:t>
      </w:r>
      <w:r w:rsidR="00731E27">
        <w:rPr>
          <w:szCs w:val="24"/>
        </w:rPr>
        <w:t>;</w:t>
      </w:r>
      <w:r w:rsidR="00731E27" w:rsidRPr="00DD11B1">
        <w:rPr>
          <w:szCs w:val="24"/>
        </w:rPr>
        <w:t xml:space="preserve"> MELLO</w:t>
      </w:r>
      <w:r w:rsidR="00731E27">
        <w:rPr>
          <w:szCs w:val="24"/>
        </w:rPr>
        <w:t>;</w:t>
      </w:r>
      <w:r w:rsidR="00731E27" w:rsidRPr="00DD11B1">
        <w:rPr>
          <w:szCs w:val="24"/>
        </w:rPr>
        <w:t xml:space="preserve"> SILVA</w:t>
      </w:r>
      <w:r w:rsidR="00D95BB8" w:rsidRPr="00DD11B1">
        <w:rPr>
          <w:szCs w:val="24"/>
        </w:rPr>
        <w:t xml:space="preserve">, 2010), há </w:t>
      </w:r>
      <w:r w:rsidRPr="00DD11B1">
        <w:rPr>
          <w:szCs w:val="24"/>
        </w:rPr>
        <w:t xml:space="preserve">ainda um grande interesse na compreensão das práticas organizacionais discursivas e sua influência no mercado, principalmente em países emergentes. </w:t>
      </w:r>
    </w:p>
    <w:p w14:paraId="31DE2A59" w14:textId="251B6A1F" w:rsidR="00C552B7" w:rsidRPr="00DD11B1" w:rsidRDefault="00AF2AE3" w:rsidP="009D1D9F">
      <w:pPr>
        <w:spacing w:after="0" w:line="240" w:lineRule="auto"/>
        <w:ind w:firstLine="708"/>
        <w:jc w:val="both"/>
      </w:pPr>
      <w:r w:rsidRPr="00DD11B1">
        <w:rPr>
          <w:szCs w:val="24"/>
        </w:rPr>
        <w:lastRenderedPageBreak/>
        <w:t xml:space="preserve">Segundo </w:t>
      </w:r>
      <w:proofErr w:type="spellStart"/>
      <w:r w:rsidRPr="00DD11B1">
        <w:rPr>
          <w:szCs w:val="24"/>
        </w:rPr>
        <w:t>Verrecchia</w:t>
      </w:r>
      <w:proofErr w:type="spellEnd"/>
      <w:r w:rsidRPr="00DD11B1">
        <w:rPr>
          <w:szCs w:val="24"/>
        </w:rPr>
        <w:t xml:space="preserve"> (1983)</w:t>
      </w:r>
      <w:r w:rsidR="0043083B" w:rsidRPr="00DD11B1">
        <w:rPr>
          <w:szCs w:val="24"/>
        </w:rPr>
        <w:t>,</w:t>
      </w:r>
      <w:r w:rsidRPr="00DD11B1">
        <w:rPr>
          <w:szCs w:val="24"/>
        </w:rPr>
        <w:t xml:space="preserve"> a decisão de divulgar informações a mercado cabe ao </w:t>
      </w:r>
      <w:r w:rsidR="00C65C76" w:rsidRPr="00DD11B1">
        <w:rPr>
          <w:szCs w:val="24"/>
        </w:rPr>
        <w:t>administrador</w:t>
      </w:r>
      <w:r w:rsidRPr="00DD11B1">
        <w:rPr>
          <w:szCs w:val="24"/>
        </w:rPr>
        <w:t xml:space="preserve"> da empresa, o qual estabelece a qualidade e a quantidade que será disseminada.</w:t>
      </w:r>
      <w:r w:rsidR="0043083B" w:rsidRPr="00DD11B1">
        <w:rPr>
          <w:szCs w:val="24"/>
        </w:rPr>
        <w:t xml:space="preserve"> Para </w:t>
      </w:r>
      <w:r w:rsidR="0018608B" w:rsidRPr="00DD11B1">
        <w:rPr>
          <w:szCs w:val="24"/>
        </w:rPr>
        <w:t>o</w:t>
      </w:r>
      <w:r w:rsidR="0043083B" w:rsidRPr="00DD11B1">
        <w:rPr>
          <w:szCs w:val="24"/>
        </w:rPr>
        <w:t xml:space="preserve"> autor, a</w:t>
      </w:r>
      <w:r w:rsidRPr="00DD11B1">
        <w:rPr>
          <w:szCs w:val="24"/>
        </w:rPr>
        <w:t xml:space="preserve">s </w:t>
      </w:r>
      <w:r w:rsidR="00C552B7" w:rsidRPr="00DD11B1">
        <w:rPr>
          <w:szCs w:val="24"/>
        </w:rPr>
        <w:t>informações</w:t>
      </w:r>
      <w:r w:rsidRPr="00DD11B1">
        <w:rPr>
          <w:szCs w:val="24"/>
        </w:rPr>
        <w:t xml:space="preserve"> retidas pelo administrador, bem como as publicadas, dependem de uma série de determinantes que envolveram as motivações desse para realizar essa ação. </w:t>
      </w:r>
      <w:r w:rsidR="009355D8" w:rsidRPr="00DD11B1">
        <w:rPr>
          <w:szCs w:val="24"/>
        </w:rPr>
        <w:t>Para</w:t>
      </w:r>
      <w:r w:rsidR="005C62B7" w:rsidRPr="00DD11B1">
        <w:rPr>
          <w:szCs w:val="24"/>
        </w:rPr>
        <w:t xml:space="preserve"> tanto, de acordo com</w:t>
      </w:r>
      <w:r w:rsidR="00AD5C31" w:rsidRPr="00DD11B1">
        <w:rPr>
          <w:szCs w:val="24"/>
        </w:rPr>
        <w:t xml:space="preserve"> </w:t>
      </w:r>
      <w:r w:rsidR="003E6EAE" w:rsidRPr="00BA3676">
        <w:t>Cho</w:t>
      </w:r>
      <w:r w:rsidR="003E6EAE">
        <w:t>,</w:t>
      </w:r>
      <w:r w:rsidR="003E6EAE" w:rsidRPr="00BA3676">
        <w:t xml:space="preserve"> Roberts</w:t>
      </w:r>
      <w:r w:rsidR="003E6EAE">
        <w:t xml:space="preserve"> e</w:t>
      </w:r>
      <w:r w:rsidR="003E6EAE" w:rsidRPr="00BA3676">
        <w:t xml:space="preserve"> </w:t>
      </w:r>
      <w:proofErr w:type="spellStart"/>
      <w:r w:rsidR="003E6EAE" w:rsidRPr="00BA3676">
        <w:t>Patten</w:t>
      </w:r>
      <w:proofErr w:type="spellEnd"/>
      <w:r w:rsidR="003E6EAE" w:rsidRPr="00DD11B1">
        <w:t xml:space="preserve"> </w:t>
      </w:r>
      <w:r w:rsidR="00AD5C31" w:rsidRPr="00DD11B1">
        <w:t>(2010)</w:t>
      </w:r>
      <w:r w:rsidR="005C62B7" w:rsidRPr="00DD11B1">
        <w:t>,</w:t>
      </w:r>
      <w:r w:rsidR="00AD5C31" w:rsidRPr="00DD11B1">
        <w:t xml:space="preserve"> as corporações </w:t>
      </w:r>
      <w:r w:rsidR="005C62B7" w:rsidRPr="00DD11B1">
        <w:t xml:space="preserve">se utilizam da </w:t>
      </w:r>
      <w:r w:rsidR="00BE4133" w:rsidRPr="00DD11B1">
        <w:t>linguagem</w:t>
      </w:r>
      <w:r w:rsidR="005C62B7" w:rsidRPr="00DD11B1">
        <w:t xml:space="preserve"> de forma a gerenciar as percepções sobre determinados assuntos</w:t>
      </w:r>
      <w:r w:rsidR="00C552B7" w:rsidRPr="00DD11B1">
        <w:t xml:space="preserve">, podendo até mesmo ofuscar maus desempenhos de seus </w:t>
      </w:r>
      <w:r w:rsidR="00C552B7" w:rsidRPr="00DD11B1">
        <w:rPr>
          <w:i/>
        </w:rPr>
        <w:t>stakeholders</w:t>
      </w:r>
      <w:r w:rsidR="00BE4133" w:rsidRPr="00DD11B1">
        <w:t>.</w:t>
      </w:r>
      <w:r w:rsidR="00AD5C31" w:rsidRPr="00DD11B1">
        <w:t xml:space="preserve"> </w:t>
      </w:r>
    </w:p>
    <w:p w14:paraId="446ED773" w14:textId="3211B53C" w:rsidR="00924D25" w:rsidRPr="00DD11B1" w:rsidRDefault="005D74B2" w:rsidP="009D1D9F">
      <w:pPr>
        <w:spacing w:after="0" w:line="240" w:lineRule="auto"/>
        <w:jc w:val="both"/>
      </w:pPr>
      <w:r w:rsidRPr="00DD11B1">
        <w:tab/>
        <w:t xml:space="preserve">De acordo com Koch (2016), um item importante para a utilização da linguagem </w:t>
      </w:r>
      <w:r w:rsidR="00924D25" w:rsidRPr="00DD11B1">
        <w:t>é a referenciação,</w:t>
      </w:r>
      <w:r w:rsidR="00D45617" w:rsidRPr="00DD11B1">
        <w:t xml:space="preserve"> em que não apenas é considerado</w:t>
      </w:r>
      <w:r w:rsidR="00924D25" w:rsidRPr="00DD11B1">
        <w:t xml:space="preserve"> o processo de associação entre o símbolo (palavra) e os objetos, mas também inclui a relação social intersubjetiva.</w:t>
      </w:r>
      <w:r w:rsidR="00B467EA" w:rsidRPr="00DD11B1">
        <w:t xml:space="preserve"> Sob essa percepção, em que o aspecto social se torna relevante na produção de sentido da linguagem, essa é tida como uma prática social (</w:t>
      </w:r>
      <w:r w:rsidR="003E6EAE" w:rsidRPr="00DD11B1">
        <w:rPr>
          <w:rFonts w:cs="Times New Roman"/>
          <w:szCs w:val="24"/>
          <w:shd w:val="clear" w:color="auto" w:fill="FFFFFF"/>
        </w:rPr>
        <w:t>SUASSUNA</w:t>
      </w:r>
      <w:r w:rsidR="00B467EA" w:rsidRPr="00DD11B1">
        <w:t xml:space="preserve">, 2004) e que por </w:t>
      </w:r>
      <w:r w:rsidR="00337A2B" w:rsidRPr="00DD11B1">
        <w:t>vezes</w:t>
      </w:r>
      <w:r w:rsidR="00B467EA" w:rsidRPr="00DD11B1">
        <w:t xml:space="preserve"> </w:t>
      </w:r>
      <w:r w:rsidR="00337A2B" w:rsidRPr="00DD11B1">
        <w:t>pode exercer efeitos coercitivos (</w:t>
      </w:r>
      <w:r w:rsidR="003E6EAE" w:rsidRPr="00DD11B1">
        <w:t>BERGER</w:t>
      </w:r>
      <w:r w:rsidR="003E6EAE">
        <w:t>;</w:t>
      </w:r>
      <w:r w:rsidR="003E6EAE" w:rsidRPr="00DD11B1">
        <w:t xml:space="preserve"> LUCKMANN, 2014</w:t>
      </w:r>
      <w:r w:rsidR="00337A2B" w:rsidRPr="00DD11B1">
        <w:t>).</w:t>
      </w:r>
    </w:p>
    <w:p w14:paraId="2A571D1D" w14:textId="3513CDFF" w:rsidR="009A37C1" w:rsidRPr="00DD11B1" w:rsidRDefault="007412E3" w:rsidP="009D1D9F">
      <w:pPr>
        <w:spacing w:after="0" w:line="240" w:lineRule="auto"/>
        <w:jc w:val="both"/>
      </w:pPr>
      <w:r w:rsidRPr="00DD11B1">
        <w:tab/>
      </w:r>
      <w:r w:rsidR="00145103" w:rsidRPr="00DD11B1">
        <w:t>Dessa maneira, a materialização da linguagem através do discurso</w:t>
      </w:r>
      <w:r w:rsidR="00841514" w:rsidRPr="00DD11B1">
        <w:t xml:space="preserve"> também é compreendida como uma prática social</w:t>
      </w:r>
      <w:r w:rsidR="00E835DA" w:rsidRPr="00DD11B1">
        <w:t xml:space="preserve"> (</w:t>
      </w:r>
      <w:r w:rsidR="003E6EAE" w:rsidRPr="00DD11B1">
        <w:t>FAIRCLOUGH, 2001; PHILLIPS</w:t>
      </w:r>
      <w:r w:rsidR="003E6EAE">
        <w:t>;</w:t>
      </w:r>
      <w:r w:rsidR="003E6EAE" w:rsidRPr="00DD11B1">
        <w:t xml:space="preserve"> LAWRENCE</w:t>
      </w:r>
      <w:r w:rsidR="003E6EAE">
        <w:t>;</w:t>
      </w:r>
      <w:r w:rsidR="003E6EAE" w:rsidRPr="00DD11B1">
        <w:t xml:space="preserve"> HARDY, 2004)</w:t>
      </w:r>
      <w:r w:rsidR="003E6EAE">
        <w:t xml:space="preserve">, </w:t>
      </w:r>
      <w:r w:rsidR="0050687B">
        <w:t>quando c</w:t>
      </w:r>
      <w:r w:rsidR="00900268" w:rsidRPr="00DD11B1">
        <w:t xml:space="preserve">ompreendido </w:t>
      </w:r>
      <w:r w:rsidR="00624CB6" w:rsidRPr="00DD11B1">
        <w:t xml:space="preserve">como a inter-relação de textos que promovem sentido e significado a um determinado objeto </w:t>
      </w:r>
      <w:r w:rsidR="00D95BB8" w:rsidRPr="00DD11B1">
        <w:t xml:space="preserve">por meio </w:t>
      </w:r>
      <w:r w:rsidR="00624CB6" w:rsidRPr="00DD11B1">
        <w:t xml:space="preserve">da produção e disseminação desses textos, possuindo </w:t>
      </w:r>
      <w:r w:rsidR="00687B34" w:rsidRPr="00DD11B1">
        <w:t>sua orientação nas ações e estruturas subjacentes (</w:t>
      </w:r>
      <w:r w:rsidR="003E6EAE" w:rsidRPr="00DD11B1">
        <w:t>OLIVEIRA</w:t>
      </w:r>
      <w:r w:rsidR="003E6EAE" w:rsidRPr="006F4D3D">
        <w:t xml:space="preserve">, SOBRINHO E GUARIDO FILHO </w:t>
      </w:r>
      <w:r w:rsidR="00687B34" w:rsidRPr="00DD11B1">
        <w:t>2015).</w:t>
      </w:r>
    </w:p>
    <w:p w14:paraId="2912D8F9" w14:textId="5F5C99D0" w:rsidR="00216545" w:rsidRPr="00DD11B1" w:rsidRDefault="00064267" w:rsidP="009D1D9F">
      <w:pPr>
        <w:spacing w:after="0" w:line="240" w:lineRule="auto"/>
        <w:jc w:val="both"/>
      </w:pPr>
      <w:r w:rsidRPr="00DD11B1">
        <w:tab/>
        <w:t xml:space="preserve">Gregolin (2007) </w:t>
      </w:r>
      <w:r w:rsidR="007E6735" w:rsidRPr="00DD11B1">
        <w:t xml:space="preserve">salienta que os sentidos do discurso são </w:t>
      </w:r>
      <w:r w:rsidR="00A1432C" w:rsidRPr="00DD11B1">
        <w:t>materializados</w:t>
      </w:r>
      <w:r w:rsidR="007E6735" w:rsidRPr="00DD11B1">
        <w:t xml:space="preserve"> nos textos em circulação na sociedade e que a coerência percebida é resultado da construção discursiva</w:t>
      </w:r>
      <w:r w:rsidR="00A1432C" w:rsidRPr="00DD11B1">
        <w:t xml:space="preserve"> realizada historicamente</w:t>
      </w:r>
      <w:r w:rsidR="007E6735" w:rsidRPr="00DD11B1">
        <w:t>.</w:t>
      </w:r>
      <w:r w:rsidR="00597E89" w:rsidRPr="00DD11B1">
        <w:t xml:space="preserve"> </w:t>
      </w:r>
      <w:r w:rsidR="00A1432C" w:rsidRPr="00DD11B1">
        <w:t>Todavia,</w:t>
      </w:r>
      <w:r w:rsidR="009A1A14" w:rsidRPr="00DD11B1">
        <w:t xml:space="preserve"> cabe salientar que não são todos os </w:t>
      </w:r>
      <w:r w:rsidR="00BC3DBA" w:rsidRPr="00DD11B1">
        <w:t>textos</w:t>
      </w:r>
      <w:r w:rsidR="009A1A14" w:rsidRPr="00DD11B1">
        <w:t xml:space="preserve"> </w:t>
      </w:r>
      <w:r w:rsidR="00BC3DBA" w:rsidRPr="00DD11B1">
        <w:t>produzidos</w:t>
      </w:r>
      <w:r w:rsidR="009A1A14" w:rsidRPr="00DD11B1">
        <w:t xml:space="preserve"> que conseguem</w:t>
      </w:r>
      <w:r w:rsidR="00BC3DBA" w:rsidRPr="00DD11B1">
        <w:t xml:space="preserve"> </w:t>
      </w:r>
      <w:r w:rsidR="0096003B" w:rsidRPr="00DD11B1">
        <w:t>promovem uma mudança social</w:t>
      </w:r>
      <w:r w:rsidR="00597E89" w:rsidRPr="00DD11B1">
        <w:t xml:space="preserve"> </w:t>
      </w:r>
      <w:r w:rsidR="00BC3DBA" w:rsidRPr="00DD11B1">
        <w:t>(</w:t>
      </w:r>
      <w:r w:rsidR="003E6EAE" w:rsidRPr="00DD11B1">
        <w:t>PHILLIPS</w:t>
      </w:r>
      <w:r w:rsidR="003E6EAE">
        <w:t>;</w:t>
      </w:r>
      <w:r w:rsidR="003E6EAE" w:rsidRPr="00DD11B1">
        <w:t xml:space="preserve"> LAWRENCE</w:t>
      </w:r>
      <w:r w:rsidR="003E6EAE">
        <w:t>;</w:t>
      </w:r>
      <w:r w:rsidR="003E6EAE" w:rsidRPr="00DD11B1">
        <w:t xml:space="preserve"> HARDY</w:t>
      </w:r>
      <w:r w:rsidR="003E6EAE">
        <w:t xml:space="preserve">, </w:t>
      </w:r>
      <w:r w:rsidR="003E6EAE" w:rsidRPr="00DD11B1">
        <w:t>2004; OLIVEIRA</w:t>
      </w:r>
      <w:r w:rsidR="003E6EAE">
        <w:t xml:space="preserve"> et al.</w:t>
      </w:r>
      <w:r w:rsidR="00597E89" w:rsidRPr="00DD11B1">
        <w:t xml:space="preserve">, </w:t>
      </w:r>
      <w:r w:rsidR="007E6735" w:rsidRPr="00DD11B1">
        <w:t>2016)</w:t>
      </w:r>
      <w:r w:rsidR="00216545" w:rsidRPr="00DD11B1">
        <w:t xml:space="preserve">. </w:t>
      </w:r>
    </w:p>
    <w:p w14:paraId="7730E885" w14:textId="0428957A" w:rsidR="00D95BB8" w:rsidRPr="00DD11B1" w:rsidRDefault="00216545" w:rsidP="009D1D9F">
      <w:pPr>
        <w:spacing w:after="0" w:line="240" w:lineRule="auto"/>
        <w:jc w:val="both"/>
      </w:pPr>
      <w:r w:rsidRPr="00DD11B1">
        <w:tab/>
      </w:r>
      <w:r w:rsidR="009A1A14" w:rsidRPr="00DD11B1">
        <w:t>S</w:t>
      </w:r>
      <w:r w:rsidR="00597E89" w:rsidRPr="00DD11B1">
        <w:t>egundo Oliveira et al. (2016, p. 43), os textos gerados devem ser “interpretados por outros autores para que possuam propriedades e potencial necessários para influenciar um determinado discurso”.</w:t>
      </w:r>
      <w:r w:rsidR="00406BB3" w:rsidRPr="00DD11B1">
        <w:t xml:space="preserve"> Diante disso, do mesmo modo que Berger e </w:t>
      </w:r>
      <w:proofErr w:type="spellStart"/>
      <w:r w:rsidR="00406BB3" w:rsidRPr="00DD11B1">
        <w:t>Luckmann</w:t>
      </w:r>
      <w:proofErr w:type="spellEnd"/>
      <w:r w:rsidR="00406BB3" w:rsidRPr="00DD11B1">
        <w:t xml:space="preserve"> (2014) atribuem peso ao elemento social da linguagem, o discurso também deve observar esse mesmo componente, visto que sem </w:t>
      </w:r>
      <w:r w:rsidR="006159FB" w:rsidRPr="00DD11B1">
        <w:t xml:space="preserve">o compartilhamento do sentido do discurso, não pode se considerar que </w:t>
      </w:r>
      <w:r w:rsidR="00286A24" w:rsidRPr="00DD11B1">
        <w:t>esse seja compreendido</w:t>
      </w:r>
      <w:r w:rsidR="00D45617" w:rsidRPr="00DD11B1">
        <w:t xml:space="preserve"> na razão em que foi disseminado</w:t>
      </w:r>
      <w:r w:rsidR="00900268" w:rsidRPr="00DD11B1">
        <w:t xml:space="preserve"> (</w:t>
      </w:r>
      <w:r w:rsidR="003E6EAE" w:rsidRPr="006F4D3D">
        <w:t>OLIVEIRA</w:t>
      </w:r>
      <w:r w:rsidR="003E6EAE">
        <w:t>;</w:t>
      </w:r>
      <w:r w:rsidR="003E6EAE" w:rsidRPr="006F4D3D">
        <w:t xml:space="preserve"> SOBRINHO</w:t>
      </w:r>
      <w:r w:rsidR="003E6EAE">
        <w:t>;</w:t>
      </w:r>
      <w:r w:rsidR="003E6EAE" w:rsidRPr="006F4D3D">
        <w:t xml:space="preserve"> GUARIDO FILHO</w:t>
      </w:r>
      <w:r w:rsidR="003E6EAE" w:rsidRPr="00DD11B1">
        <w:t>, 2015</w:t>
      </w:r>
      <w:r w:rsidR="00900268" w:rsidRPr="00DD11B1">
        <w:t>)</w:t>
      </w:r>
      <w:r w:rsidR="00406BB3" w:rsidRPr="00DD11B1">
        <w:t>.</w:t>
      </w:r>
    </w:p>
    <w:p w14:paraId="4DDD86DE" w14:textId="1EEBE88A" w:rsidR="00D45617" w:rsidRPr="00DD11B1" w:rsidRDefault="00D95BB8" w:rsidP="009D1D9F">
      <w:pPr>
        <w:spacing w:after="0" w:line="240" w:lineRule="auto"/>
        <w:ind w:firstLine="708"/>
        <w:jc w:val="both"/>
      </w:pPr>
      <w:r w:rsidRPr="00DD11B1">
        <w:t xml:space="preserve"> </w:t>
      </w:r>
      <w:r w:rsidR="00BD0B3E" w:rsidRPr="00DD11B1">
        <w:t>Phillips</w:t>
      </w:r>
      <w:r w:rsidR="00BD0B3E">
        <w:t>,</w:t>
      </w:r>
      <w:r w:rsidR="00BD0B3E" w:rsidRPr="00DD11B1">
        <w:t xml:space="preserve"> Lawrence</w:t>
      </w:r>
      <w:r w:rsidR="00BD0B3E">
        <w:t xml:space="preserve"> e </w:t>
      </w:r>
      <w:proofErr w:type="spellStart"/>
      <w:r w:rsidR="00BD0B3E" w:rsidRPr="00DD11B1">
        <w:t>Hardy</w:t>
      </w:r>
      <w:proofErr w:type="spellEnd"/>
      <w:r w:rsidR="00BD0B3E">
        <w:t xml:space="preserve"> </w:t>
      </w:r>
      <w:r w:rsidR="00BD0B3E" w:rsidRPr="00B54DA2">
        <w:t>(2004</w:t>
      </w:r>
      <w:r w:rsidRPr="00DD11B1">
        <w:t>) consideram ainda</w:t>
      </w:r>
      <w:r w:rsidR="009D1D9F" w:rsidRPr="00DD11B1">
        <w:t>,</w:t>
      </w:r>
      <w:r w:rsidRPr="00DD11B1">
        <w:t xml:space="preserve"> que o discurso está relacionado com a tentativa de aquisição, manutenção ou reparação da legitimidade das ações organizacionais, podendo ser adotado para isso, meios coercitivos por parte do emissor – como por exemplo, a citação de autoridades e ainda, a evocação de outros textos (intertextualidade) e discursos (interdiscursividade).  </w:t>
      </w:r>
      <w:r w:rsidR="00EA6ADC">
        <w:t xml:space="preserve">Assim, para melhor compreensão de como ocorre esse processo e atingir o objetivo proposto de </w:t>
      </w:r>
      <w:r w:rsidR="00EA6ADC" w:rsidRPr="00DD11B1">
        <w:t>analisar a configuração do discurso da Petrobras nas citações a órgãos reguladores</w:t>
      </w:r>
      <w:r w:rsidR="00EA6ADC">
        <w:t xml:space="preserve"> será demonstrado na seção a seguir os procedimentos metodológicos utilizados. </w:t>
      </w:r>
    </w:p>
    <w:p w14:paraId="7B5632E8" w14:textId="77777777" w:rsidR="00D45617" w:rsidRPr="00DD11B1" w:rsidRDefault="00D45617" w:rsidP="009D1D9F">
      <w:pPr>
        <w:spacing w:after="0" w:line="240" w:lineRule="auto"/>
        <w:jc w:val="both"/>
      </w:pPr>
    </w:p>
    <w:p w14:paraId="3E88619B" w14:textId="46369AE8" w:rsidR="00F4699E" w:rsidRPr="000467DA" w:rsidRDefault="005B0897" w:rsidP="009D1D9F">
      <w:pPr>
        <w:spacing w:after="0" w:line="240" w:lineRule="auto"/>
        <w:jc w:val="both"/>
        <w:rPr>
          <w:b/>
        </w:rPr>
      </w:pPr>
      <w:r w:rsidRPr="00DD11B1">
        <w:rPr>
          <w:b/>
        </w:rPr>
        <w:t xml:space="preserve">3 </w:t>
      </w:r>
      <w:r w:rsidR="0079111F" w:rsidRPr="00DD11B1">
        <w:rPr>
          <w:b/>
        </w:rPr>
        <w:t>PROCEDIMENTOS METODOLÓGICOS</w:t>
      </w:r>
      <w:r w:rsidR="00F4699E" w:rsidRPr="00DD11B1">
        <w:fldChar w:fldCharType="begin"/>
      </w:r>
      <w:r w:rsidR="00F4699E" w:rsidRPr="00DD11B1">
        <w:instrText xml:space="preserve"> LINK Excel.Sheet.12 "Book1" "Sheet1!R4C5:R14C10" \a \f 4 \h  \* MERGEFORMAT </w:instrText>
      </w:r>
      <w:r w:rsidR="00F4699E" w:rsidRPr="00DD11B1">
        <w:fldChar w:fldCharType="separate"/>
      </w:r>
    </w:p>
    <w:p w14:paraId="645FBB8D" w14:textId="77777777" w:rsidR="0079111F" w:rsidRDefault="00F4699E" w:rsidP="009D1D9F">
      <w:pPr>
        <w:spacing w:after="0" w:line="240" w:lineRule="auto"/>
        <w:ind w:firstLine="708"/>
        <w:jc w:val="both"/>
        <w:rPr>
          <w:b/>
        </w:rPr>
      </w:pPr>
      <w:r w:rsidRPr="00DD11B1">
        <w:rPr>
          <w:b/>
        </w:rPr>
        <w:fldChar w:fldCharType="end"/>
      </w:r>
    </w:p>
    <w:p w14:paraId="3598C616" w14:textId="37E196B7" w:rsidR="00156067" w:rsidRPr="00DD11B1" w:rsidRDefault="00CC42C1" w:rsidP="009D1D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DD11B1">
        <w:t xml:space="preserve">Tendo por base </w:t>
      </w:r>
      <w:r w:rsidR="00124F33" w:rsidRPr="00DD11B1">
        <w:t>a questão de</w:t>
      </w:r>
      <w:r w:rsidRPr="00DD11B1">
        <w:t xml:space="preserve"> pesquisa, a abordagem </w:t>
      </w:r>
      <w:r w:rsidR="003213F1" w:rsidRPr="00DD11B1">
        <w:t>empregada</w:t>
      </w:r>
      <w:r w:rsidRPr="00DD11B1">
        <w:t xml:space="preserve"> é a </w:t>
      </w:r>
      <w:r w:rsidR="00B26CDF" w:rsidRPr="00DD11B1">
        <w:t xml:space="preserve">qualitativa, </w:t>
      </w:r>
      <w:r w:rsidRPr="00DD11B1">
        <w:t>a</w:t>
      </w:r>
      <w:r w:rsidR="00B26CDF" w:rsidRPr="00DD11B1">
        <w:t xml:space="preserve"> qual</w:t>
      </w:r>
      <w:r w:rsidRPr="00DD11B1">
        <w:t>,</w:t>
      </w:r>
      <w:r w:rsidR="00B26CDF" w:rsidRPr="00DD11B1">
        <w:t xml:space="preserve"> segundo </w:t>
      </w:r>
      <w:proofErr w:type="spellStart"/>
      <w:r w:rsidR="00B26CDF" w:rsidRPr="00DD11B1">
        <w:t>Denzin</w:t>
      </w:r>
      <w:proofErr w:type="spellEnd"/>
      <w:r w:rsidR="00B26CDF" w:rsidRPr="00DD11B1">
        <w:t xml:space="preserve"> e Lincoln (2016, p. 17)</w:t>
      </w:r>
      <w:r w:rsidRPr="00DD11B1">
        <w:t>,</w:t>
      </w:r>
      <w:r w:rsidR="00B26CDF" w:rsidRPr="00DD11B1">
        <w:t xml:space="preserve"> </w:t>
      </w:r>
      <w:r w:rsidR="00B26CDF" w:rsidRPr="00DD11B1">
        <w:rPr>
          <w:rFonts w:cs="Times New Roman"/>
          <w:szCs w:val="24"/>
        </w:rPr>
        <w:t>possu</w:t>
      </w:r>
      <w:r w:rsidRPr="00DD11B1">
        <w:rPr>
          <w:rFonts w:cs="Times New Roman"/>
          <w:szCs w:val="24"/>
        </w:rPr>
        <w:t>i</w:t>
      </w:r>
      <w:r w:rsidR="008B454B" w:rsidRPr="00DD11B1">
        <w:rPr>
          <w:rFonts w:cs="Times New Roman"/>
          <w:szCs w:val="24"/>
        </w:rPr>
        <w:t xml:space="preserve"> </w:t>
      </w:r>
      <w:r w:rsidR="00B26CDF" w:rsidRPr="00DD11B1">
        <w:rPr>
          <w:rFonts w:cs="Times New Roman"/>
          <w:szCs w:val="24"/>
        </w:rPr>
        <w:t>relação com a qualidade da informação obtida, onde o pesquisador procura estudar o seu objeto “[...] em seus cenários naturais, tentando entender, ou interpretar, os fenômenos em termos dos significados que as pessoas a eles conferem”.</w:t>
      </w:r>
      <w:r w:rsidR="00156067" w:rsidRPr="00DD11B1">
        <w:rPr>
          <w:rFonts w:cs="Times New Roman"/>
          <w:szCs w:val="24"/>
        </w:rPr>
        <w:t xml:space="preserve"> </w:t>
      </w:r>
    </w:p>
    <w:p w14:paraId="0DA049AC" w14:textId="366C710A" w:rsidR="004F0E0C" w:rsidRPr="00DD11B1" w:rsidRDefault="00C845B4" w:rsidP="009D1D9F">
      <w:pPr>
        <w:spacing w:after="0" w:line="240" w:lineRule="auto"/>
        <w:ind w:firstLine="708"/>
        <w:jc w:val="both"/>
      </w:pPr>
      <w:r w:rsidRPr="00DD11B1">
        <w:t xml:space="preserve">Os dados desta pesquisa </w:t>
      </w:r>
      <w:r w:rsidR="003213F1" w:rsidRPr="00DD11B1">
        <w:t>referem-se aos Comunicados e Fatos relevantes divulgados pela Petrobr</w:t>
      </w:r>
      <w:r w:rsidR="00E8586B" w:rsidRPr="00DD11B1">
        <w:t>a</w:t>
      </w:r>
      <w:r w:rsidR="003213F1" w:rsidRPr="00DD11B1">
        <w:t>s, sendo a</w:t>
      </w:r>
      <w:r w:rsidR="00156067" w:rsidRPr="00DD11B1">
        <w:t xml:space="preserve"> técnica </w:t>
      </w:r>
      <w:r w:rsidR="003213F1" w:rsidRPr="00DD11B1">
        <w:t>documental utilizada para</w:t>
      </w:r>
      <w:r w:rsidR="00156067" w:rsidRPr="00DD11B1">
        <w:t xml:space="preserve"> a coleta </w:t>
      </w:r>
      <w:r w:rsidR="003213F1" w:rsidRPr="00DD11B1">
        <w:t>do</w:t>
      </w:r>
      <w:r w:rsidR="00F853F9" w:rsidRPr="00DD11B1">
        <w:t>s</w:t>
      </w:r>
      <w:r w:rsidR="003213F1" w:rsidRPr="00DD11B1">
        <w:t xml:space="preserve"> materia</w:t>
      </w:r>
      <w:r w:rsidR="00F853F9" w:rsidRPr="00DD11B1">
        <w:t>is</w:t>
      </w:r>
      <w:r w:rsidR="003213F1" w:rsidRPr="00DD11B1">
        <w:t>.</w:t>
      </w:r>
      <w:r w:rsidR="00156067" w:rsidRPr="00DD11B1">
        <w:t xml:space="preserve"> </w:t>
      </w:r>
      <w:r w:rsidR="004F0E0C" w:rsidRPr="00DD11B1">
        <w:t xml:space="preserve">Os documentos foram coletados do </w:t>
      </w:r>
      <w:r w:rsidR="004F0E0C" w:rsidRPr="00DD11B1">
        <w:rPr>
          <w:i/>
        </w:rPr>
        <w:t>site</w:t>
      </w:r>
      <w:r w:rsidR="004F0E0C" w:rsidRPr="00DD11B1">
        <w:t xml:space="preserve"> de Relacionamento com os Investidores da companhia </w:t>
      </w:r>
      <w:r w:rsidR="004F0E0C" w:rsidRPr="00DD11B1">
        <w:lastRenderedPageBreak/>
        <w:t>(</w:t>
      </w:r>
      <w:hyperlink r:id="rId8" w:history="1">
        <w:r w:rsidR="004F0E0C" w:rsidRPr="00DD11B1">
          <w:rPr>
            <w:rStyle w:val="Hyperlink"/>
          </w:rPr>
          <w:t>http://www.investidorpetrobras.com.br/</w:t>
        </w:r>
      </w:hyperlink>
      <w:r w:rsidR="004F0E0C" w:rsidRPr="00DD11B1">
        <w:t>). Essa escolha decorreu da facilidade de localização</w:t>
      </w:r>
      <w:r w:rsidR="00F853F9" w:rsidRPr="00DD11B1">
        <w:t xml:space="preserve"> e acesso</w:t>
      </w:r>
      <w:r w:rsidR="004F0E0C" w:rsidRPr="00DD11B1">
        <w:t xml:space="preserve"> </w:t>
      </w:r>
      <w:r w:rsidR="00907531">
        <w:t>a</w:t>
      </w:r>
      <w:r w:rsidR="004F0E0C" w:rsidRPr="00DD11B1">
        <w:t xml:space="preserve">os documentos necessários para a análise </w:t>
      </w:r>
      <w:r w:rsidR="00E80C59" w:rsidRPr="00DD11B1">
        <w:t xml:space="preserve">por meio </w:t>
      </w:r>
      <w:r w:rsidR="004F0E0C" w:rsidRPr="00DD11B1">
        <w:t>do campo de busca existente no sítio eletrônico.</w:t>
      </w:r>
    </w:p>
    <w:p w14:paraId="0A328A9E" w14:textId="4725371F" w:rsidR="004F0E0C" w:rsidRPr="00DD11B1" w:rsidRDefault="004F0E0C" w:rsidP="009D1D9F">
      <w:pPr>
        <w:spacing w:after="0" w:line="240" w:lineRule="auto"/>
        <w:ind w:firstLine="708"/>
        <w:jc w:val="both"/>
      </w:pPr>
      <w:r w:rsidRPr="00DD11B1">
        <w:t xml:space="preserve">A partir disso, a técnica de análise dos dados aplicado </w:t>
      </w:r>
      <w:r w:rsidR="00F853F9" w:rsidRPr="00DD11B1">
        <w:t>foi</w:t>
      </w:r>
      <w:r w:rsidR="0057534A" w:rsidRPr="00DD11B1">
        <w:t xml:space="preserve"> a</w:t>
      </w:r>
      <w:r w:rsidRPr="00DD11B1">
        <w:t xml:space="preserve"> análise de conteúdo. Esse método permit</w:t>
      </w:r>
      <w:r w:rsidR="0057534A" w:rsidRPr="00DD11B1">
        <w:t>e</w:t>
      </w:r>
      <w:r w:rsidRPr="00DD11B1">
        <w:t xml:space="preserve"> o estudo da comunicação – no caso, de modo escrito – de forma sistemática e objetiva. Ademais, a análise de conteúdo busca-se a(s) essência(s) contida(s) nos textos disponíveis e assim, compreender a realidade a partir do entendimento da comunicação (</w:t>
      </w:r>
      <w:r w:rsidR="00731E27" w:rsidRPr="00DD11B1">
        <w:t>MARTINS</w:t>
      </w:r>
      <w:r w:rsidR="00731E27">
        <w:t>;</w:t>
      </w:r>
      <w:r w:rsidR="00731E27" w:rsidRPr="00DD11B1">
        <w:t xml:space="preserve"> THEÓPHILO</w:t>
      </w:r>
      <w:r w:rsidRPr="00DD11B1">
        <w:t>, 2016).</w:t>
      </w:r>
    </w:p>
    <w:p w14:paraId="08ABFBC1" w14:textId="667180FB" w:rsidR="002E4D13" w:rsidRPr="00DD11B1" w:rsidRDefault="0057534A" w:rsidP="009D1D9F">
      <w:pPr>
        <w:spacing w:after="0" w:line="240" w:lineRule="auto"/>
        <w:ind w:firstLine="708"/>
        <w:jc w:val="both"/>
      </w:pPr>
      <w:r w:rsidRPr="00DD11B1">
        <w:t>Dando prosseguimento</w:t>
      </w:r>
      <w:r w:rsidR="00E80C59" w:rsidRPr="00DD11B1">
        <w:t>, n</w:t>
      </w:r>
      <w:r w:rsidR="009706C0" w:rsidRPr="00DD11B1">
        <w:t xml:space="preserve">o campo de pesquisa do </w:t>
      </w:r>
      <w:r w:rsidR="009706C0" w:rsidRPr="00DD11B1">
        <w:rPr>
          <w:i/>
        </w:rPr>
        <w:t>site</w:t>
      </w:r>
      <w:r w:rsidR="009706C0" w:rsidRPr="00DD11B1">
        <w:t xml:space="preserve"> buscou-se pela</w:t>
      </w:r>
      <w:r w:rsidR="002E4D13" w:rsidRPr="00DD11B1">
        <w:t>s</w:t>
      </w:r>
      <w:r w:rsidR="009706C0" w:rsidRPr="00DD11B1">
        <w:t xml:space="preserve"> </w:t>
      </w:r>
      <w:r w:rsidR="002E4D13" w:rsidRPr="00DD11B1">
        <w:t>palavras exatas: Comissão de Valores Mobiliário e Tribunal de Contas d</w:t>
      </w:r>
      <w:r w:rsidR="00F75670" w:rsidRPr="00DD11B1">
        <w:t>a União</w:t>
      </w:r>
      <w:r w:rsidR="002E4D13" w:rsidRPr="00DD11B1">
        <w:t xml:space="preserve">. O corte temporal aplicado foi o do último comunicado divulgado que continha a citação de um dos órgãos reguladores </w:t>
      </w:r>
      <w:r w:rsidRPr="00DD11B1">
        <w:t xml:space="preserve">no ano </w:t>
      </w:r>
      <w:r w:rsidR="002E4D13" w:rsidRPr="00DD11B1">
        <w:t>de 201</w:t>
      </w:r>
      <w:r w:rsidR="00D961F4" w:rsidRPr="00DD11B1">
        <w:t>8</w:t>
      </w:r>
      <w:r w:rsidR="002E4D13" w:rsidRPr="00DD11B1">
        <w:t xml:space="preserve"> até o mais antigo disponível</w:t>
      </w:r>
      <w:r w:rsidR="00E80C59" w:rsidRPr="00DD11B1">
        <w:t>, ano de 2005</w:t>
      </w:r>
      <w:r w:rsidR="002E4D13" w:rsidRPr="00DD11B1">
        <w:t>.</w:t>
      </w:r>
      <w:r w:rsidR="00750628" w:rsidRPr="00DD11B1">
        <w:t xml:space="preserve"> O número de </w:t>
      </w:r>
      <w:r w:rsidR="00EB1963" w:rsidRPr="00DD11B1">
        <w:t>divulgações</w:t>
      </w:r>
      <w:r w:rsidR="00750628" w:rsidRPr="00DD11B1">
        <w:t xml:space="preserve"> referentes a CVM e do TCU foram respectivamente </w:t>
      </w:r>
      <w:r w:rsidR="00D961F4" w:rsidRPr="00DD11B1">
        <w:t>107</w:t>
      </w:r>
      <w:r w:rsidR="00750628" w:rsidRPr="00DD11B1">
        <w:t xml:space="preserve"> e </w:t>
      </w:r>
      <w:r w:rsidR="00D961F4" w:rsidRPr="00DD11B1">
        <w:t>73</w:t>
      </w:r>
      <w:r w:rsidR="00750628" w:rsidRPr="00DD11B1">
        <w:t>, no entanto</w:t>
      </w:r>
      <w:r w:rsidR="00907531">
        <w:t>,</w:t>
      </w:r>
      <w:r w:rsidR="00750628" w:rsidRPr="00DD11B1">
        <w:t xml:space="preserve"> nessa primeira fase foi aplicada a condição da </w:t>
      </w:r>
      <w:r w:rsidR="00EB1963" w:rsidRPr="00DD11B1">
        <w:t>publicação</w:t>
      </w:r>
      <w:r w:rsidR="00750628" w:rsidRPr="00DD11B1">
        <w:t xml:space="preserve"> ser </w:t>
      </w:r>
      <w:r w:rsidR="00EB1963" w:rsidRPr="00DD11B1">
        <w:t>um</w:t>
      </w:r>
      <w:r w:rsidR="00750628" w:rsidRPr="00DD11B1">
        <w:t xml:space="preserve"> Comunicado ou Fato Relevante</w:t>
      </w:r>
      <w:r w:rsidRPr="00DD11B1">
        <w:t xml:space="preserve">, uma vez que o campo de busca retornou resultados de todas as partes do </w:t>
      </w:r>
      <w:r w:rsidRPr="00DD11B1">
        <w:rPr>
          <w:i/>
        </w:rPr>
        <w:t>website</w:t>
      </w:r>
      <w:r w:rsidR="00750628" w:rsidRPr="00DD11B1">
        <w:t xml:space="preserve">. </w:t>
      </w:r>
      <w:r w:rsidR="00EB1963" w:rsidRPr="00DD11B1">
        <w:t>Após isso</w:t>
      </w:r>
      <w:r w:rsidR="00750628" w:rsidRPr="00DD11B1">
        <w:t xml:space="preserve">, </w:t>
      </w:r>
      <w:r w:rsidR="00EB1963" w:rsidRPr="00DD11B1">
        <w:t xml:space="preserve">gerou-se </w:t>
      </w:r>
      <w:r w:rsidR="00D961F4" w:rsidRPr="00DD11B1">
        <w:t>96</w:t>
      </w:r>
      <w:r w:rsidRPr="00DD11B1">
        <w:t xml:space="preserve"> documentos com citações</w:t>
      </w:r>
      <w:r w:rsidR="00EB1963" w:rsidRPr="00DD11B1">
        <w:t xml:space="preserve"> pertinente a CVM e </w:t>
      </w:r>
      <w:r w:rsidR="00D961F4" w:rsidRPr="00DD11B1">
        <w:t>72</w:t>
      </w:r>
      <w:r w:rsidR="00750628" w:rsidRPr="00DD11B1">
        <w:t xml:space="preserve"> </w:t>
      </w:r>
      <w:r w:rsidR="00EB1963" w:rsidRPr="00DD11B1">
        <w:t>ao TCU.</w:t>
      </w:r>
    </w:p>
    <w:p w14:paraId="308D318B" w14:textId="79C07D05" w:rsidR="00286A24" w:rsidRDefault="008F67B7" w:rsidP="00BB76AD">
      <w:pPr>
        <w:spacing w:after="0" w:line="240" w:lineRule="auto"/>
        <w:ind w:firstLine="708"/>
        <w:jc w:val="both"/>
      </w:pPr>
      <w:r w:rsidRPr="00DD11B1">
        <w:t>Antes de expor o número final de relatórios utilizados nesta pesquisa, u</w:t>
      </w:r>
      <w:r w:rsidR="00EB1963" w:rsidRPr="00DD11B1">
        <w:t>m segundo filtro teve de ser aplicado durante a análise dos dados.</w:t>
      </w:r>
      <w:r w:rsidRPr="00DD11B1">
        <w:t xml:space="preserve"> Durante a leitura dos </w:t>
      </w:r>
      <w:r w:rsidR="0019129D" w:rsidRPr="00DD11B1">
        <w:t xml:space="preserve">arquivos, constatou-se que algumas citações aos órgãos procediam de notícias da mídia. Desse modo, </w:t>
      </w:r>
      <w:r w:rsidR="006950A4" w:rsidRPr="00DD11B1">
        <w:t>como procurava-se as menções da Petrobr</w:t>
      </w:r>
      <w:r w:rsidR="00E80C59" w:rsidRPr="00DD11B1">
        <w:t>a</w:t>
      </w:r>
      <w:r w:rsidR="006950A4" w:rsidRPr="00DD11B1">
        <w:t>s, decidiu-se excluir essas comunicações, visto que no</w:t>
      </w:r>
      <w:r w:rsidR="00F853F9" w:rsidRPr="00DD11B1">
        <w:t>s</w:t>
      </w:r>
      <w:r w:rsidR="006950A4" w:rsidRPr="00DD11B1">
        <w:t xml:space="preserve"> esclarecimento</w:t>
      </w:r>
      <w:r w:rsidR="00F853F9" w:rsidRPr="00DD11B1">
        <w:t>s</w:t>
      </w:r>
      <w:r w:rsidR="006950A4" w:rsidRPr="00DD11B1">
        <w:t xml:space="preserve"> da empresa não </w:t>
      </w:r>
      <w:r w:rsidR="00907531">
        <w:t xml:space="preserve">foram citados os órgãos reguladores CVM e TCU. </w:t>
      </w:r>
      <w:r w:rsidR="006950A4" w:rsidRPr="00DD11B1">
        <w:t xml:space="preserve">Portanto, ao final obteve-se </w:t>
      </w:r>
      <w:r w:rsidR="009D47CB" w:rsidRPr="00DD11B1">
        <w:t>76</w:t>
      </w:r>
      <w:r w:rsidR="006950A4" w:rsidRPr="00DD11B1">
        <w:t xml:space="preserve"> documentos que aludiam a CVM e </w:t>
      </w:r>
      <w:r w:rsidR="009D47CB" w:rsidRPr="00DD11B1">
        <w:t>7</w:t>
      </w:r>
      <w:r w:rsidR="00806FFA" w:rsidRPr="00DD11B1">
        <w:t>1</w:t>
      </w:r>
      <w:r w:rsidR="006950A4" w:rsidRPr="00DD11B1">
        <w:t xml:space="preserve"> </w:t>
      </w:r>
      <w:r w:rsidR="00907531">
        <w:t>ao</w:t>
      </w:r>
      <w:r w:rsidR="006950A4" w:rsidRPr="00DD11B1">
        <w:t xml:space="preserve"> TCU</w:t>
      </w:r>
      <w:r w:rsidR="00803E63" w:rsidRPr="00DD11B1">
        <w:t xml:space="preserve">, conforme pode ser visto na </w:t>
      </w:r>
      <w:r w:rsidR="00F04B44" w:rsidRPr="00DD11B1">
        <w:t>Figura</w:t>
      </w:r>
      <w:r w:rsidR="00803E63" w:rsidRPr="00DD11B1">
        <w:t xml:space="preserve"> 1</w:t>
      </w:r>
      <w:r w:rsidR="001048E1" w:rsidRPr="00DD11B1">
        <w:t xml:space="preserve">, em que foram </w:t>
      </w:r>
      <w:r w:rsidR="00551B44" w:rsidRPr="00DD11B1">
        <w:t>divididas</w:t>
      </w:r>
      <w:r w:rsidR="001048E1" w:rsidRPr="00DD11B1">
        <w:t xml:space="preserve"> </w:t>
      </w:r>
      <w:r w:rsidR="000B5454" w:rsidRPr="00DD11B1">
        <w:t>as quantidades por ano.</w:t>
      </w:r>
    </w:p>
    <w:p w14:paraId="68892412" w14:textId="6DF25410" w:rsidR="00731E27" w:rsidRDefault="00731E27" w:rsidP="00BB76AD">
      <w:pPr>
        <w:spacing w:after="0" w:line="240" w:lineRule="auto"/>
        <w:ind w:firstLine="708"/>
        <w:jc w:val="both"/>
      </w:pPr>
    </w:p>
    <w:p w14:paraId="048FD3EA" w14:textId="103F6A5D" w:rsidR="00D3473E" w:rsidRPr="00D3473E" w:rsidRDefault="00D3473E" w:rsidP="00D3473E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D3473E">
        <w:rPr>
          <w:b/>
          <w:bCs/>
          <w:iCs/>
          <w:sz w:val="20"/>
          <w:szCs w:val="20"/>
        </w:rPr>
        <w:t>FIGURA 1</w:t>
      </w:r>
      <w:r w:rsidR="008D4AAE">
        <w:rPr>
          <w:b/>
          <w:bCs/>
          <w:iCs/>
          <w:sz w:val="20"/>
          <w:szCs w:val="20"/>
        </w:rPr>
        <w:t xml:space="preserve"> – </w:t>
      </w:r>
      <w:r w:rsidRPr="00D3473E">
        <w:rPr>
          <w:b/>
          <w:bCs/>
          <w:sz w:val="20"/>
          <w:szCs w:val="20"/>
        </w:rPr>
        <w:t>QUANTIDADE DE DOCUMENTOS ANALISADOS</w:t>
      </w:r>
    </w:p>
    <w:p w14:paraId="0600F5DC" w14:textId="4D2AC1D4" w:rsidR="00BB3C29" w:rsidRPr="00DD11B1" w:rsidRDefault="008458EA" w:rsidP="009D1D9F">
      <w:pPr>
        <w:spacing w:after="0" w:line="240" w:lineRule="auto"/>
        <w:jc w:val="both"/>
        <w:rPr>
          <w:szCs w:val="24"/>
        </w:rPr>
      </w:pPr>
      <w:r w:rsidRPr="00DD11B1">
        <w:rPr>
          <w:noProof/>
        </w:rPr>
        <w:drawing>
          <wp:inline distT="0" distB="0" distL="0" distR="0" wp14:anchorId="7C5ABB8D" wp14:editId="729412DF">
            <wp:extent cx="5760085" cy="2736850"/>
            <wp:effectExtent l="0" t="0" r="12065" b="635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1879D7F-04AF-4855-AC0C-E5DF4637FBA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1DFC812" w14:textId="718F0848" w:rsidR="00BB3C29" w:rsidRPr="00DD11B1" w:rsidRDefault="00862C01" w:rsidP="009D1D9F">
      <w:pPr>
        <w:spacing w:after="0" w:line="240" w:lineRule="auto"/>
        <w:jc w:val="both"/>
        <w:rPr>
          <w:sz w:val="20"/>
        </w:rPr>
      </w:pPr>
      <w:r w:rsidRPr="008D4AAE">
        <w:rPr>
          <w:b/>
          <w:bCs/>
          <w:iCs/>
          <w:sz w:val="20"/>
        </w:rPr>
        <w:t>Fonte</w:t>
      </w:r>
      <w:r w:rsidR="00A8352D" w:rsidRPr="008D4AAE">
        <w:rPr>
          <w:iCs/>
          <w:sz w:val="20"/>
        </w:rPr>
        <w:t>:</w:t>
      </w:r>
      <w:r w:rsidRPr="00DD11B1">
        <w:rPr>
          <w:sz w:val="20"/>
        </w:rPr>
        <w:t xml:space="preserve"> Dados d</w:t>
      </w:r>
      <w:r w:rsidR="00065C34" w:rsidRPr="00DD11B1">
        <w:rPr>
          <w:sz w:val="20"/>
        </w:rPr>
        <w:t>a</w:t>
      </w:r>
      <w:r w:rsidRPr="00DD11B1">
        <w:rPr>
          <w:sz w:val="20"/>
        </w:rPr>
        <w:t xml:space="preserve"> Pesquisa.</w:t>
      </w:r>
    </w:p>
    <w:p w14:paraId="7C6DFD5E" w14:textId="6762BB1D" w:rsidR="005A23AC" w:rsidRPr="00DD11B1" w:rsidRDefault="005A23AC" w:rsidP="009D1D9F">
      <w:pPr>
        <w:spacing w:after="0" w:line="240" w:lineRule="auto"/>
        <w:jc w:val="both"/>
        <w:rPr>
          <w:b/>
        </w:rPr>
      </w:pPr>
    </w:p>
    <w:p w14:paraId="5F72CABE" w14:textId="36F4FD68" w:rsidR="00AD5BD2" w:rsidRPr="00DD11B1" w:rsidRDefault="00750628" w:rsidP="009D1D9F">
      <w:pPr>
        <w:spacing w:after="0" w:line="240" w:lineRule="auto"/>
        <w:jc w:val="both"/>
      </w:pPr>
      <w:r w:rsidRPr="00DD11B1">
        <w:rPr>
          <w:b/>
        </w:rPr>
        <w:tab/>
      </w:r>
      <w:r w:rsidR="007D7DA9" w:rsidRPr="00DD11B1">
        <w:t>Na</w:t>
      </w:r>
      <w:r w:rsidR="000B5454" w:rsidRPr="00DD11B1">
        <w:t xml:space="preserve"> etapa </w:t>
      </w:r>
      <w:r w:rsidR="00E80C59" w:rsidRPr="00DD11B1">
        <w:t xml:space="preserve">de </w:t>
      </w:r>
      <w:r w:rsidR="000B5454" w:rsidRPr="00DD11B1">
        <w:t xml:space="preserve">pré-tratamento dos dados, cada comunicado foi salvo em formato </w:t>
      </w:r>
      <w:proofErr w:type="spellStart"/>
      <w:r w:rsidR="000B5454" w:rsidRPr="00DD11B1">
        <w:t>pdf</w:t>
      </w:r>
      <w:proofErr w:type="spellEnd"/>
      <w:r w:rsidR="000B5454" w:rsidRPr="00DD11B1">
        <w:t>, os quais</w:t>
      </w:r>
      <w:r w:rsidR="007D7DA9" w:rsidRPr="00DD11B1">
        <w:t xml:space="preserve"> sequencialmente </w:t>
      </w:r>
      <w:r w:rsidR="00A54232">
        <w:t xml:space="preserve">numerados </w:t>
      </w:r>
      <w:r w:rsidR="007D7DA9" w:rsidRPr="00DD11B1">
        <w:t xml:space="preserve">por ordem de </w:t>
      </w:r>
      <w:r w:rsidR="007D7DA9" w:rsidRPr="00DD11B1">
        <w:rPr>
          <w:i/>
        </w:rPr>
        <w:t>download</w:t>
      </w:r>
      <w:r w:rsidR="00C9315D" w:rsidRPr="00DD11B1">
        <w:t xml:space="preserve"> para facilitar a identificação</w:t>
      </w:r>
      <w:r w:rsidR="00E80C59" w:rsidRPr="00DD11B1">
        <w:t>,</w:t>
      </w:r>
      <w:r w:rsidR="00C9315D" w:rsidRPr="00DD11B1">
        <w:t xml:space="preserve"> caso surgisse a necessidade de voltar no documento durante a análise</w:t>
      </w:r>
      <w:r w:rsidR="00113AF1" w:rsidRPr="00DD11B1">
        <w:t>, elabora</w:t>
      </w:r>
      <w:r w:rsidR="00A54232">
        <w:t>mos</w:t>
      </w:r>
      <w:r w:rsidR="00113AF1" w:rsidRPr="00DD11B1">
        <w:t xml:space="preserve"> </w:t>
      </w:r>
      <w:r w:rsidR="0073348F" w:rsidRPr="00DD11B1">
        <w:t xml:space="preserve">conjuntamente uma planilha de controle no </w:t>
      </w:r>
      <w:r w:rsidR="0073348F" w:rsidRPr="00DD11B1">
        <w:rPr>
          <w:i/>
        </w:rPr>
        <w:t>Microsoft Excel</w:t>
      </w:r>
      <w:r w:rsidR="0073348F" w:rsidRPr="00DD11B1">
        <w:t xml:space="preserve"> contendo o código do arquivo e a data de publicação</w:t>
      </w:r>
      <w:r w:rsidR="00C9315D" w:rsidRPr="00DD11B1">
        <w:t>.</w:t>
      </w:r>
      <w:r w:rsidR="00AE0077" w:rsidRPr="00DD11B1">
        <w:t xml:space="preserve"> Ao total, os 1</w:t>
      </w:r>
      <w:r w:rsidR="00806FFA" w:rsidRPr="00DD11B1">
        <w:t>47</w:t>
      </w:r>
      <w:r w:rsidR="00AE0077" w:rsidRPr="00DD11B1">
        <w:t xml:space="preserve"> documentos </w:t>
      </w:r>
      <w:r w:rsidR="00C47E6A" w:rsidRPr="00DD11B1">
        <w:t>representam 6</w:t>
      </w:r>
      <w:r w:rsidR="00D91454" w:rsidRPr="00DD11B1">
        <w:t>9</w:t>
      </w:r>
      <w:r w:rsidR="00C47E6A" w:rsidRPr="00DD11B1">
        <w:t>.</w:t>
      </w:r>
      <w:r w:rsidR="00D91454" w:rsidRPr="00DD11B1">
        <w:t>763</w:t>
      </w:r>
      <w:r w:rsidR="00C47E6A" w:rsidRPr="00DD11B1">
        <w:t xml:space="preserve"> palavras e os arquivos variam de 1 a 4 páginas.</w:t>
      </w:r>
      <w:r w:rsidR="0079694E" w:rsidRPr="00DD11B1">
        <w:t xml:space="preserve"> </w:t>
      </w:r>
      <w:r w:rsidR="00E56E2A" w:rsidRPr="00DD11B1">
        <w:t>Para o tratamento dos dados</w:t>
      </w:r>
      <w:r w:rsidR="00B0523F">
        <w:t xml:space="preserve"> </w:t>
      </w:r>
      <w:r w:rsidR="00E56E2A" w:rsidRPr="00DD11B1">
        <w:t xml:space="preserve">utilizou-se o </w:t>
      </w:r>
      <w:r w:rsidR="00E56E2A" w:rsidRPr="00DD11B1">
        <w:rPr>
          <w:i/>
        </w:rPr>
        <w:t>software</w:t>
      </w:r>
      <w:r w:rsidR="00E56E2A" w:rsidRPr="00DD11B1">
        <w:t xml:space="preserve"> de análise qu</w:t>
      </w:r>
      <w:r w:rsidR="0093512A" w:rsidRPr="00DD11B1">
        <w:t>alit</w:t>
      </w:r>
      <w:r w:rsidR="00E56E2A" w:rsidRPr="00DD11B1">
        <w:t xml:space="preserve">ativa de </w:t>
      </w:r>
      <w:r w:rsidR="0093512A" w:rsidRPr="00DD11B1">
        <w:t>d</w:t>
      </w:r>
      <w:r w:rsidR="00E56E2A" w:rsidRPr="00DD11B1">
        <w:t>a</w:t>
      </w:r>
      <w:r w:rsidR="0093512A" w:rsidRPr="00DD11B1">
        <w:t>d</w:t>
      </w:r>
      <w:r w:rsidR="00E56E2A" w:rsidRPr="00DD11B1">
        <w:t xml:space="preserve">os </w:t>
      </w:r>
      <w:r w:rsidR="000106A8" w:rsidRPr="00DD11B1">
        <w:t xml:space="preserve">MAXQDA </w:t>
      </w:r>
      <w:r w:rsidR="00E56E2A" w:rsidRPr="00DD11B1">
        <w:t xml:space="preserve">em sua </w:t>
      </w:r>
      <w:r w:rsidR="000106A8" w:rsidRPr="00DD11B1">
        <w:t>versão 18.0.3</w:t>
      </w:r>
      <w:r w:rsidR="0093512A" w:rsidRPr="00DD11B1">
        <w:t>,</w:t>
      </w:r>
      <w:r w:rsidR="00B0523F">
        <w:t xml:space="preserve"> para</w:t>
      </w:r>
      <w:r w:rsidR="00E80C59" w:rsidRPr="00DD11B1">
        <w:t xml:space="preserve"> auxiliar</w:t>
      </w:r>
      <w:r w:rsidR="0093512A" w:rsidRPr="00DD11B1">
        <w:t xml:space="preserve"> na separação dos trecho</w:t>
      </w:r>
      <w:r w:rsidR="00C5523F" w:rsidRPr="00DD11B1">
        <w:t xml:space="preserve">s em que há a citação dos órgãos reguladores pesquisados. </w:t>
      </w:r>
    </w:p>
    <w:p w14:paraId="4B4B119C" w14:textId="76C7B15F" w:rsidR="00102AAB" w:rsidRPr="00DD11B1" w:rsidRDefault="00AD5BD2" w:rsidP="009D1D9F">
      <w:pPr>
        <w:spacing w:after="0" w:line="240" w:lineRule="auto"/>
        <w:ind w:firstLine="708"/>
        <w:jc w:val="both"/>
      </w:pPr>
      <w:r w:rsidRPr="00DD11B1">
        <w:lastRenderedPageBreak/>
        <w:t>A partir</w:t>
      </w:r>
      <w:r w:rsidR="00BF29A2" w:rsidRPr="00DD11B1">
        <w:t xml:space="preserve"> </w:t>
      </w:r>
      <w:r w:rsidRPr="00DD11B1">
        <w:t>d</w:t>
      </w:r>
      <w:r w:rsidR="00BF29A2" w:rsidRPr="00DD11B1">
        <w:t>o carregamento dos arquivos coletados</w:t>
      </w:r>
      <w:r w:rsidRPr="00DD11B1">
        <w:t xml:space="preserve"> no </w:t>
      </w:r>
      <w:r w:rsidRPr="00DD11B1">
        <w:rPr>
          <w:i/>
        </w:rPr>
        <w:t>software</w:t>
      </w:r>
      <w:r w:rsidR="00BF29A2" w:rsidRPr="00DD11B1">
        <w:t xml:space="preserve">, procedeu-se a leitura um a um dos </w:t>
      </w:r>
      <w:r w:rsidR="00A514ED" w:rsidRPr="00DD11B1">
        <w:t xml:space="preserve">comunicados para a realização da análise de </w:t>
      </w:r>
      <w:r w:rsidRPr="00DD11B1">
        <w:t>conteúdo</w:t>
      </w:r>
      <w:r w:rsidR="00A514ED" w:rsidRPr="00DD11B1">
        <w:t xml:space="preserve"> pretendida</w:t>
      </w:r>
      <w:r w:rsidR="00DF7589" w:rsidRPr="00DD11B1">
        <w:t>.</w:t>
      </w:r>
      <w:r w:rsidRPr="00DD11B1">
        <w:t xml:space="preserve"> </w:t>
      </w:r>
      <w:r w:rsidRPr="00DD11B1">
        <w:rPr>
          <w:szCs w:val="24"/>
        </w:rPr>
        <w:t>De maneira a compreender e interpretar a realidade que se mostra ao pesquisador (</w:t>
      </w:r>
      <w:r w:rsidR="007156DD" w:rsidRPr="00DD11B1">
        <w:t>MARTINS</w:t>
      </w:r>
      <w:r w:rsidR="007156DD">
        <w:t xml:space="preserve">; </w:t>
      </w:r>
      <w:r w:rsidR="007156DD" w:rsidRPr="00DD11B1">
        <w:t>THEÓPHILO</w:t>
      </w:r>
      <w:r w:rsidRPr="00DD11B1">
        <w:t>, 2016),</w:t>
      </w:r>
      <w:r w:rsidR="00197EA1" w:rsidRPr="00DD11B1">
        <w:rPr>
          <w:szCs w:val="24"/>
        </w:rPr>
        <w:t xml:space="preserve"> </w:t>
      </w:r>
      <w:r w:rsidR="009E0150" w:rsidRPr="00DD11B1">
        <w:rPr>
          <w:szCs w:val="24"/>
        </w:rPr>
        <w:t xml:space="preserve">não foi definido previamente quais seriam as codificações para a separação dos trechos dos textos, mas sim </w:t>
      </w:r>
      <w:r w:rsidR="00102AAB" w:rsidRPr="00DD11B1">
        <w:rPr>
          <w:szCs w:val="24"/>
        </w:rPr>
        <w:t>foram estabelecidas durante a leitura dos comunicados.</w:t>
      </w:r>
    </w:p>
    <w:p w14:paraId="715856B8" w14:textId="0004A227" w:rsidR="00A9344B" w:rsidRPr="00DD11B1" w:rsidRDefault="00CE7E0A" w:rsidP="009D1D9F">
      <w:pPr>
        <w:spacing w:after="0" w:line="240" w:lineRule="auto"/>
        <w:ind w:firstLine="709"/>
        <w:jc w:val="both"/>
        <w:rPr>
          <w:szCs w:val="24"/>
        </w:rPr>
      </w:pPr>
      <w:r w:rsidRPr="00DD11B1">
        <w:rPr>
          <w:szCs w:val="24"/>
        </w:rPr>
        <w:t xml:space="preserve">Após o tratamento dos dados, obteve-se </w:t>
      </w:r>
      <w:r w:rsidR="00497578" w:rsidRPr="00DD11B1">
        <w:rPr>
          <w:szCs w:val="24"/>
        </w:rPr>
        <w:t>202</w:t>
      </w:r>
      <w:r w:rsidRPr="00DD11B1">
        <w:rPr>
          <w:szCs w:val="24"/>
        </w:rPr>
        <w:t xml:space="preserve"> citações dos dois órgãos reguladores observados da </w:t>
      </w:r>
      <w:r w:rsidR="00B54DA2">
        <w:rPr>
          <w:szCs w:val="24"/>
        </w:rPr>
        <w:t>Petrobras</w:t>
      </w:r>
      <w:r w:rsidRPr="00DD11B1">
        <w:rPr>
          <w:szCs w:val="24"/>
        </w:rPr>
        <w:t>, encontrando-se 1</w:t>
      </w:r>
      <w:r w:rsidR="00497578" w:rsidRPr="00DD11B1">
        <w:rPr>
          <w:szCs w:val="24"/>
        </w:rPr>
        <w:t>31</w:t>
      </w:r>
      <w:r w:rsidRPr="00DD11B1">
        <w:rPr>
          <w:szCs w:val="24"/>
        </w:rPr>
        <w:t xml:space="preserve"> da CVM e 71 do TCU. Des</w:t>
      </w:r>
      <w:r w:rsidR="00BD6C6B">
        <w:rPr>
          <w:szCs w:val="24"/>
        </w:rPr>
        <w:t>tas</w:t>
      </w:r>
      <w:r w:rsidRPr="00DD11B1">
        <w:rPr>
          <w:szCs w:val="24"/>
        </w:rPr>
        <w:t>, 1</w:t>
      </w:r>
      <w:r w:rsidR="000B1708" w:rsidRPr="00DD11B1">
        <w:rPr>
          <w:szCs w:val="24"/>
        </w:rPr>
        <w:t>75</w:t>
      </w:r>
      <w:r w:rsidRPr="00DD11B1">
        <w:rPr>
          <w:szCs w:val="24"/>
        </w:rPr>
        <w:t xml:space="preserve"> foram codificad</w:t>
      </w:r>
      <w:r w:rsidR="00BD6C6B">
        <w:rPr>
          <w:szCs w:val="24"/>
        </w:rPr>
        <w:t>a</w:t>
      </w:r>
      <w:r w:rsidRPr="00DD11B1">
        <w:rPr>
          <w:szCs w:val="24"/>
        </w:rPr>
        <w:t>s e separad</w:t>
      </w:r>
      <w:r w:rsidR="00BD6C6B">
        <w:rPr>
          <w:szCs w:val="24"/>
        </w:rPr>
        <w:t>a</w:t>
      </w:r>
      <w:r w:rsidRPr="00DD11B1">
        <w:rPr>
          <w:szCs w:val="24"/>
        </w:rPr>
        <w:t>s em três categorias que serão apresentad</w:t>
      </w:r>
      <w:r w:rsidR="00BD6C6B">
        <w:rPr>
          <w:szCs w:val="24"/>
        </w:rPr>
        <w:t>a</w:t>
      </w:r>
      <w:r w:rsidRPr="00DD11B1">
        <w:rPr>
          <w:szCs w:val="24"/>
        </w:rPr>
        <w:t>s na se</w:t>
      </w:r>
      <w:r w:rsidR="001D2FF8" w:rsidRPr="00DD11B1">
        <w:rPr>
          <w:szCs w:val="24"/>
        </w:rPr>
        <w:t>ç</w:t>
      </w:r>
      <w:r w:rsidRPr="00DD11B1">
        <w:rPr>
          <w:szCs w:val="24"/>
        </w:rPr>
        <w:t>ão seguinte desta pesquisa.</w:t>
      </w:r>
      <w:r w:rsidR="001D2FF8" w:rsidRPr="00DD11B1">
        <w:rPr>
          <w:szCs w:val="24"/>
        </w:rPr>
        <w:t xml:space="preserve"> As outras citações que não se enquadraram nos códigos criados</w:t>
      </w:r>
      <w:r w:rsidR="004D5A7D" w:rsidRPr="00DD11B1">
        <w:rPr>
          <w:szCs w:val="24"/>
        </w:rPr>
        <w:t>,</w:t>
      </w:r>
      <w:r w:rsidR="001D2FF8" w:rsidRPr="00DD11B1">
        <w:rPr>
          <w:szCs w:val="24"/>
        </w:rPr>
        <w:t xml:space="preserve"> por não</w:t>
      </w:r>
      <w:r w:rsidR="00840B5A" w:rsidRPr="00DD11B1">
        <w:rPr>
          <w:szCs w:val="24"/>
        </w:rPr>
        <w:t xml:space="preserve"> </w:t>
      </w:r>
      <w:r w:rsidR="003C24CD" w:rsidRPr="00DD11B1">
        <w:rPr>
          <w:szCs w:val="24"/>
        </w:rPr>
        <w:t>ter</w:t>
      </w:r>
      <w:r w:rsidR="00840B5A" w:rsidRPr="00DD11B1">
        <w:rPr>
          <w:szCs w:val="24"/>
        </w:rPr>
        <w:t>em</w:t>
      </w:r>
      <w:r w:rsidR="003C24CD" w:rsidRPr="00DD11B1">
        <w:rPr>
          <w:szCs w:val="24"/>
        </w:rPr>
        <w:t xml:space="preserve"> um padrão, </w:t>
      </w:r>
      <w:r w:rsidR="003C24CD" w:rsidRPr="00BD6C6B">
        <w:rPr>
          <w:szCs w:val="24"/>
        </w:rPr>
        <w:t>foram tratad</w:t>
      </w:r>
      <w:r w:rsidR="00BD6C6B" w:rsidRPr="00BD6C6B">
        <w:rPr>
          <w:szCs w:val="24"/>
        </w:rPr>
        <w:t>a</w:t>
      </w:r>
      <w:r w:rsidR="003C24CD" w:rsidRPr="00BD6C6B">
        <w:rPr>
          <w:szCs w:val="24"/>
        </w:rPr>
        <w:t xml:space="preserve">s como </w:t>
      </w:r>
      <w:r w:rsidR="009A0647" w:rsidRPr="00BD6C6B">
        <w:rPr>
          <w:szCs w:val="24"/>
        </w:rPr>
        <w:t>comportamento d</w:t>
      </w:r>
      <w:r w:rsidR="003C24CD" w:rsidRPr="00BD6C6B">
        <w:rPr>
          <w:szCs w:val="24"/>
        </w:rPr>
        <w:t>o discurso</w:t>
      </w:r>
      <w:r w:rsidR="00BD6C6B">
        <w:rPr>
          <w:szCs w:val="24"/>
        </w:rPr>
        <w:t xml:space="preserve"> da Petrobras</w:t>
      </w:r>
      <w:r w:rsidR="003C24CD" w:rsidRPr="00BD6C6B">
        <w:rPr>
          <w:szCs w:val="24"/>
        </w:rPr>
        <w:t xml:space="preserve"> </w:t>
      </w:r>
      <w:r w:rsidR="00BD6C6B">
        <w:rPr>
          <w:szCs w:val="24"/>
        </w:rPr>
        <w:t xml:space="preserve">aos órgãos. </w:t>
      </w:r>
    </w:p>
    <w:p w14:paraId="706EF1FB" w14:textId="2064AB1C" w:rsidR="00011A16" w:rsidRPr="00BD6C6B" w:rsidRDefault="00011A16" w:rsidP="009D1D9F">
      <w:pPr>
        <w:spacing w:after="0" w:line="240" w:lineRule="auto"/>
        <w:rPr>
          <w:szCs w:val="24"/>
        </w:rPr>
      </w:pPr>
    </w:p>
    <w:p w14:paraId="00DEADFD" w14:textId="5ECE0241" w:rsidR="0064196C" w:rsidRPr="00DD11B1" w:rsidRDefault="000E3FEF" w:rsidP="000467DA">
      <w:pPr>
        <w:spacing w:after="0" w:line="240" w:lineRule="auto"/>
        <w:ind w:left="708" w:hanging="708"/>
        <w:jc w:val="both"/>
        <w:rPr>
          <w:b/>
          <w:szCs w:val="20"/>
        </w:rPr>
      </w:pPr>
      <w:r w:rsidRPr="00DD11B1">
        <w:rPr>
          <w:b/>
          <w:szCs w:val="20"/>
        </w:rPr>
        <w:t xml:space="preserve">4 </w:t>
      </w:r>
      <w:r w:rsidR="0079111F" w:rsidRPr="00DD11B1">
        <w:rPr>
          <w:b/>
          <w:szCs w:val="20"/>
        </w:rPr>
        <w:t>ANÁLISE E DISCUSSÃO DOS RESULTADOS</w:t>
      </w:r>
    </w:p>
    <w:p w14:paraId="7D5052EF" w14:textId="77777777" w:rsidR="002F18B6" w:rsidRDefault="00801B30" w:rsidP="009D1D9F">
      <w:pPr>
        <w:spacing w:after="0" w:line="240" w:lineRule="auto"/>
        <w:jc w:val="both"/>
        <w:rPr>
          <w:b/>
          <w:szCs w:val="20"/>
        </w:rPr>
      </w:pPr>
      <w:r w:rsidRPr="00DD11B1">
        <w:rPr>
          <w:b/>
          <w:szCs w:val="20"/>
        </w:rPr>
        <w:tab/>
      </w:r>
    </w:p>
    <w:p w14:paraId="3647A126" w14:textId="748A6BA3" w:rsidR="00801B30" w:rsidRPr="00DD11B1" w:rsidRDefault="00AA02D1" w:rsidP="008D4AAE">
      <w:pPr>
        <w:spacing w:after="0" w:line="240" w:lineRule="auto"/>
        <w:ind w:firstLine="708"/>
        <w:jc w:val="both"/>
        <w:rPr>
          <w:szCs w:val="20"/>
        </w:rPr>
      </w:pPr>
      <w:r w:rsidRPr="00DD11B1">
        <w:rPr>
          <w:szCs w:val="20"/>
        </w:rPr>
        <w:t>A análise realizada será dividida em quatro partes. As três primeiras emergiram dos códigos criados durante a exploração dos dados, que acabaram sendo comuns nos comunicados referentes a CVM e ao</w:t>
      </w:r>
      <w:r w:rsidR="00BA37D8" w:rsidRPr="00DD11B1">
        <w:rPr>
          <w:szCs w:val="20"/>
        </w:rPr>
        <w:t xml:space="preserve"> TCU</w:t>
      </w:r>
      <w:r w:rsidR="00C736E1">
        <w:rPr>
          <w:szCs w:val="20"/>
        </w:rPr>
        <w:t>, conforme já comentado</w:t>
      </w:r>
      <w:r w:rsidR="00BA37D8" w:rsidRPr="00DD11B1">
        <w:rPr>
          <w:szCs w:val="20"/>
        </w:rPr>
        <w:t>. Posto isso, as três partes iniciais condizem com a configuração do discurso de: (i) defesa; (</w:t>
      </w:r>
      <w:proofErr w:type="spellStart"/>
      <w:r w:rsidR="00BA37D8" w:rsidRPr="00DD11B1">
        <w:rPr>
          <w:szCs w:val="20"/>
        </w:rPr>
        <w:t>ii</w:t>
      </w:r>
      <w:proofErr w:type="spellEnd"/>
      <w:r w:rsidR="00BA37D8" w:rsidRPr="00DD11B1">
        <w:rPr>
          <w:szCs w:val="20"/>
        </w:rPr>
        <w:t>) subordinação; e (</w:t>
      </w:r>
      <w:proofErr w:type="spellStart"/>
      <w:r w:rsidR="00BA37D8" w:rsidRPr="00DD11B1">
        <w:rPr>
          <w:szCs w:val="20"/>
        </w:rPr>
        <w:t>iii</w:t>
      </w:r>
      <w:proofErr w:type="spellEnd"/>
      <w:r w:rsidR="00BA37D8" w:rsidRPr="00DD11B1">
        <w:rPr>
          <w:szCs w:val="20"/>
        </w:rPr>
        <w:t>) validade da ação.</w:t>
      </w:r>
      <w:r w:rsidR="009B1FD6" w:rsidRPr="00DD11B1">
        <w:rPr>
          <w:szCs w:val="20"/>
        </w:rPr>
        <w:t xml:space="preserve"> Já a última divisão alude-se ao </w:t>
      </w:r>
      <w:r w:rsidR="00D734FC" w:rsidRPr="00DD11B1">
        <w:rPr>
          <w:szCs w:val="20"/>
        </w:rPr>
        <w:t>comportamento</w:t>
      </w:r>
      <w:r w:rsidR="009B1FD6" w:rsidRPr="00DD11B1">
        <w:rPr>
          <w:szCs w:val="20"/>
        </w:rPr>
        <w:t xml:space="preserve"> </w:t>
      </w:r>
      <w:r w:rsidR="005F065C" w:rsidRPr="00DD11B1">
        <w:rPr>
          <w:szCs w:val="20"/>
        </w:rPr>
        <w:t>d</w:t>
      </w:r>
      <w:r w:rsidR="009B1FD6" w:rsidRPr="00DD11B1">
        <w:rPr>
          <w:szCs w:val="20"/>
        </w:rPr>
        <w:t xml:space="preserve">o discurso </w:t>
      </w:r>
      <w:r w:rsidR="005F065C" w:rsidRPr="00DD11B1">
        <w:rPr>
          <w:szCs w:val="20"/>
        </w:rPr>
        <w:t xml:space="preserve">aos </w:t>
      </w:r>
      <w:r w:rsidR="00C736E1">
        <w:rPr>
          <w:szCs w:val="20"/>
        </w:rPr>
        <w:t xml:space="preserve">dois </w:t>
      </w:r>
      <w:r w:rsidR="005F065C" w:rsidRPr="00DD11B1">
        <w:rPr>
          <w:szCs w:val="20"/>
        </w:rPr>
        <w:t xml:space="preserve">órgãos reguladores. </w:t>
      </w:r>
      <w:r w:rsidR="009B1FD6" w:rsidRPr="00DD11B1">
        <w:rPr>
          <w:szCs w:val="20"/>
        </w:rPr>
        <w:t xml:space="preserve"> </w:t>
      </w:r>
    </w:p>
    <w:p w14:paraId="16B20452" w14:textId="087D27C2" w:rsidR="00A514ED" w:rsidRPr="00DD11B1" w:rsidRDefault="0064196C" w:rsidP="009D1D9F">
      <w:pPr>
        <w:spacing w:after="0" w:line="240" w:lineRule="auto"/>
        <w:ind w:left="708" w:hanging="708"/>
        <w:jc w:val="both"/>
        <w:rPr>
          <w:szCs w:val="20"/>
        </w:rPr>
      </w:pPr>
      <w:r w:rsidRPr="00DD11B1">
        <w:rPr>
          <w:b/>
          <w:szCs w:val="20"/>
        </w:rPr>
        <w:tab/>
      </w:r>
    </w:p>
    <w:p w14:paraId="65F5F267" w14:textId="00CC4BB3" w:rsidR="00A514ED" w:rsidRPr="00DD11B1" w:rsidRDefault="0027248F" w:rsidP="009D1D9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  <w:szCs w:val="20"/>
        </w:rPr>
      </w:pPr>
      <w:r w:rsidRPr="00DD11B1">
        <w:rPr>
          <w:b/>
          <w:szCs w:val="20"/>
        </w:rPr>
        <w:t>Defesa</w:t>
      </w:r>
    </w:p>
    <w:p w14:paraId="3880B94A" w14:textId="380F266E" w:rsidR="000F4D23" w:rsidRPr="00DD11B1" w:rsidRDefault="000F4D23" w:rsidP="009D1D9F">
      <w:pPr>
        <w:spacing w:after="0" w:line="240" w:lineRule="auto"/>
        <w:jc w:val="both"/>
        <w:rPr>
          <w:b/>
          <w:szCs w:val="20"/>
        </w:rPr>
      </w:pPr>
    </w:p>
    <w:p w14:paraId="27F0F61F" w14:textId="7FF1EEE7" w:rsidR="00314EB6" w:rsidRPr="00DD11B1" w:rsidRDefault="00101D2B" w:rsidP="009D1D9F">
      <w:pPr>
        <w:spacing w:after="0" w:line="240" w:lineRule="auto"/>
        <w:ind w:firstLine="708"/>
        <w:jc w:val="both"/>
        <w:rPr>
          <w:szCs w:val="20"/>
        </w:rPr>
      </w:pPr>
      <w:r w:rsidRPr="00DD11B1">
        <w:rPr>
          <w:szCs w:val="20"/>
        </w:rPr>
        <w:t xml:space="preserve">Pode ser visto na </w:t>
      </w:r>
      <w:r w:rsidR="00B31CE3" w:rsidRPr="00DD11B1">
        <w:rPr>
          <w:szCs w:val="20"/>
        </w:rPr>
        <w:t>Tabela 1</w:t>
      </w:r>
      <w:r w:rsidRPr="00DD11B1">
        <w:rPr>
          <w:szCs w:val="20"/>
        </w:rPr>
        <w:t xml:space="preserve">, alguns exemplos de seguimentos codificados que se reportam a defesa de ações ou condutas da </w:t>
      </w:r>
      <w:r w:rsidR="00B54DA2">
        <w:rPr>
          <w:szCs w:val="20"/>
        </w:rPr>
        <w:t>Petrobras</w:t>
      </w:r>
      <w:r w:rsidRPr="00DD11B1">
        <w:rPr>
          <w:szCs w:val="20"/>
        </w:rPr>
        <w:t>.</w:t>
      </w:r>
    </w:p>
    <w:p w14:paraId="2B98E645" w14:textId="1C1B4A99" w:rsidR="009B5D44" w:rsidRPr="00A77330" w:rsidRDefault="009B5D44" w:rsidP="009D1D9F">
      <w:pPr>
        <w:spacing w:after="0" w:line="240" w:lineRule="auto"/>
        <w:jc w:val="both"/>
        <w:rPr>
          <w:szCs w:val="20"/>
        </w:rPr>
      </w:pPr>
    </w:p>
    <w:p w14:paraId="5E098468" w14:textId="7809F451" w:rsidR="00B31CE3" w:rsidRPr="008D4AAE" w:rsidRDefault="008D4AAE" w:rsidP="008D4AAE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8D4AAE">
        <w:rPr>
          <w:b/>
          <w:bCs/>
          <w:sz w:val="20"/>
          <w:szCs w:val="20"/>
        </w:rPr>
        <w:t>TABELA 1 - EXEMPLOS DE SEGUIMENTOS CODIFICADOS - DEFESA</w:t>
      </w: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08"/>
        <w:gridCol w:w="6812"/>
      </w:tblGrid>
      <w:tr w:rsidR="00B31CE3" w:rsidRPr="00B31CE3" w14:paraId="03CDBF89" w14:textId="77777777" w:rsidTr="00B31CE3">
        <w:trPr>
          <w:trHeight w:val="274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A7DD2" w14:textId="77777777" w:rsidR="00B31CE3" w:rsidRPr="00B31CE3" w:rsidRDefault="00B31CE3" w:rsidP="00B31C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31CE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Órgão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9B522" w14:textId="77777777" w:rsidR="00B31CE3" w:rsidRPr="00B31CE3" w:rsidRDefault="00B31CE3" w:rsidP="00B31C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31CE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Data do Comunicado</w:t>
            </w:r>
          </w:p>
        </w:tc>
        <w:tc>
          <w:tcPr>
            <w:tcW w:w="6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6BD02" w14:textId="77777777" w:rsidR="00B31CE3" w:rsidRPr="00B31CE3" w:rsidRDefault="00B31CE3" w:rsidP="00B31C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31CE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Seguimento Codificado</w:t>
            </w:r>
          </w:p>
        </w:tc>
      </w:tr>
      <w:tr w:rsidR="00B31CE3" w:rsidRPr="00B31CE3" w14:paraId="520A121C" w14:textId="77777777" w:rsidTr="00B31CE3">
        <w:trPr>
          <w:trHeight w:val="87"/>
        </w:trPr>
        <w:tc>
          <w:tcPr>
            <w:tcW w:w="96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99B07" w14:textId="77777777" w:rsidR="00B31CE3" w:rsidRPr="00B31CE3" w:rsidRDefault="00B31CE3" w:rsidP="00B31C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31CE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TCU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D0E1F" w14:textId="77777777" w:rsidR="00B31CE3" w:rsidRPr="00B31CE3" w:rsidRDefault="00B31CE3" w:rsidP="00B31C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31CE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24/06/2015</w:t>
            </w:r>
          </w:p>
        </w:tc>
        <w:tc>
          <w:tcPr>
            <w:tcW w:w="68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13860A" w14:textId="77777777" w:rsidR="00B31CE3" w:rsidRPr="00B31CE3" w:rsidRDefault="00B31CE3" w:rsidP="00B31CE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31CE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A Petrobras, até o momento, </w:t>
            </w:r>
            <w:r w:rsidRPr="00B31CE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não foi notificada pelo Tribunal de Contas da União (TCU)</w:t>
            </w:r>
            <w:r w:rsidRPr="00B31CE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sobre a existência de um processo em curso que vise à apuração de prejuízos da ordem de R$ 39 bilhões, conforme veiculado na matéria.</w:t>
            </w:r>
          </w:p>
        </w:tc>
      </w:tr>
      <w:tr w:rsidR="00B31CE3" w:rsidRPr="00B31CE3" w14:paraId="545D8DE1" w14:textId="77777777" w:rsidTr="00B31CE3">
        <w:trPr>
          <w:trHeight w:val="381"/>
        </w:trPr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5AC43" w14:textId="77777777" w:rsidR="00B31CE3" w:rsidRPr="00B31CE3" w:rsidRDefault="00B31CE3" w:rsidP="00B31C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31CE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TCU</w:t>
            </w:r>
          </w:p>
        </w:tc>
        <w:tc>
          <w:tcPr>
            <w:tcW w:w="13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E7C5A" w14:textId="77777777" w:rsidR="00B31CE3" w:rsidRPr="00B31CE3" w:rsidRDefault="00B31CE3" w:rsidP="00B31C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31CE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31/03/2015</w:t>
            </w:r>
          </w:p>
        </w:tc>
        <w:tc>
          <w:tcPr>
            <w:tcW w:w="68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4565C1" w14:textId="77777777" w:rsidR="00B31CE3" w:rsidRPr="00B31CE3" w:rsidRDefault="00B31CE3" w:rsidP="00B31CE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31CE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A Petrobras informa que </w:t>
            </w:r>
            <w:r w:rsidRPr="00B31CE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está aguardando sua intimação formal relativa à decisão proferida pelo TCU</w:t>
            </w:r>
            <w:r w:rsidRPr="00B31CE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no dia 25/03/2015, para avaliar, em conjunto com seu departamento jurídico, sobre as medidas a serem adotadas.</w:t>
            </w:r>
          </w:p>
        </w:tc>
      </w:tr>
      <w:tr w:rsidR="00B31CE3" w:rsidRPr="00B31CE3" w14:paraId="438C5704" w14:textId="77777777" w:rsidTr="00B31CE3">
        <w:trPr>
          <w:trHeight w:val="531"/>
        </w:trPr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8D8D1" w14:textId="77777777" w:rsidR="00B31CE3" w:rsidRPr="00B31CE3" w:rsidRDefault="00B31CE3" w:rsidP="00B31C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31CE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TCU</w:t>
            </w:r>
          </w:p>
        </w:tc>
        <w:tc>
          <w:tcPr>
            <w:tcW w:w="13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288DD" w14:textId="77777777" w:rsidR="00B31CE3" w:rsidRPr="00B31CE3" w:rsidRDefault="00B31CE3" w:rsidP="00B31C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31CE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11/11/2015</w:t>
            </w:r>
          </w:p>
        </w:tc>
        <w:tc>
          <w:tcPr>
            <w:tcW w:w="68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89764D" w14:textId="77777777" w:rsidR="00B31CE3" w:rsidRPr="00B31CE3" w:rsidRDefault="00B31CE3" w:rsidP="00B31CE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31CE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Por fim, a Companhia informa que</w:t>
            </w:r>
            <w:r w:rsidRPr="00B31CE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, até o momento, não foi notificada da decisão do Tribunal de Contas da União-TCU</w:t>
            </w:r>
            <w:r w:rsidRPr="00B31CE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e que prestará, oportunamente, os devidos esclarecimentos a este Tribunal.</w:t>
            </w:r>
          </w:p>
        </w:tc>
      </w:tr>
      <w:tr w:rsidR="00B31CE3" w:rsidRPr="00B31CE3" w14:paraId="2A1ECF03" w14:textId="77777777" w:rsidTr="00B31CE3">
        <w:trPr>
          <w:trHeight w:val="510"/>
        </w:trPr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315A2" w14:textId="77777777" w:rsidR="00B31CE3" w:rsidRPr="00B31CE3" w:rsidRDefault="00B31CE3" w:rsidP="00B31C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31CE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TCU</w:t>
            </w:r>
          </w:p>
        </w:tc>
        <w:tc>
          <w:tcPr>
            <w:tcW w:w="13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1D83E" w14:textId="77777777" w:rsidR="00B31CE3" w:rsidRPr="00B31CE3" w:rsidRDefault="00B31CE3" w:rsidP="00B31C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31CE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30/12/2016</w:t>
            </w:r>
          </w:p>
        </w:tc>
        <w:tc>
          <w:tcPr>
            <w:tcW w:w="68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21AE0B" w14:textId="77777777" w:rsidR="00B31CE3" w:rsidRPr="00B31CE3" w:rsidRDefault="00B31CE3" w:rsidP="00B31CE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31CE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 referida decisão do TCU não se aplica às transações cujos contratos de venda já foram assinados</w:t>
            </w:r>
            <w:r w:rsidRPr="00B31CE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</w:tr>
      <w:tr w:rsidR="00B31CE3" w:rsidRPr="00B31CE3" w14:paraId="476D6843" w14:textId="77777777" w:rsidTr="00B31CE3">
        <w:trPr>
          <w:trHeight w:val="733"/>
        </w:trPr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878F5" w14:textId="77777777" w:rsidR="00B31CE3" w:rsidRPr="00B31CE3" w:rsidRDefault="00B31CE3" w:rsidP="00B31C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31CE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TCU</w:t>
            </w:r>
          </w:p>
        </w:tc>
        <w:tc>
          <w:tcPr>
            <w:tcW w:w="13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54B29" w14:textId="77777777" w:rsidR="00B31CE3" w:rsidRPr="00B31CE3" w:rsidRDefault="00B31CE3" w:rsidP="00B31C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31CE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27/03/2017</w:t>
            </w:r>
          </w:p>
        </w:tc>
        <w:tc>
          <w:tcPr>
            <w:tcW w:w="68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613CFC" w14:textId="77777777" w:rsidR="00B31CE3" w:rsidRPr="00B31CE3" w:rsidRDefault="00B31CE3" w:rsidP="00B31CE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31CE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A Petrobras esclarece, ainda, que </w:t>
            </w:r>
            <w:r w:rsidRPr="00B31CE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 decisão do Tribunal de Contas da União (TCU)</w:t>
            </w:r>
            <w:r w:rsidRPr="00B31CE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, proferida no dia 15/03/2017 e anunciada ao mercado, </w:t>
            </w:r>
            <w:r w:rsidRPr="00B31CE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não interfere neste processo de alienação</w:t>
            </w:r>
            <w:r w:rsidRPr="00B31CE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, pelo fato do contrato de compra e venda de ações da Petroquímica Suape e da </w:t>
            </w:r>
            <w:proofErr w:type="spellStart"/>
            <w:r w:rsidRPr="00B31CE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Citepe</w:t>
            </w:r>
            <w:proofErr w:type="spellEnd"/>
            <w:r w:rsidRPr="00B31CE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já ter sido assinado em 28/12/2016, antes da publicação da referida decisão.</w:t>
            </w:r>
          </w:p>
        </w:tc>
      </w:tr>
      <w:tr w:rsidR="00B31CE3" w:rsidRPr="00B31CE3" w14:paraId="38818EFD" w14:textId="77777777" w:rsidTr="00B31CE3">
        <w:trPr>
          <w:trHeight w:val="423"/>
        </w:trPr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5AE94" w14:textId="77777777" w:rsidR="00B31CE3" w:rsidRPr="00B31CE3" w:rsidRDefault="00B31CE3" w:rsidP="00B31C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31CE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CVM</w:t>
            </w:r>
          </w:p>
        </w:tc>
        <w:tc>
          <w:tcPr>
            <w:tcW w:w="13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72E3E" w14:textId="77777777" w:rsidR="00B31CE3" w:rsidRPr="00B31CE3" w:rsidRDefault="00B31CE3" w:rsidP="00B31C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31CE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17/10/2008</w:t>
            </w:r>
          </w:p>
        </w:tc>
        <w:tc>
          <w:tcPr>
            <w:tcW w:w="68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C5EF7F" w14:textId="77777777" w:rsidR="00B31CE3" w:rsidRPr="00B31CE3" w:rsidRDefault="00B31CE3" w:rsidP="00B31CE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31CE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Ausência de Demonstrações Financeiras Auditadas e de Relação de Substituição das Ações. Uma vez que a 17 de </w:t>
            </w:r>
            <w:proofErr w:type="gramStart"/>
            <w:r w:rsidRPr="00B31CE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Maio</w:t>
            </w:r>
            <w:proofErr w:type="gramEnd"/>
            <w:r w:rsidRPr="00B31CE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é atualmente controlada integral da PETROBRAS, não se aplicam as disposições relativas à necessidade de elaboração de Demonstrações Financeiras Auditadas, </w:t>
            </w:r>
            <w:r w:rsidRPr="00B31CE3"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  <w:t>nos termos do art. 12, da Instrução CVM 319/99</w:t>
            </w:r>
            <w:r w:rsidRPr="00B31CE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</w:tr>
      <w:tr w:rsidR="00B31CE3" w:rsidRPr="00B31CE3" w14:paraId="5DBF1CCB" w14:textId="77777777" w:rsidTr="00B31CE3">
        <w:trPr>
          <w:trHeight w:val="667"/>
        </w:trPr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74E0F" w14:textId="77777777" w:rsidR="00B31CE3" w:rsidRPr="00B31CE3" w:rsidRDefault="00B31CE3" w:rsidP="00B31C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31CE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CVM</w:t>
            </w:r>
          </w:p>
        </w:tc>
        <w:tc>
          <w:tcPr>
            <w:tcW w:w="13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A8098" w14:textId="77777777" w:rsidR="00B31CE3" w:rsidRPr="00B31CE3" w:rsidRDefault="00B31CE3" w:rsidP="00B31C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31CE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18/05/2009</w:t>
            </w:r>
          </w:p>
        </w:tc>
        <w:tc>
          <w:tcPr>
            <w:tcW w:w="68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043DAF" w14:textId="77777777" w:rsidR="00B31CE3" w:rsidRPr="00B31CE3" w:rsidRDefault="00B31CE3" w:rsidP="00B31CE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31CE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A Deliberação CVM Nº 273, de 20 de agosto de 1998, dispõe sobre a contabilização do Imposto de Renda e da Contribuição Social. Pelas Práticas Contábeis Brasileiras (BR GAAP), </w:t>
            </w:r>
            <w:r w:rsidRPr="00B31CE3"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  <w:t>consistente com a Deliberação CVM 273, os tributos são reconhecidos pelo regime de competênci</w:t>
            </w:r>
            <w:r w:rsidRPr="00B31CE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a, e quando esses diferem da apuração fiscal, que às vezes se baseia no regime de caixa, a parcela referente a diferença é apresentada como impostos diferidos.</w:t>
            </w:r>
          </w:p>
        </w:tc>
      </w:tr>
      <w:tr w:rsidR="00B31CE3" w:rsidRPr="00B31CE3" w14:paraId="5FE041AB" w14:textId="77777777" w:rsidTr="00B31CE3">
        <w:trPr>
          <w:trHeight w:val="765"/>
        </w:trPr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076C2" w14:textId="77777777" w:rsidR="00B31CE3" w:rsidRPr="00B31CE3" w:rsidRDefault="00B31CE3" w:rsidP="00B31C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31CE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CVM</w:t>
            </w:r>
          </w:p>
        </w:tc>
        <w:tc>
          <w:tcPr>
            <w:tcW w:w="13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8B03D" w14:textId="77777777" w:rsidR="00B31CE3" w:rsidRPr="00B31CE3" w:rsidRDefault="00B31CE3" w:rsidP="00B31C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31CE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26/03/2015</w:t>
            </w:r>
          </w:p>
        </w:tc>
        <w:tc>
          <w:tcPr>
            <w:tcW w:w="68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AE041A" w14:textId="77777777" w:rsidR="00B31CE3" w:rsidRPr="00B31CE3" w:rsidRDefault="00B31CE3" w:rsidP="00B31CE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31CE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A Companhia esclarece que </w:t>
            </w:r>
            <w:r w:rsidRPr="00B31CE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 Comissão de Valores Mobiliários - CVM, não foi consultada sobre proposta de tratamento contábil para pagamentos indevidos e tampouco a Autarquia se manifestou sobre o assunto</w:t>
            </w:r>
            <w:r w:rsidRPr="00B31CE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</w:tr>
      <w:tr w:rsidR="00B31CE3" w:rsidRPr="00B31CE3" w14:paraId="79421324" w14:textId="77777777" w:rsidTr="00B31CE3">
        <w:trPr>
          <w:trHeight w:val="47"/>
        </w:trPr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4305D" w14:textId="77777777" w:rsidR="00B31CE3" w:rsidRPr="00B31CE3" w:rsidRDefault="00B31CE3" w:rsidP="00B31C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31CE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CVM</w:t>
            </w:r>
          </w:p>
        </w:tc>
        <w:tc>
          <w:tcPr>
            <w:tcW w:w="13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02134" w14:textId="77777777" w:rsidR="00B31CE3" w:rsidRPr="00B31CE3" w:rsidRDefault="00B31CE3" w:rsidP="00B31C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31CE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14/04/2015</w:t>
            </w:r>
          </w:p>
        </w:tc>
        <w:tc>
          <w:tcPr>
            <w:tcW w:w="68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066AF6" w14:textId="39417EEA" w:rsidR="00B31CE3" w:rsidRPr="00B31CE3" w:rsidRDefault="00B31CE3" w:rsidP="00B31CE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31CE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A respeito, determinamos a manifestação da Companhia, até às 9h00 do dia 14/4/2015, acerca da veracidade dessas afirmações, e se confirmada, explicar ainda os motivos pelos quais entendeu não se tratar de Fato Relevante, </w:t>
            </w:r>
            <w:r w:rsidRPr="00B31CE3"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  <w:t>nos termos da Instrução CVM n.º</w:t>
            </w:r>
            <w:r w:rsidR="001501E7" w:rsidRPr="00DD11B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B31CE3"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  <w:t>358/2002.</w:t>
            </w:r>
          </w:p>
        </w:tc>
      </w:tr>
      <w:tr w:rsidR="00B31CE3" w:rsidRPr="00B31CE3" w14:paraId="32EDAA2C" w14:textId="77777777" w:rsidTr="00B31CE3">
        <w:trPr>
          <w:trHeight w:val="271"/>
        </w:trPr>
        <w:tc>
          <w:tcPr>
            <w:tcW w:w="96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5399F" w14:textId="77777777" w:rsidR="00B31CE3" w:rsidRPr="00B31CE3" w:rsidRDefault="00B31CE3" w:rsidP="00B31C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31CE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CVM</w:t>
            </w:r>
          </w:p>
        </w:tc>
        <w:tc>
          <w:tcPr>
            <w:tcW w:w="130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0782E" w14:textId="77777777" w:rsidR="00B31CE3" w:rsidRPr="00B31CE3" w:rsidRDefault="00B31CE3" w:rsidP="00B31C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31CE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28/12/2016</w:t>
            </w:r>
          </w:p>
        </w:tc>
        <w:tc>
          <w:tcPr>
            <w:tcW w:w="681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6F5A73" w14:textId="77777777" w:rsidR="00B31CE3" w:rsidRPr="00B31CE3" w:rsidRDefault="00B31CE3" w:rsidP="00B31CE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31CE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Por fim, ressalte-se que, </w:t>
            </w:r>
            <w:r w:rsidRPr="00B31CE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diante do posicionamento atual da Comissão de Valores Mobiliários (CVM)</w:t>
            </w:r>
            <w:r w:rsidRPr="00B31CE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e tendo em vista que a Petroquímica Suape e a </w:t>
            </w:r>
            <w:proofErr w:type="spellStart"/>
            <w:r w:rsidRPr="00B31CE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Citepe</w:t>
            </w:r>
            <w:proofErr w:type="spellEnd"/>
            <w:r w:rsidRPr="00B31CE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se tornaram subsidiárias integrais da Petrobras após uma operação de compra e venda de ações [...].</w:t>
            </w:r>
          </w:p>
        </w:tc>
      </w:tr>
    </w:tbl>
    <w:p w14:paraId="3B36DA16" w14:textId="71B4CF55" w:rsidR="008D4AAE" w:rsidRPr="00DD11B1" w:rsidRDefault="008D4AAE" w:rsidP="008D4AAE">
      <w:pPr>
        <w:spacing w:after="0" w:line="240" w:lineRule="auto"/>
        <w:jc w:val="both"/>
        <w:rPr>
          <w:sz w:val="20"/>
          <w:szCs w:val="20"/>
        </w:rPr>
      </w:pPr>
      <w:r w:rsidRPr="008D4AAE">
        <w:rPr>
          <w:b/>
          <w:bCs/>
          <w:iCs/>
          <w:sz w:val="20"/>
          <w:szCs w:val="20"/>
        </w:rPr>
        <w:t>Onde:</w:t>
      </w:r>
      <w:r w:rsidRPr="00DD11B1">
        <w:rPr>
          <w:sz w:val="20"/>
          <w:szCs w:val="20"/>
        </w:rPr>
        <w:t xml:space="preserve"> TCU = Tribunal de Contas da União; CVM = Comissão de Valores Mobiliários.</w:t>
      </w:r>
    </w:p>
    <w:p w14:paraId="582E7B41" w14:textId="52030D88" w:rsidR="00B31CE3" w:rsidRPr="00DD11B1" w:rsidRDefault="00B31CE3" w:rsidP="00B31CE3">
      <w:pPr>
        <w:spacing w:after="0" w:line="240" w:lineRule="auto"/>
        <w:jc w:val="both"/>
        <w:rPr>
          <w:sz w:val="20"/>
          <w:szCs w:val="20"/>
        </w:rPr>
      </w:pPr>
      <w:r w:rsidRPr="008D4AAE">
        <w:rPr>
          <w:b/>
          <w:bCs/>
          <w:iCs/>
          <w:sz w:val="20"/>
          <w:szCs w:val="20"/>
        </w:rPr>
        <w:t>Fonte:</w:t>
      </w:r>
      <w:r w:rsidRPr="00DD11B1">
        <w:rPr>
          <w:b/>
          <w:sz w:val="20"/>
          <w:szCs w:val="20"/>
        </w:rPr>
        <w:t xml:space="preserve"> </w:t>
      </w:r>
      <w:r w:rsidRPr="00DD11B1">
        <w:rPr>
          <w:sz w:val="20"/>
          <w:szCs w:val="20"/>
        </w:rPr>
        <w:t>Dados da pesquisa.</w:t>
      </w:r>
    </w:p>
    <w:p w14:paraId="756E1B54" w14:textId="77777777" w:rsidR="00B31CE3" w:rsidRPr="00DD11B1" w:rsidRDefault="00B31CE3" w:rsidP="00B31CE3">
      <w:pPr>
        <w:spacing w:after="0" w:line="240" w:lineRule="auto"/>
        <w:jc w:val="both"/>
        <w:rPr>
          <w:szCs w:val="24"/>
        </w:rPr>
      </w:pPr>
    </w:p>
    <w:p w14:paraId="1B013D69" w14:textId="5618320D" w:rsidR="009B1FD6" w:rsidRPr="00DD11B1" w:rsidRDefault="00F15FAB" w:rsidP="009D1D9F">
      <w:pPr>
        <w:spacing w:after="0" w:line="240" w:lineRule="auto"/>
        <w:jc w:val="both"/>
        <w:rPr>
          <w:szCs w:val="24"/>
        </w:rPr>
      </w:pPr>
      <w:r w:rsidRPr="00DD11B1">
        <w:rPr>
          <w:szCs w:val="24"/>
        </w:rPr>
        <w:tab/>
        <w:t xml:space="preserve">Ao todo, foram codificados </w:t>
      </w:r>
      <w:r w:rsidR="000B1708" w:rsidRPr="00DD11B1">
        <w:rPr>
          <w:szCs w:val="24"/>
        </w:rPr>
        <w:t>29</w:t>
      </w:r>
      <w:r w:rsidRPr="00DD11B1">
        <w:rPr>
          <w:szCs w:val="24"/>
        </w:rPr>
        <w:t xml:space="preserve"> trechos de 2</w:t>
      </w:r>
      <w:r w:rsidR="000B1708" w:rsidRPr="00DD11B1">
        <w:rPr>
          <w:szCs w:val="24"/>
        </w:rPr>
        <w:t>4</w:t>
      </w:r>
      <w:r w:rsidRPr="00DD11B1">
        <w:rPr>
          <w:szCs w:val="24"/>
        </w:rPr>
        <w:t xml:space="preserve"> comunicados diferentes</w:t>
      </w:r>
      <w:r w:rsidR="000B1708" w:rsidRPr="00DD11B1">
        <w:rPr>
          <w:szCs w:val="24"/>
        </w:rPr>
        <w:t>, sendo 20 referentes a CVM e 9 ao TCU</w:t>
      </w:r>
      <w:r w:rsidRPr="00DD11B1">
        <w:rPr>
          <w:szCs w:val="24"/>
        </w:rPr>
        <w:t xml:space="preserve">. A defesa a que se refere </w:t>
      </w:r>
      <w:r w:rsidR="00E87BD9" w:rsidRPr="00DD11B1">
        <w:rPr>
          <w:szCs w:val="24"/>
        </w:rPr>
        <w:t>o código</w:t>
      </w:r>
      <w:r w:rsidR="009E225C" w:rsidRPr="00DD11B1">
        <w:rPr>
          <w:szCs w:val="24"/>
        </w:rPr>
        <w:t xml:space="preserve">, </w:t>
      </w:r>
      <w:r w:rsidRPr="00DD11B1">
        <w:rPr>
          <w:szCs w:val="24"/>
        </w:rPr>
        <w:t>que pode ser perceb</w:t>
      </w:r>
      <w:r w:rsidR="00876A97" w:rsidRPr="00DD11B1">
        <w:rPr>
          <w:szCs w:val="24"/>
        </w:rPr>
        <w:t>ida</w:t>
      </w:r>
      <w:r w:rsidRPr="00DD11B1">
        <w:rPr>
          <w:szCs w:val="24"/>
        </w:rPr>
        <w:t xml:space="preserve"> nos exemplos da </w:t>
      </w:r>
      <w:r w:rsidR="00E345EE">
        <w:rPr>
          <w:szCs w:val="24"/>
        </w:rPr>
        <w:t>Tabela 1</w:t>
      </w:r>
      <w:r w:rsidRPr="00DD11B1">
        <w:rPr>
          <w:szCs w:val="24"/>
        </w:rPr>
        <w:t xml:space="preserve"> e que se repete </w:t>
      </w:r>
      <w:r w:rsidR="00E40AB3" w:rsidRPr="00DD11B1">
        <w:rPr>
          <w:szCs w:val="24"/>
        </w:rPr>
        <w:t>ao longo dos fragmentos</w:t>
      </w:r>
      <w:r w:rsidR="004D5A7D" w:rsidRPr="00DD11B1">
        <w:rPr>
          <w:szCs w:val="24"/>
        </w:rPr>
        <w:t>,</w:t>
      </w:r>
      <w:r w:rsidR="00E40AB3" w:rsidRPr="00DD11B1">
        <w:rPr>
          <w:szCs w:val="24"/>
        </w:rPr>
        <w:t xml:space="preserve"> é uma forma de justificativa de ter ou não realizado determinada ação. Esse ponto</w:t>
      </w:r>
      <w:r w:rsidR="000823BC" w:rsidRPr="00DD11B1">
        <w:rPr>
          <w:szCs w:val="24"/>
        </w:rPr>
        <w:t xml:space="preserve"> parece exercer uma salvaguarda a empresa, sendo que </w:t>
      </w:r>
      <w:r w:rsidR="00081CF0" w:rsidRPr="00DD11B1">
        <w:rPr>
          <w:szCs w:val="24"/>
        </w:rPr>
        <w:t xml:space="preserve">a </w:t>
      </w:r>
      <w:r w:rsidR="00453F81" w:rsidRPr="00DD11B1">
        <w:rPr>
          <w:szCs w:val="24"/>
        </w:rPr>
        <w:t xml:space="preserve">maior </w:t>
      </w:r>
      <w:r w:rsidR="000823BC" w:rsidRPr="00DD11B1">
        <w:rPr>
          <w:szCs w:val="24"/>
        </w:rPr>
        <w:t xml:space="preserve">fração </w:t>
      </w:r>
      <w:r w:rsidR="00E87BD9" w:rsidRPr="00DD11B1">
        <w:rPr>
          <w:szCs w:val="24"/>
        </w:rPr>
        <w:t xml:space="preserve">alude a </w:t>
      </w:r>
      <w:r w:rsidR="00081CF0" w:rsidRPr="00DD11B1">
        <w:rPr>
          <w:szCs w:val="24"/>
        </w:rPr>
        <w:t xml:space="preserve">uma defesa sob o prospecto jurídico. </w:t>
      </w:r>
      <w:r w:rsidR="00453F81" w:rsidRPr="00DD11B1">
        <w:rPr>
          <w:szCs w:val="24"/>
        </w:rPr>
        <w:t xml:space="preserve">No entanto, essa parte </w:t>
      </w:r>
      <w:r w:rsidR="004D14C3" w:rsidRPr="00DD11B1">
        <w:rPr>
          <w:szCs w:val="24"/>
        </w:rPr>
        <w:t xml:space="preserve">é principalmente aplicada nas citações </w:t>
      </w:r>
      <w:r w:rsidR="00E80C59" w:rsidRPr="00DD11B1">
        <w:rPr>
          <w:szCs w:val="24"/>
        </w:rPr>
        <w:t>que se referem à</w:t>
      </w:r>
      <w:r w:rsidR="004D14C3" w:rsidRPr="00DD11B1">
        <w:rPr>
          <w:szCs w:val="24"/>
        </w:rPr>
        <w:t xml:space="preserve"> CVM</w:t>
      </w:r>
      <w:r w:rsidR="00E87BD9" w:rsidRPr="00DD11B1">
        <w:rPr>
          <w:szCs w:val="24"/>
        </w:rPr>
        <w:t xml:space="preserve"> – regulador do mercado de ações no Brasil</w:t>
      </w:r>
      <w:r w:rsidR="004D14C3" w:rsidRPr="00DD11B1">
        <w:rPr>
          <w:szCs w:val="24"/>
        </w:rPr>
        <w:t>.</w:t>
      </w:r>
    </w:p>
    <w:p w14:paraId="4B1BD2FA" w14:textId="77777777" w:rsidR="00911BBF" w:rsidRPr="00DD11B1" w:rsidRDefault="00911BBF" w:rsidP="009D1D9F">
      <w:pPr>
        <w:spacing w:after="0" w:line="240" w:lineRule="auto"/>
        <w:jc w:val="both"/>
        <w:rPr>
          <w:szCs w:val="24"/>
        </w:rPr>
      </w:pPr>
    </w:p>
    <w:p w14:paraId="199A2664" w14:textId="179BAD6A" w:rsidR="009B5D44" w:rsidRPr="00DD11B1" w:rsidRDefault="0027248F" w:rsidP="009D1D9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  <w:szCs w:val="20"/>
        </w:rPr>
      </w:pPr>
      <w:r w:rsidRPr="00DD11B1">
        <w:rPr>
          <w:b/>
          <w:szCs w:val="20"/>
        </w:rPr>
        <w:t>Subordinação</w:t>
      </w:r>
    </w:p>
    <w:p w14:paraId="4A587FEB" w14:textId="000BF54D" w:rsidR="0064196C" w:rsidRPr="00DD11B1" w:rsidRDefault="0064196C" w:rsidP="009D1D9F">
      <w:pPr>
        <w:pStyle w:val="PargrafodaLista"/>
        <w:spacing w:after="0" w:line="240" w:lineRule="auto"/>
        <w:ind w:left="0" w:firstLine="1080"/>
        <w:jc w:val="both"/>
        <w:rPr>
          <w:b/>
          <w:szCs w:val="20"/>
        </w:rPr>
      </w:pPr>
    </w:p>
    <w:p w14:paraId="65CE2B57" w14:textId="6BA24D6C" w:rsidR="00471A37" w:rsidRPr="00DD11B1" w:rsidRDefault="00471A37" w:rsidP="009D1D9F">
      <w:pPr>
        <w:pStyle w:val="PargrafodaLista"/>
        <w:spacing w:after="0" w:line="240" w:lineRule="auto"/>
        <w:ind w:left="0" w:firstLine="708"/>
        <w:jc w:val="both"/>
        <w:rPr>
          <w:szCs w:val="20"/>
        </w:rPr>
      </w:pPr>
      <w:r w:rsidRPr="00DD11B1">
        <w:rPr>
          <w:szCs w:val="20"/>
        </w:rPr>
        <w:t xml:space="preserve">O segundo código criado </w:t>
      </w:r>
      <w:r w:rsidR="00154F93" w:rsidRPr="00DD11B1">
        <w:rPr>
          <w:szCs w:val="20"/>
        </w:rPr>
        <w:t>é o da subordinação, onde a Petrobr</w:t>
      </w:r>
      <w:r w:rsidR="00E80C59" w:rsidRPr="00DD11B1">
        <w:rPr>
          <w:szCs w:val="20"/>
        </w:rPr>
        <w:t>a</w:t>
      </w:r>
      <w:r w:rsidR="00154F93" w:rsidRPr="00DD11B1">
        <w:rPr>
          <w:szCs w:val="20"/>
        </w:rPr>
        <w:t>s se utiliza de discursos</w:t>
      </w:r>
      <w:r w:rsidR="00A46323" w:rsidRPr="00DD11B1">
        <w:rPr>
          <w:szCs w:val="20"/>
        </w:rPr>
        <w:t xml:space="preserve"> direcionados ao entendimento de obediência aos seus reguladores. </w:t>
      </w:r>
      <w:r w:rsidR="00EA0410" w:rsidRPr="00DD11B1">
        <w:rPr>
          <w:szCs w:val="24"/>
        </w:rPr>
        <w:t>Essa codificação totalizou 31 seguimentos de textos de 27 arquivos e a</w:t>
      </w:r>
      <w:r w:rsidR="00A46323" w:rsidRPr="00DD11B1">
        <w:rPr>
          <w:szCs w:val="20"/>
        </w:rPr>
        <w:t xml:space="preserve">lguns exemplos podem ser vistos na </w:t>
      </w:r>
      <w:r w:rsidR="00570A5A" w:rsidRPr="00DD11B1">
        <w:rPr>
          <w:szCs w:val="20"/>
        </w:rPr>
        <w:t>Tabela 2</w:t>
      </w:r>
      <w:r w:rsidR="00A46323" w:rsidRPr="00DD11B1">
        <w:rPr>
          <w:szCs w:val="20"/>
        </w:rPr>
        <w:t>.</w:t>
      </w:r>
      <w:r w:rsidR="00154F93" w:rsidRPr="00DD11B1">
        <w:rPr>
          <w:szCs w:val="20"/>
        </w:rPr>
        <w:t xml:space="preserve"> </w:t>
      </w:r>
    </w:p>
    <w:p w14:paraId="268EC8B3" w14:textId="08209E94" w:rsidR="00A514ED" w:rsidRPr="00DD11B1" w:rsidRDefault="00A514ED" w:rsidP="009D1D9F">
      <w:pPr>
        <w:spacing w:after="0" w:line="240" w:lineRule="auto"/>
        <w:jc w:val="both"/>
        <w:rPr>
          <w:szCs w:val="20"/>
        </w:rPr>
      </w:pPr>
    </w:p>
    <w:p w14:paraId="62641655" w14:textId="24ECADE4" w:rsidR="00570A5A" w:rsidRPr="008D4AAE" w:rsidRDefault="008D4AAE" w:rsidP="008D4AAE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8D4AAE">
        <w:rPr>
          <w:b/>
          <w:bCs/>
          <w:sz w:val="20"/>
          <w:szCs w:val="20"/>
        </w:rPr>
        <w:t>TABELA 2 - EXEMPLOS DE SEGUIMENTOS CODIFICADOS - SUBORDINAÇÃO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08"/>
        <w:gridCol w:w="6804"/>
      </w:tblGrid>
      <w:tr w:rsidR="00570A5A" w:rsidRPr="00570A5A" w14:paraId="2EBB8F91" w14:textId="77777777" w:rsidTr="00570A5A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964C58" w14:textId="77777777" w:rsidR="00570A5A" w:rsidRPr="00570A5A" w:rsidRDefault="00570A5A" w:rsidP="00570A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0A5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Órgão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FB745B" w14:textId="77777777" w:rsidR="00570A5A" w:rsidRPr="00570A5A" w:rsidRDefault="00570A5A" w:rsidP="00570A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0A5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Data do Comunicado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AB9D3B" w14:textId="77777777" w:rsidR="00570A5A" w:rsidRPr="00570A5A" w:rsidRDefault="00570A5A" w:rsidP="00570A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0A5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Seguimento Codificado</w:t>
            </w:r>
          </w:p>
        </w:tc>
      </w:tr>
      <w:tr w:rsidR="00570A5A" w:rsidRPr="00570A5A" w14:paraId="092CE378" w14:textId="77777777" w:rsidTr="00570A5A">
        <w:trPr>
          <w:trHeight w:val="202"/>
        </w:trPr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F6AD1" w14:textId="77777777" w:rsidR="00570A5A" w:rsidRPr="00570A5A" w:rsidRDefault="00570A5A" w:rsidP="00570A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70A5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TCU</w:t>
            </w:r>
          </w:p>
        </w:tc>
        <w:tc>
          <w:tcPr>
            <w:tcW w:w="130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31B627" w14:textId="77777777" w:rsidR="00570A5A" w:rsidRPr="00570A5A" w:rsidRDefault="00570A5A" w:rsidP="00570A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70A5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22/04/2015</w:t>
            </w:r>
          </w:p>
        </w:tc>
        <w:tc>
          <w:tcPr>
            <w:tcW w:w="680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25FB77" w14:textId="77777777" w:rsidR="00570A5A" w:rsidRPr="00570A5A" w:rsidRDefault="00570A5A" w:rsidP="00570A5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70A5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Cumpre esclarecer que </w:t>
            </w:r>
            <w:r w:rsidRPr="00570A5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 Petrobras vem prestando esclarecimentos ao Tribunal de Contas da União (TCU)</w:t>
            </w:r>
            <w:r w:rsidRPr="00570A5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sobre os custos do </w:t>
            </w:r>
            <w:proofErr w:type="spellStart"/>
            <w:r w:rsidRPr="00570A5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Comperj</w:t>
            </w:r>
            <w:proofErr w:type="spellEnd"/>
            <w:r w:rsidRPr="00570A5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</w:tr>
      <w:tr w:rsidR="00570A5A" w:rsidRPr="00570A5A" w14:paraId="03CB6BF7" w14:textId="77777777" w:rsidTr="00570A5A">
        <w:trPr>
          <w:trHeight w:val="732"/>
        </w:trPr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F20E7" w14:textId="77777777" w:rsidR="00570A5A" w:rsidRPr="00570A5A" w:rsidRDefault="00570A5A" w:rsidP="00570A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70A5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TCU</w:t>
            </w:r>
          </w:p>
        </w:tc>
        <w:tc>
          <w:tcPr>
            <w:tcW w:w="13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DFB23" w14:textId="77777777" w:rsidR="00570A5A" w:rsidRPr="00570A5A" w:rsidRDefault="00570A5A" w:rsidP="00570A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70A5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30/12/2016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D8308D" w14:textId="77777777" w:rsidR="00570A5A" w:rsidRPr="00570A5A" w:rsidRDefault="00570A5A" w:rsidP="00570A5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0A5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 Companhia está trabalhando</w:t>
            </w:r>
            <w:r w:rsidRPr="00570A5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na reformulação de sua sistemática para desinvestimento, </w:t>
            </w:r>
            <w:r w:rsidRPr="00570A5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com vistas a ajustá-la às determinações do TCU</w:t>
            </w:r>
            <w:r w:rsidRPr="00570A5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e espera concluir essa reformulação, no menor prazo possível, com a apreciação daquele Tribunal [...]</w:t>
            </w:r>
          </w:p>
        </w:tc>
      </w:tr>
      <w:tr w:rsidR="00570A5A" w:rsidRPr="00570A5A" w14:paraId="4B043F30" w14:textId="77777777" w:rsidTr="00570A5A">
        <w:trPr>
          <w:trHeight w:val="519"/>
        </w:trPr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994EF" w14:textId="77777777" w:rsidR="00570A5A" w:rsidRPr="00570A5A" w:rsidRDefault="00570A5A" w:rsidP="00570A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70A5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TCU</w:t>
            </w:r>
          </w:p>
        </w:tc>
        <w:tc>
          <w:tcPr>
            <w:tcW w:w="13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D3631F" w14:textId="77777777" w:rsidR="00570A5A" w:rsidRPr="00570A5A" w:rsidRDefault="00570A5A" w:rsidP="00570A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70A5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23/01/2017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8E9558" w14:textId="77777777" w:rsidR="00570A5A" w:rsidRPr="00570A5A" w:rsidRDefault="00570A5A" w:rsidP="00570A5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0A5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 assinatura dos instrumentos contratuais</w:t>
            </w:r>
            <w:r w:rsidRPr="00570A5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definitivos, no entanto, </w:t>
            </w:r>
            <w:r w:rsidRPr="00570A5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dependerá do pronunciamento de mérito pelo Tribunal de Contas da União (TCU)</w:t>
            </w:r>
            <w:r w:rsidRPr="00570A5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sobre os ajustes requeridos por essa autoridade na sistemática de desinvestimentos da Petrobras.</w:t>
            </w:r>
          </w:p>
        </w:tc>
      </w:tr>
      <w:tr w:rsidR="00570A5A" w:rsidRPr="00570A5A" w14:paraId="438B6F14" w14:textId="77777777" w:rsidTr="00570A5A">
        <w:trPr>
          <w:trHeight w:val="433"/>
        </w:trPr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8F5C4" w14:textId="77777777" w:rsidR="00570A5A" w:rsidRPr="00570A5A" w:rsidRDefault="00570A5A" w:rsidP="00570A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70A5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TCU</w:t>
            </w:r>
          </w:p>
        </w:tc>
        <w:tc>
          <w:tcPr>
            <w:tcW w:w="13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F95E87" w14:textId="77777777" w:rsidR="00570A5A" w:rsidRPr="00570A5A" w:rsidRDefault="00570A5A" w:rsidP="00570A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70A5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15/03/2017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AC6AD5" w14:textId="77777777" w:rsidR="00570A5A" w:rsidRPr="00570A5A" w:rsidRDefault="00570A5A" w:rsidP="00570A5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0A5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 partir das recomendações sugeridas pelo TCU</w:t>
            </w:r>
            <w:r w:rsidRPr="00570A5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, de modo a aprimorar seu processo competitivo a sistemática foi então revista e apresentada para o Tribunal, culminando com a decisão hoje proferida.</w:t>
            </w:r>
          </w:p>
        </w:tc>
      </w:tr>
      <w:tr w:rsidR="00570A5A" w:rsidRPr="00570A5A" w14:paraId="5B3CDBEC" w14:textId="77777777" w:rsidTr="00570A5A">
        <w:trPr>
          <w:trHeight w:val="571"/>
        </w:trPr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13C4A" w14:textId="77777777" w:rsidR="00570A5A" w:rsidRPr="00570A5A" w:rsidRDefault="00570A5A" w:rsidP="00570A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70A5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TCU</w:t>
            </w:r>
          </w:p>
        </w:tc>
        <w:tc>
          <w:tcPr>
            <w:tcW w:w="13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E2BD8D" w14:textId="77777777" w:rsidR="00570A5A" w:rsidRPr="00570A5A" w:rsidRDefault="00570A5A" w:rsidP="00570A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70A5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10/05/2017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E7576" w14:textId="77777777" w:rsidR="00570A5A" w:rsidRPr="00570A5A" w:rsidRDefault="00570A5A" w:rsidP="00570A5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70A5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Estes e os demais projetos de parcerias e desinvestimentos seguirão os procedimentos da sistemática para desinvestimentos revisada, </w:t>
            </w:r>
            <w:r w:rsidRPr="00570A5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em cumprimento à decisão do Tribunal de Contas da União (TCU)</w:t>
            </w:r>
            <w:r w:rsidRPr="00570A5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, proferida em 15/03/2017.</w:t>
            </w:r>
          </w:p>
        </w:tc>
      </w:tr>
      <w:tr w:rsidR="00570A5A" w:rsidRPr="00570A5A" w14:paraId="634F0802" w14:textId="77777777" w:rsidTr="00570A5A">
        <w:trPr>
          <w:trHeight w:val="595"/>
        </w:trPr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DE572" w14:textId="77777777" w:rsidR="00570A5A" w:rsidRPr="00570A5A" w:rsidRDefault="00570A5A" w:rsidP="00570A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70A5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CVM</w:t>
            </w:r>
          </w:p>
        </w:tc>
        <w:tc>
          <w:tcPr>
            <w:tcW w:w="13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E811CB" w14:textId="77777777" w:rsidR="00570A5A" w:rsidRPr="00570A5A" w:rsidRDefault="00570A5A" w:rsidP="00570A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70A5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23/05/2006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F683E" w14:textId="77777777" w:rsidR="00570A5A" w:rsidRPr="00570A5A" w:rsidRDefault="00570A5A" w:rsidP="00570A5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70A5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[...] novas condições por ora propostas não alteram as avaliações já elaboradas, restando válidos os laudos de avaliação já disponibilizados para apreciação dos acionistas, </w:t>
            </w:r>
            <w:r w:rsidRPr="00570A5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devendo as novas condições serem submetidas também à manifestação dos respectivos Conselhos Fiscais e à aprovação da CVM</w:t>
            </w:r>
            <w:r w:rsidRPr="00570A5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</w:tr>
      <w:tr w:rsidR="00570A5A" w:rsidRPr="00570A5A" w14:paraId="74D320C8" w14:textId="77777777" w:rsidTr="00570A5A">
        <w:trPr>
          <w:trHeight w:val="47"/>
        </w:trPr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32DBC" w14:textId="77777777" w:rsidR="00570A5A" w:rsidRPr="00570A5A" w:rsidRDefault="00570A5A" w:rsidP="00570A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70A5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CVM</w:t>
            </w:r>
          </w:p>
        </w:tc>
        <w:tc>
          <w:tcPr>
            <w:tcW w:w="13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2E6C8D" w14:textId="77777777" w:rsidR="00570A5A" w:rsidRPr="00570A5A" w:rsidRDefault="00570A5A" w:rsidP="00570A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70A5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05/05/2008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071C3C" w14:textId="77777777" w:rsidR="00570A5A" w:rsidRPr="00570A5A" w:rsidRDefault="00570A5A" w:rsidP="00570A5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70A5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PETROBRAS, [...] uma companhia brasileira de energia com atuação internacional, </w:t>
            </w:r>
            <w:r w:rsidRPr="00570A5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comunica que cumprirá a condição imposta pela Comissão de Valores Mobiliários</w:t>
            </w:r>
            <w:r w:rsidRPr="00570A5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no Ofício CVM/SER/GER-1/Nº 725/2008 [...]. </w:t>
            </w:r>
          </w:p>
        </w:tc>
      </w:tr>
      <w:tr w:rsidR="00570A5A" w:rsidRPr="00570A5A" w14:paraId="759E8833" w14:textId="77777777" w:rsidTr="00570A5A">
        <w:trPr>
          <w:trHeight w:val="47"/>
        </w:trPr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D8394" w14:textId="77777777" w:rsidR="00570A5A" w:rsidRPr="00570A5A" w:rsidRDefault="00570A5A" w:rsidP="00570A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70A5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CVM</w:t>
            </w:r>
          </w:p>
        </w:tc>
        <w:tc>
          <w:tcPr>
            <w:tcW w:w="13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CDA666" w14:textId="77777777" w:rsidR="00570A5A" w:rsidRPr="00570A5A" w:rsidRDefault="00570A5A" w:rsidP="00570A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70A5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26/08/2015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756488" w14:textId="77777777" w:rsidR="00570A5A" w:rsidRPr="00570A5A" w:rsidRDefault="00570A5A" w:rsidP="00570A5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70A5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Oportunamente, será divulgado aviso ao mercado, nos termos do artigo 53 da Instrução CVM nº 400/03 [...].</w:t>
            </w:r>
          </w:p>
        </w:tc>
      </w:tr>
      <w:tr w:rsidR="00570A5A" w:rsidRPr="00570A5A" w14:paraId="72BA8571" w14:textId="77777777" w:rsidTr="00570A5A">
        <w:trPr>
          <w:trHeight w:val="47"/>
        </w:trPr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C01B7" w14:textId="77777777" w:rsidR="00570A5A" w:rsidRPr="00570A5A" w:rsidRDefault="00570A5A" w:rsidP="00570A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70A5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CVM</w:t>
            </w:r>
          </w:p>
        </w:tc>
        <w:tc>
          <w:tcPr>
            <w:tcW w:w="13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3AA69D" w14:textId="77777777" w:rsidR="00570A5A" w:rsidRPr="00570A5A" w:rsidRDefault="00570A5A" w:rsidP="00570A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70A5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04/08/2016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16CCC5" w14:textId="77777777" w:rsidR="00570A5A" w:rsidRPr="00570A5A" w:rsidRDefault="00570A5A" w:rsidP="00570A5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0A5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Petrobras atende ao Ofício nº 202/2016CVM/SEP/GEA3 que solicita esclarecimentos</w:t>
            </w:r>
            <w:r w:rsidRPr="00570A5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, conforme abaixo [...]</w:t>
            </w:r>
          </w:p>
        </w:tc>
      </w:tr>
      <w:tr w:rsidR="00570A5A" w:rsidRPr="00570A5A" w14:paraId="2B6D81FF" w14:textId="77777777" w:rsidTr="00570A5A">
        <w:trPr>
          <w:trHeight w:val="1275"/>
        </w:trPr>
        <w:tc>
          <w:tcPr>
            <w:tcW w:w="96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E451F" w14:textId="77777777" w:rsidR="00570A5A" w:rsidRPr="00570A5A" w:rsidRDefault="00570A5A" w:rsidP="00570A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70A5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CVM</w:t>
            </w:r>
          </w:p>
        </w:tc>
        <w:tc>
          <w:tcPr>
            <w:tcW w:w="130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CEA6E0" w14:textId="77777777" w:rsidR="00570A5A" w:rsidRPr="00570A5A" w:rsidRDefault="00570A5A" w:rsidP="00570A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70A5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22/11/2017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E4DFE1" w14:textId="77777777" w:rsidR="00570A5A" w:rsidRPr="00570A5A" w:rsidRDefault="00570A5A" w:rsidP="00570A5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0A5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Petrobras</w:t>
            </w:r>
            <w:r w:rsidRPr="00570A5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, em complementação aos Fatos Relevantes divulgados em 28/09/2017 e 16/10/2017, </w:t>
            </w:r>
            <w:r w:rsidRPr="00570A5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informa que realizou, perante a Comissão de Valores Mobiliários (“CVM”), </w:t>
            </w:r>
            <w:r w:rsidRPr="00570A5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o protocolo de documentos relacionados à oferta pública de distribuição secundária de ações ordinárias de emissão da Petrobras Distribuidora S.A.- BR (“Oferta”), </w:t>
            </w:r>
            <w:r w:rsidRPr="00570A5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em cumprimento às exigências expedidas pela CVM</w:t>
            </w:r>
            <w:r w:rsidRPr="00570A5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</w:tr>
    </w:tbl>
    <w:p w14:paraId="6DF45259" w14:textId="510818BE" w:rsidR="008D4AAE" w:rsidRDefault="008D4AAE" w:rsidP="00570A5A">
      <w:pPr>
        <w:spacing w:after="0" w:line="240" w:lineRule="auto"/>
        <w:jc w:val="both"/>
        <w:rPr>
          <w:i/>
          <w:sz w:val="20"/>
          <w:szCs w:val="20"/>
        </w:rPr>
      </w:pPr>
      <w:r w:rsidRPr="008D4AAE">
        <w:rPr>
          <w:b/>
          <w:bCs/>
          <w:iCs/>
          <w:sz w:val="20"/>
          <w:szCs w:val="20"/>
        </w:rPr>
        <w:t>Onde:</w:t>
      </w:r>
      <w:r w:rsidRPr="00DD11B1">
        <w:rPr>
          <w:sz w:val="20"/>
          <w:szCs w:val="20"/>
        </w:rPr>
        <w:t xml:space="preserve"> TCU = Tribunal de Contas da União; CVM = Comissão de Valores Mobiliários.</w:t>
      </w:r>
    </w:p>
    <w:p w14:paraId="38C499EB" w14:textId="78303F2B" w:rsidR="00570A5A" w:rsidRPr="00DD11B1" w:rsidRDefault="00570A5A" w:rsidP="00570A5A">
      <w:pPr>
        <w:spacing w:after="0" w:line="240" w:lineRule="auto"/>
        <w:jc w:val="both"/>
        <w:rPr>
          <w:sz w:val="20"/>
          <w:szCs w:val="20"/>
        </w:rPr>
      </w:pPr>
      <w:r w:rsidRPr="008D4AAE">
        <w:rPr>
          <w:b/>
          <w:bCs/>
          <w:iCs/>
          <w:sz w:val="20"/>
          <w:szCs w:val="20"/>
        </w:rPr>
        <w:t>Fonte:</w:t>
      </w:r>
      <w:r w:rsidRPr="00DD11B1">
        <w:rPr>
          <w:b/>
          <w:sz w:val="20"/>
          <w:szCs w:val="20"/>
        </w:rPr>
        <w:t xml:space="preserve"> </w:t>
      </w:r>
      <w:r w:rsidRPr="00DD11B1">
        <w:rPr>
          <w:sz w:val="20"/>
          <w:szCs w:val="20"/>
        </w:rPr>
        <w:t>Dados da pesquisa.</w:t>
      </w:r>
    </w:p>
    <w:p w14:paraId="44F8B606" w14:textId="0156AA9B" w:rsidR="0064196C" w:rsidRPr="00DD11B1" w:rsidRDefault="0064196C" w:rsidP="009D1D9F">
      <w:pPr>
        <w:spacing w:after="0" w:line="240" w:lineRule="auto"/>
        <w:jc w:val="both"/>
        <w:rPr>
          <w:b/>
          <w:szCs w:val="20"/>
        </w:rPr>
      </w:pPr>
    </w:p>
    <w:p w14:paraId="559431E6" w14:textId="3F458873" w:rsidR="00591A26" w:rsidRPr="00DD11B1" w:rsidRDefault="00272A68" w:rsidP="009D1D9F">
      <w:pPr>
        <w:spacing w:after="0" w:line="240" w:lineRule="auto"/>
        <w:ind w:firstLine="708"/>
        <w:jc w:val="both"/>
        <w:rPr>
          <w:szCs w:val="24"/>
        </w:rPr>
      </w:pPr>
      <w:r w:rsidRPr="00DD11B1">
        <w:rPr>
          <w:szCs w:val="20"/>
        </w:rPr>
        <w:t xml:space="preserve">A subordinação, da mesma forma que a defesa, se desenha como uma justificativa de seu comportamento, ou ainda, uma explicação da necessidade da realização de alguma atitude relevante e que deve ser conhecida por seus </w:t>
      </w:r>
      <w:r w:rsidRPr="00DD11B1">
        <w:rPr>
          <w:i/>
          <w:szCs w:val="24"/>
        </w:rPr>
        <w:t>stakeholder</w:t>
      </w:r>
      <w:r w:rsidRPr="00DD11B1">
        <w:rPr>
          <w:szCs w:val="24"/>
        </w:rPr>
        <w:t>s.</w:t>
      </w:r>
      <w:r w:rsidR="000262AC" w:rsidRPr="00DD11B1">
        <w:rPr>
          <w:szCs w:val="24"/>
        </w:rPr>
        <w:t xml:space="preserve"> Por outro lado, mostra </w:t>
      </w:r>
      <w:r w:rsidR="00E71C1E" w:rsidRPr="00DD11B1">
        <w:rPr>
          <w:szCs w:val="24"/>
        </w:rPr>
        <w:t xml:space="preserve">uma organização que respeita e que </w:t>
      </w:r>
      <w:r w:rsidR="00EA0410" w:rsidRPr="00DD11B1">
        <w:rPr>
          <w:szCs w:val="24"/>
        </w:rPr>
        <w:t>obedece às</w:t>
      </w:r>
      <w:r w:rsidR="00E71C1E" w:rsidRPr="00DD11B1">
        <w:rPr>
          <w:szCs w:val="24"/>
        </w:rPr>
        <w:t xml:space="preserve"> determinações, sugestões e solicitações de que</w:t>
      </w:r>
      <w:r w:rsidR="004D5A7D" w:rsidRPr="00DD11B1">
        <w:rPr>
          <w:szCs w:val="24"/>
        </w:rPr>
        <w:t>m</w:t>
      </w:r>
      <w:r w:rsidR="00E71C1E" w:rsidRPr="00DD11B1">
        <w:rPr>
          <w:szCs w:val="24"/>
        </w:rPr>
        <w:t xml:space="preserve"> o fiscaliza e institui normas que devem ser seguidas.</w:t>
      </w:r>
    </w:p>
    <w:p w14:paraId="625B93CA" w14:textId="5DFEB581" w:rsidR="00E80C59" w:rsidRPr="00DD11B1" w:rsidRDefault="00DC0A3F" w:rsidP="009D1D9F">
      <w:pPr>
        <w:spacing w:after="0" w:line="240" w:lineRule="auto"/>
        <w:jc w:val="both"/>
        <w:rPr>
          <w:szCs w:val="24"/>
        </w:rPr>
      </w:pPr>
      <w:r w:rsidRPr="00DD11B1">
        <w:rPr>
          <w:szCs w:val="24"/>
        </w:rPr>
        <w:tab/>
        <w:t>Essa interpretação</w:t>
      </w:r>
      <w:r w:rsidR="00F5342C" w:rsidRPr="00DD11B1">
        <w:rPr>
          <w:szCs w:val="24"/>
        </w:rPr>
        <w:t xml:space="preserve"> ratifica o exposto por</w:t>
      </w:r>
      <w:r w:rsidRPr="00DD11B1">
        <w:rPr>
          <w:szCs w:val="24"/>
        </w:rPr>
        <w:t xml:space="preserve"> </w:t>
      </w:r>
      <w:r w:rsidR="00F5342C" w:rsidRPr="00DD11B1">
        <w:rPr>
          <w:szCs w:val="24"/>
        </w:rPr>
        <w:t>Thomaz e Brito (2010), os quais colocam que as repetições de condutas corporativas geram uma percepção positiva d</w:t>
      </w:r>
      <w:r w:rsidR="00BE496B" w:rsidRPr="00DD11B1">
        <w:rPr>
          <w:szCs w:val="24"/>
        </w:rPr>
        <w:t>a</w:t>
      </w:r>
      <w:r w:rsidR="00F5342C" w:rsidRPr="00DD11B1">
        <w:rPr>
          <w:szCs w:val="24"/>
        </w:rPr>
        <w:t xml:space="preserve"> empresa</w:t>
      </w:r>
      <w:r w:rsidR="004D5A7D" w:rsidRPr="00DD11B1">
        <w:rPr>
          <w:szCs w:val="24"/>
        </w:rPr>
        <w:t>. Dessa forma</w:t>
      </w:r>
      <w:r w:rsidR="00BE496B" w:rsidRPr="00DD11B1">
        <w:rPr>
          <w:szCs w:val="24"/>
        </w:rPr>
        <w:t>, caso fosse divulgado comportamentos de desconformidade poderia gera</w:t>
      </w:r>
      <w:r w:rsidR="008659E8" w:rsidRPr="00DD11B1">
        <w:rPr>
          <w:szCs w:val="24"/>
        </w:rPr>
        <w:t>r</w:t>
      </w:r>
      <w:r w:rsidR="00BE496B" w:rsidRPr="00DD11B1">
        <w:rPr>
          <w:szCs w:val="24"/>
        </w:rPr>
        <w:t xml:space="preserve"> uma desconfiança por parte de seus investidores o que abalaria a sua lealdade com a companhia</w:t>
      </w:r>
      <w:r w:rsidR="008659E8" w:rsidRPr="00DD11B1">
        <w:rPr>
          <w:szCs w:val="24"/>
        </w:rPr>
        <w:t xml:space="preserve"> e ainda, afetaria as suas de vantagens competitivas</w:t>
      </w:r>
      <w:r w:rsidR="00BE496B" w:rsidRPr="00DD11B1">
        <w:rPr>
          <w:szCs w:val="24"/>
        </w:rPr>
        <w:t>.</w:t>
      </w:r>
      <w:r w:rsidR="00FA7209" w:rsidRPr="00DD11B1">
        <w:rPr>
          <w:szCs w:val="24"/>
        </w:rPr>
        <w:t xml:space="preserve"> </w:t>
      </w:r>
      <w:r w:rsidR="000D2FC4" w:rsidRPr="00DD11B1">
        <w:rPr>
          <w:szCs w:val="24"/>
        </w:rPr>
        <w:t xml:space="preserve">Além disso, </w:t>
      </w:r>
      <w:r w:rsidR="008659E8" w:rsidRPr="00DD11B1">
        <w:rPr>
          <w:szCs w:val="24"/>
        </w:rPr>
        <w:t>escancara-se</w:t>
      </w:r>
      <w:r w:rsidR="000D2FC4" w:rsidRPr="00DD11B1">
        <w:rPr>
          <w:szCs w:val="24"/>
        </w:rPr>
        <w:t xml:space="preserve"> a</w:t>
      </w:r>
      <w:r w:rsidR="008659E8" w:rsidRPr="00DD11B1">
        <w:rPr>
          <w:szCs w:val="24"/>
        </w:rPr>
        <w:t xml:space="preserve"> luta existe</w:t>
      </w:r>
      <w:r w:rsidR="009536D6" w:rsidRPr="00DD11B1">
        <w:rPr>
          <w:szCs w:val="24"/>
        </w:rPr>
        <w:t>nte</w:t>
      </w:r>
      <w:r w:rsidR="008659E8" w:rsidRPr="00DD11B1">
        <w:rPr>
          <w:szCs w:val="24"/>
        </w:rPr>
        <w:t xml:space="preserve"> pela construção</w:t>
      </w:r>
      <w:r w:rsidR="009536D6" w:rsidRPr="00DD11B1">
        <w:rPr>
          <w:szCs w:val="24"/>
        </w:rPr>
        <w:t xml:space="preserve"> de percepções positivas a respeito da entidade por suas partes interessadas (</w:t>
      </w:r>
      <w:r w:rsidR="00731E27" w:rsidRPr="00DD11B1">
        <w:rPr>
          <w:szCs w:val="24"/>
        </w:rPr>
        <w:t>KING</w:t>
      </w:r>
      <w:r w:rsidR="00731E27">
        <w:rPr>
          <w:szCs w:val="24"/>
        </w:rPr>
        <w:t>;</w:t>
      </w:r>
      <w:r w:rsidR="00731E27" w:rsidRPr="00DD11B1">
        <w:rPr>
          <w:szCs w:val="24"/>
        </w:rPr>
        <w:t xml:space="preserve"> WHETTEN</w:t>
      </w:r>
      <w:r w:rsidR="009536D6" w:rsidRPr="00DD11B1">
        <w:rPr>
          <w:szCs w:val="24"/>
        </w:rPr>
        <w:t>, 2008).</w:t>
      </w:r>
      <w:r w:rsidR="008659E8" w:rsidRPr="00DD11B1">
        <w:rPr>
          <w:szCs w:val="24"/>
        </w:rPr>
        <w:t xml:space="preserve"> </w:t>
      </w:r>
      <w:r w:rsidR="0004109A" w:rsidRPr="00DD11B1">
        <w:rPr>
          <w:szCs w:val="24"/>
        </w:rPr>
        <w:t xml:space="preserve">Pode-se compreender essa tentativa </w:t>
      </w:r>
      <w:r w:rsidR="002F2874" w:rsidRPr="00DD11B1">
        <w:rPr>
          <w:szCs w:val="24"/>
        </w:rPr>
        <w:t>na Petrobr</w:t>
      </w:r>
      <w:r w:rsidR="00E80C59" w:rsidRPr="00DD11B1">
        <w:rPr>
          <w:szCs w:val="24"/>
        </w:rPr>
        <w:t>a</w:t>
      </w:r>
      <w:r w:rsidR="002F2874" w:rsidRPr="00DD11B1">
        <w:rPr>
          <w:szCs w:val="24"/>
        </w:rPr>
        <w:t>s</w:t>
      </w:r>
      <w:r w:rsidR="00350F04" w:rsidRPr="00DD11B1">
        <w:rPr>
          <w:szCs w:val="24"/>
        </w:rPr>
        <w:t>, devido a sua importância no aspecto brasileiro e da necessidade de transparência e consonância a atos legítimos necessários, especialmente, desde a divulgação de casos de corrupção em contratos da empresa</w:t>
      </w:r>
      <w:r w:rsidR="00CA4D54" w:rsidRPr="00DD11B1">
        <w:rPr>
          <w:szCs w:val="24"/>
        </w:rPr>
        <w:t xml:space="preserve"> (</w:t>
      </w:r>
      <w:r w:rsidR="00A6313D" w:rsidRPr="00C63020">
        <w:rPr>
          <w:szCs w:val="24"/>
          <w:shd w:val="clear" w:color="auto" w:fill="FFFFFF"/>
        </w:rPr>
        <w:t>C</w:t>
      </w:r>
      <w:r w:rsidR="00A6313D">
        <w:rPr>
          <w:szCs w:val="24"/>
          <w:shd w:val="clear" w:color="auto" w:fill="FFFFFF"/>
        </w:rPr>
        <w:t xml:space="preserve">OSTA; PASSOS; </w:t>
      </w:r>
      <w:r w:rsidR="00A6313D" w:rsidRPr="00A6313D">
        <w:rPr>
          <w:szCs w:val="24"/>
          <w:shd w:val="clear" w:color="auto" w:fill="FFFFFF"/>
        </w:rPr>
        <w:t>RYNGELBLUM</w:t>
      </w:r>
      <w:r w:rsidR="00A6313D">
        <w:rPr>
          <w:szCs w:val="24"/>
          <w:shd w:val="clear" w:color="auto" w:fill="FFFFFF"/>
        </w:rPr>
        <w:t xml:space="preserve">, </w:t>
      </w:r>
      <w:r w:rsidR="00A6313D">
        <w:t>2019</w:t>
      </w:r>
      <w:r w:rsidR="00CA4D54" w:rsidRPr="00DD11B1">
        <w:rPr>
          <w:szCs w:val="24"/>
        </w:rPr>
        <w:t>)</w:t>
      </w:r>
      <w:r w:rsidR="00350F04" w:rsidRPr="00DD11B1">
        <w:rPr>
          <w:szCs w:val="24"/>
        </w:rPr>
        <w:t>.</w:t>
      </w:r>
    </w:p>
    <w:p w14:paraId="07C1415C" w14:textId="77777777" w:rsidR="009052B6" w:rsidRPr="00DD11B1" w:rsidRDefault="009052B6" w:rsidP="009D1D9F">
      <w:pPr>
        <w:spacing w:after="0" w:line="240" w:lineRule="auto"/>
        <w:jc w:val="both"/>
        <w:rPr>
          <w:szCs w:val="24"/>
        </w:rPr>
      </w:pPr>
    </w:p>
    <w:p w14:paraId="3C50A009" w14:textId="104472AC" w:rsidR="0064196C" w:rsidRPr="00DD11B1" w:rsidRDefault="0027248F" w:rsidP="009D1D9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  <w:szCs w:val="20"/>
        </w:rPr>
      </w:pPr>
      <w:r w:rsidRPr="00DD11B1">
        <w:rPr>
          <w:b/>
          <w:szCs w:val="20"/>
        </w:rPr>
        <w:t>Validade da Ação</w:t>
      </w:r>
    </w:p>
    <w:p w14:paraId="2CEFFD83" w14:textId="0DDD59F1" w:rsidR="003A0B31" w:rsidRPr="00DD11B1" w:rsidRDefault="003A0B31" w:rsidP="009D1D9F">
      <w:pPr>
        <w:pStyle w:val="PargrafodaLista"/>
        <w:spacing w:after="0" w:line="240" w:lineRule="auto"/>
        <w:ind w:left="1080"/>
        <w:jc w:val="both"/>
        <w:rPr>
          <w:b/>
          <w:szCs w:val="20"/>
        </w:rPr>
      </w:pPr>
    </w:p>
    <w:p w14:paraId="7FD033BC" w14:textId="6048715E" w:rsidR="003A0B31" w:rsidRPr="00DD11B1" w:rsidRDefault="00543544" w:rsidP="009D1D9F">
      <w:pPr>
        <w:spacing w:after="0" w:line="240" w:lineRule="auto"/>
        <w:ind w:firstLine="708"/>
        <w:jc w:val="both"/>
        <w:rPr>
          <w:szCs w:val="20"/>
        </w:rPr>
      </w:pPr>
      <w:r w:rsidRPr="00DD11B1">
        <w:rPr>
          <w:szCs w:val="20"/>
        </w:rPr>
        <w:t>O último código, de</w:t>
      </w:r>
      <w:r w:rsidR="006E154E" w:rsidRPr="00DD11B1">
        <w:rPr>
          <w:szCs w:val="20"/>
        </w:rPr>
        <w:t>té</w:t>
      </w:r>
      <w:r w:rsidRPr="00DD11B1">
        <w:rPr>
          <w:szCs w:val="20"/>
        </w:rPr>
        <w:t>m a propriedade de ser</w:t>
      </w:r>
      <w:r w:rsidR="005B6E6E" w:rsidRPr="00DD11B1">
        <w:rPr>
          <w:szCs w:val="20"/>
        </w:rPr>
        <w:t>, talvez, o mais relevante entre os outros dois</w:t>
      </w:r>
      <w:r w:rsidR="004B4B94" w:rsidRPr="00DD11B1">
        <w:rPr>
          <w:szCs w:val="20"/>
        </w:rPr>
        <w:t>,</w:t>
      </w:r>
      <w:r w:rsidR="005B6E6E" w:rsidRPr="00DD11B1">
        <w:rPr>
          <w:szCs w:val="20"/>
        </w:rPr>
        <w:t xml:space="preserve"> devido, essencialmente, </w:t>
      </w:r>
      <w:r w:rsidR="004B4B94" w:rsidRPr="00DD11B1">
        <w:rPr>
          <w:szCs w:val="20"/>
        </w:rPr>
        <w:t xml:space="preserve">por estar em grande parte das citações da CVM e do TCU. </w:t>
      </w:r>
      <w:r w:rsidR="006E154E" w:rsidRPr="00DD11B1">
        <w:rPr>
          <w:szCs w:val="20"/>
        </w:rPr>
        <w:t>D</w:t>
      </w:r>
      <w:r w:rsidR="00903A6E" w:rsidRPr="00DD11B1">
        <w:rPr>
          <w:szCs w:val="20"/>
        </w:rPr>
        <w:t xml:space="preserve">as 142 </w:t>
      </w:r>
      <w:r w:rsidR="001A71D4" w:rsidRPr="00DD11B1">
        <w:rPr>
          <w:szCs w:val="20"/>
        </w:rPr>
        <w:t>codificações, 87 se atribuiu ao discurso guiado para a validade das ações em 72 diferentes comunicados ao mercado.</w:t>
      </w:r>
    </w:p>
    <w:p w14:paraId="01CC6F80" w14:textId="53B41764" w:rsidR="009B5D44" w:rsidRPr="00C63020" w:rsidRDefault="009B5D44" w:rsidP="009D1D9F">
      <w:pPr>
        <w:spacing w:after="0" w:line="240" w:lineRule="auto"/>
        <w:jc w:val="both"/>
        <w:rPr>
          <w:sz w:val="22"/>
          <w:szCs w:val="20"/>
        </w:rPr>
      </w:pPr>
    </w:p>
    <w:p w14:paraId="3EF23FDA" w14:textId="0E2EB007" w:rsidR="00C54AC2" w:rsidRPr="008D4AAE" w:rsidRDefault="008D4AAE" w:rsidP="008D4AAE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8D4AAE">
        <w:rPr>
          <w:b/>
          <w:bCs/>
          <w:sz w:val="20"/>
          <w:szCs w:val="20"/>
        </w:rPr>
        <w:t>TABELA 3 - EXEMPLOS DE SEGUIMENTOS CODIFICADOS – VALIDADE DA AÇÃO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08"/>
        <w:gridCol w:w="6804"/>
      </w:tblGrid>
      <w:tr w:rsidR="000A5D1B" w:rsidRPr="000A5D1B" w14:paraId="17836FDD" w14:textId="77777777" w:rsidTr="000A5D1B">
        <w:trPr>
          <w:trHeight w:val="203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9ED73" w14:textId="77777777" w:rsidR="000A5D1B" w:rsidRPr="000A5D1B" w:rsidRDefault="000A5D1B" w:rsidP="000A5D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A5D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Órgão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72720" w14:textId="77777777" w:rsidR="000A5D1B" w:rsidRPr="000A5D1B" w:rsidRDefault="000A5D1B" w:rsidP="000A5D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A5D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Data do Comunicado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4C201" w14:textId="77777777" w:rsidR="000A5D1B" w:rsidRPr="000A5D1B" w:rsidRDefault="000A5D1B" w:rsidP="000A5D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A5D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Seguimento Codificado</w:t>
            </w:r>
          </w:p>
        </w:tc>
      </w:tr>
      <w:tr w:rsidR="000A5D1B" w:rsidRPr="000A5D1B" w14:paraId="66A1E63A" w14:textId="77777777" w:rsidTr="000A5D1B">
        <w:trPr>
          <w:trHeight w:val="47"/>
        </w:trPr>
        <w:tc>
          <w:tcPr>
            <w:tcW w:w="96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74069" w14:textId="77777777" w:rsidR="000A5D1B" w:rsidRPr="000A5D1B" w:rsidRDefault="000A5D1B" w:rsidP="000A5D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0A5D1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TCU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ECECB" w14:textId="77777777" w:rsidR="000A5D1B" w:rsidRPr="000A5D1B" w:rsidRDefault="000A5D1B" w:rsidP="000A5D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0A5D1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19/07/2005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F002A2" w14:textId="77777777" w:rsidR="000A5D1B" w:rsidRPr="000A5D1B" w:rsidRDefault="000A5D1B" w:rsidP="000A5D1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0A5D1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O contrato da Plataforma P-34 foi auditado pelo Tribunal de Contas da União (TCU) e nenhuma irregularidade foi encontrada.</w:t>
            </w:r>
          </w:p>
        </w:tc>
      </w:tr>
      <w:tr w:rsidR="000A5D1B" w:rsidRPr="000A5D1B" w14:paraId="4CD97EE6" w14:textId="77777777" w:rsidTr="00C63020">
        <w:trPr>
          <w:trHeight w:val="238"/>
        </w:trPr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A360E" w14:textId="77777777" w:rsidR="000A5D1B" w:rsidRPr="000A5D1B" w:rsidRDefault="000A5D1B" w:rsidP="000A5D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0A5D1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TCU</w:t>
            </w:r>
          </w:p>
        </w:tc>
        <w:tc>
          <w:tcPr>
            <w:tcW w:w="13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8A202" w14:textId="77777777" w:rsidR="000A5D1B" w:rsidRPr="000A5D1B" w:rsidRDefault="000A5D1B" w:rsidP="000A5D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0A5D1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22/02/2017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FC085B" w14:textId="77777777" w:rsidR="000A5D1B" w:rsidRPr="000A5D1B" w:rsidRDefault="000A5D1B" w:rsidP="000A5D1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0A5D1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O projeto faz parte das cinco transações que </w:t>
            </w:r>
            <w:r w:rsidRPr="000A5D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podem ter seus contratos assinados de acordo com a decisão cautelar do Tribunal de Contas da União (TCU)</w:t>
            </w:r>
            <w:r w:rsidRPr="000A5D1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, conforme divulgado em fato relevante de 20/12/2016.</w:t>
            </w:r>
          </w:p>
        </w:tc>
      </w:tr>
      <w:tr w:rsidR="000A5D1B" w:rsidRPr="000A5D1B" w14:paraId="712C2596" w14:textId="77777777" w:rsidTr="00C63020">
        <w:trPr>
          <w:trHeight w:val="120"/>
        </w:trPr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6105A" w14:textId="77777777" w:rsidR="000A5D1B" w:rsidRPr="000A5D1B" w:rsidRDefault="000A5D1B" w:rsidP="000A5D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0A5D1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TCU</w:t>
            </w:r>
          </w:p>
        </w:tc>
        <w:tc>
          <w:tcPr>
            <w:tcW w:w="13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E1B84" w14:textId="77777777" w:rsidR="000A5D1B" w:rsidRPr="000A5D1B" w:rsidRDefault="000A5D1B" w:rsidP="000A5D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0A5D1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15/03/2017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429A75" w14:textId="77777777" w:rsidR="000A5D1B" w:rsidRPr="000A5D1B" w:rsidRDefault="000A5D1B" w:rsidP="000A5D1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0A5D1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A decisão permite, também, que a Petrobras conclua dois de seus projetos – venda de participação nos campos de </w:t>
            </w:r>
            <w:proofErr w:type="spellStart"/>
            <w:r w:rsidRPr="000A5D1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Baúna</w:t>
            </w:r>
            <w:proofErr w:type="spellEnd"/>
            <w:r w:rsidRPr="000A5D1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e Tartaruga Verde e de participação no Campo de Saint Malo no Golfo do México norte-americano – </w:t>
            </w:r>
            <w:r w:rsidRPr="000A5D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que já constavam da lista dos cinco projetos autorizados pelo TCU</w:t>
            </w:r>
            <w:r w:rsidRPr="000A5D1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na cautelar de 07/12/2016 [...].</w:t>
            </w:r>
          </w:p>
        </w:tc>
      </w:tr>
      <w:tr w:rsidR="000A5D1B" w:rsidRPr="000A5D1B" w14:paraId="06F47013" w14:textId="77777777" w:rsidTr="00C63020">
        <w:trPr>
          <w:trHeight w:val="318"/>
        </w:trPr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AD657" w14:textId="77777777" w:rsidR="000A5D1B" w:rsidRPr="000A5D1B" w:rsidRDefault="000A5D1B" w:rsidP="000A5D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0A5D1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TCU</w:t>
            </w:r>
          </w:p>
        </w:tc>
        <w:tc>
          <w:tcPr>
            <w:tcW w:w="13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DA258" w14:textId="77777777" w:rsidR="000A5D1B" w:rsidRPr="000A5D1B" w:rsidRDefault="000A5D1B" w:rsidP="000A5D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0A5D1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05/09/2017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79E289" w14:textId="77777777" w:rsidR="000A5D1B" w:rsidRPr="000A5D1B" w:rsidRDefault="000A5D1B" w:rsidP="000A5D1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0A5D1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Essa forma de divulgação está em consonância com a sistemática para desinvestimentos da Petrobras, que foi revisada e aprovada pela Diretoria Executiva da companhia e está alinhada às orientações do Tribunal de Contas da União (TCU).</w:t>
            </w:r>
          </w:p>
        </w:tc>
      </w:tr>
      <w:tr w:rsidR="000A5D1B" w:rsidRPr="000A5D1B" w14:paraId="10676E3C" w14:textId="77777777" w:rsidTr="000A5D1B">
        <w:trPr>
          <w:trHeight w:val="193"/>
        </w:trPr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C3542" w14:textId="77777777" w:rsidR="000A5D1B" w:rsidRPr="000A5D1B" w:rsidRDefault="000A5D1B" w:rsidP="000A5D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0A5D1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TCU</w:t>
            </w:r>
          </w:p>
        </w:tc>
        <w:tc>
          <w:tcPr>
            <w:tcW w:w="13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41332" w14:textId="77777777" w:rsidR="000A5D1B" w:rsidRPr="000A5D1B" w:rsidRDefault="000A5D1B" w:rsidP="000A5D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0A5D1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04/10/2017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31466C" w14:textId="77777777" w:rsidR="000A5D1B" w:rsidRPr="000A5D1B" w:rsidRDefault="000A5D1B" w:rsidP="000A5D1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0A5D1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A presente divulgação ao mercado está em consonância com </w:t>
            </w:r>
            <w:r w:rsidRPr="000A5D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 sistemática para desinvestimentos da Petrobras e está alinhada às orientações do Tribunal de Contas da União (TCU)</w:t>
            </w:r>
            <w:r w:rsidRPr="000A5D1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</w:tr>
      <w:tr w:rsidR="000A5D1B" w:rsidRPr="000A5D1B" w14:paraId="4B74C49D" w14:textId="77777777" w:rsidTr="00C63020">
        <w:trPr>
          <w:trHeight w:val="182"/>
        </w:trPr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CB4D5" w14:textId="77777777" w:rsidR="000A5D1B" w:rsidRPr="000A5D1B" w:rsidRDefault="000A5D1B" w:rsidP="000A5D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0A5D1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CVM</w:t>
            </w:r>
          </w:p>
        </w:tc>
        <w:tc>
          <w:tcPr>
            <w:tcW w:w="13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242B1" w14:textId="77777777" w:rsidR="000A5D1B" w:rsidRPr="000A5D1B" w:rsidRDefault="000A5D1B" w:rsidP="000A5D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0A5D1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17/10/2008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B56F20" w14:textId="77777777" w:rsidR="000A5D1B" w:rsidRPr="000A5D1B" w:rsidRDefault="000A5D1B" w:rsidP="000A5D1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A5D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A inexigibilidade da elaboração de demonstrações financeiras auditadas e do laudo de avaliação do patrimônio líquido a preços de mercado foi motivo de </w:t>
            </w:r>
            <w:r w:rsidRPr="000A5D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br/>
              <w:t>consulta à CVM, no âmbito do Processo CVM RJ 2008-8517, que se manifestou favoravelmente ao pleito da PETROBRAS.</w:t>
            </w:r>
          </w:p>
        </w:tc>
      </w:tr>
      <w:tr w:rsidR="000A5D1B" w:rsidRPr="000A5D1B" w14:paraId="3A7A26C7" w14:textId="77777777" w:rsidTr="00C63020">
        <w:trPr>
          <w:trHeight w:val="110"/>
        </w:trPr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79865" w14:textId="77777777" w:rsidR="000A5D1B" w:rsidRPr="000A5D1B" w:rsidRDefault="000A5D1B" w:rsidP="000A5D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0A5D1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CVM</w:t>
            </w:r>
          </w:p>
        </w:tc>
        <w:tc>
          <w:tcPr>
            <w:tcW w:w="13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E4C70" w14:textId="77777777" w:rsidR="000A5D1B" w:rsidRPr="000A5D1B" w:rsidRDefault="000A5D1B" w:rsidP="000A5D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0A5D1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11/07/2017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170DD3" w14:textId="77777777" w:rsidR="000A5D1B" w:rsidRPr="000A5D1B" w:rsidRDefault="000A5D1B" w:rsidP="000A5D1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A5D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O Colegiado da CVM acolheu, de forma unânime</w:t>
            </w:r>
            <w:r w:rsidRPr="000A5D1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, os argumentos de defesa da companhia, </w:t>
            </w:r>
            <w:r w:rsidRPr="000A5D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reiterando o posicionamento da Petrobras no sentido de que a interpretação da matéria veiculada no Prospecto foi razoável, fundamentada e legítima </w:t>
            </w:r>
            <w:r w:rsidRPr="000A5D1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[...].</w:t>
            </w:r>
          </w:p>
        </w:tc>
      </w:tr>
      <w:tr w:rsidR="000A5D1B" w:rsidRPr="000A5D1B" w14:paraId="12EDDA8B" w14:textId="77777777" w:rsidTr="00C63020">
        <w:trPr>
          <w:trHeight w:val="47"/>
        </w:trPr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E72F0" w14:textId="77777777" w:rsidR="000A5D1B" w:rsidRPr="000A5D1B" w:rsidRDefault="000A5D1B" w:rsidP="000A5D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0A5D1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CVM</w:t>
            </w:r>
          </w:p>
        </w:tc>
        <w:tc>
          <w:tcPr>
            <w:tcW w:w="13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C4870" w14:textId="77777777" w:rsidR="000A5D1B" w:rsidRPr="000A5D1B" w:rsidRDefault="000A5D1B" w:rsidP="000A5D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0A5D1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26/07/2017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73D637" w14:textId="77777777" w:rsidR="000A5D1B" w:rsidRPr="000A5D1B" w:rsidRDefault="000A5D1B" w:rsidP="000A5D1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0A5D1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[...] no montante total de até R$ 5.000.000.000,00 (cinco bilhões de reais) para distribuição pública, com esforços restritos de distribuição, nos termos da Instrução da CVM nº 476, de 16 de janeiro de 2009.  </w:t>
            </w:r>
          </w:p>
        </w:tc>
      </w:tr>
      <w:tr w:rsidR="000A5D1B" w:rsidRPr="000A5D1B" w14:paraId="3A5C5D64" w14:textId="77777777" w:rsidTr="000A5D1B">
        <w:trPr>
          <w:trHeight w:val="47"/>
        </w:trPr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5C2D0" w14:textId="77777777" w:rsidR="000A5D1B" w:rsidRPr="000A5D1B" w:rsidRDefault="000A5D1B" w:rsidP="000A5D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0A5D1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CVM</w:t>
            </w:r>
          </w:p>
        </w:tc>
        <w:tc>
          <w:tcPr>
            <w:tcW w:w="130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87DF" w14:textId="77777777" w:rsidR="000A5D1B" w:rsidRPr="000A5D1B" w:rsidRDefault="000A5D1B" w:rsidP="000A5D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0A5D1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16/10/2017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C3579" w14:textId="77777777" w:rsidR="000A5D1B" w:rsidRPr="000A5D1B" w:rsidRDefault="000A5D1B" w:rsidP="000A5D1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0A5D1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[...] foram protocolados, perante a Comissão de Valores Mobiliários (“CVM”), nesta data: a) pela Petrobras, o pedido de registro de distribuição pública secundária de ações ordinárias de emissão da BR, a ser realizada no Brasil, em mercado de balcão não organizado, </w:t>
            </w:r>
            <w:r w:rsidRPr="000A5D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nos termos da Instrução CVM nº 400</w:t>
            </w:r>
            <w:r w:rsidRPr="000A5D1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, de 7 de dezembro de 2009.</w:t>
            </w:r>
          </w:p>
        </w:tc>
      </w:tr>
      <w:tr w:rsidR="000A5D1B" w:rsidRPr="000A5D1B" w14:paraId="44E5FAD5" w14:textId="77777777" w:rsidTr="000A5D1B">
        <w:trPr>
          <w:trHeight w:val="47"/>
        </w:trPr>
        <w:tc>
          <w:tcPr>
            <w:tcW w:w="96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79787" w14:textId="77777777" w:rsidR="000A5D1B" w:rsidRPr="000A5D1B" w:rsidRDefault="000A5D1B" w:rsidP="000A5D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0A5D1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CVM</w:t>
            </w:r>
          </w:p>
        </w:tc>
        <w:tc>
          <w:tcPr>
            <w:tcW w:w="130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CD37B" w14:textId="77777777" w:rsidR="000A5D1B" w:rsidRPr="000A5D1B" w:rsidRDefault="000A5D1B" w:rsidP="000A5D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0A5D1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06/12/2018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4A13CA" w14:textId="77777777" w:rsidR="000A5D1B" w:rsidRPr="000A5D1B" w:rsidRDefault="000A5D1B" w:rsidP="000A5D1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0A5D1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[...] Petrobras, </w:t>
            </w:r>
            <w:r w:rsidRPr="000A5D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em cumprimento ao artigo 12 da Instrução CVM</w:t>
            </w:r>
            <w:r w:rsidRPr="000A5D1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nº 358, de 03/01/2002, informa que foi comunicada pela [...].</w:t>
            </w:r>
          </w:p>
        </w:tc>
      </w:tr>
    </w:tbl>
    <w:p w14:paraId="6258962E" w14:textId="7B86434A" w:rsidR="008D4AAE" w:rsidRDefault="008D4AAE" w:rsidP="000A5D1B">
      <w:pPr>
        <w:spacing w:after="0" w:line="240" w:lineRule="auto"/>
        <w:jc w:val="both"/>
        <w:rPr>
          <w:i/>
          <w:sz w:val="20"/>
          <w:szCs w:val="20"/>
        </w:rPr>
      </w:pPr>
      <w:r w:rsidRPr="008D4AAE">
        <w:rPr>
          <w:b/>
          <w:bCs/>
          <w:iCs/>
          <w:sz w:val="20"/>
          <w:szCs w:val="20"/>
        </w:rPr>
        <w:t>Onde:</w:t>
      </w:r>
      <w:r w:rsidRPr="00DD11B1">
        <w:rPr>
          <w:sz w:val="20"/>
          <w:szCs w:val="20"/>
        </w:rPr>
        <w:t xml:space="preserve"> TCU = Tribunal de Contas da União; CVM = Comissão de Valores Mobiliários.</w:t>
      </w:r>
    </w:p>
    <w:p w14:paraId="4EE68F0A" w14:textId="3023A408" w:rsidR="000A5D1B" w:rsidRPr="00DD11B1" w:rsidRDefault="000A5D1B" w:rsidP="000A5D1B">
      <w:pPr>
        <w:spacing w:after="0" w:line="240" w:lineRule="auto"/>
        <w:jc w:val="both"/>
        <w:rPr>
          <w:sz w:val="20"/>
          <w:szCs w:val="20"/>
        </w:rPr>
      </w:pPr>
      <w:r w:rsidRPr="008D4AAE">
        <w:rPr>
          <w:b/>
          <w:bCs/>
          <w:iCs/>
          <w:sz w:val="20"/>
          <w:szCs w:val="20"/>
        </w:rPr>
        <w:t>Fonte:</w:t>
      </w:r>
      <w:r w:rsidRPr="00DD11B1">
        <w:rPr>
          <w:b/>
          <w:sz w:val="20"/>
          <w:szCs w:val="20"/>
        </w:rPr>
        <w:t xml:space="preserve"> </w:t>
      </w:r>
      <w:r w:rsidRPr="00DD11B1">
        <w:rPr>
          <w:sz w:val="20"/>
          <w:szCs w:val="20"/>
        </w:rPr>
        <w:t>Dados da pesquisa.</w:t>
      </w:r>
    </w:p>
    <w:p w14:paraId="5E1B14B1" w14:textId="3A5DB606" w:rsidR="00AF7AB0" w:rsidRPr="00DD11B1" w:rsidRDefault="00065C34" w:rsidP="009D1D9F">
      <w:pPr>
        <w:spacing w:after="0" w:line="240" w:lineRule="auto"/>
        <w:jc w:val="both"/>
      </w:pPr>
      <w:r w:rsidRPr="00DD11B1">
        <w:rPr>
          <w:b/>
          <w:szCs w:val="20"/>
        </w:rPr>
        <w:br/>
      </w:r>
      <w:r w:rsidR="008F282C" w:rsidRPr="00DD11B1">
        <w:rPr>
          <w:b/>
          <w:szCs w:val="20"/>
        </w:rPr>
        <w:tab/>
      </w:r>
      <w:r w:rsidR="00CA4D54" w:rsidRPr="00DD11B1">
        <w:rPr>
          <w:szCs w:val="20"/>
        </w:rPr>
        <w:t xml:space="preserve">Com </w:t>
      </w:r>
      <w:r w:rsidR="00B2511E" w:rsidRPr="00DD11B1">
        <w:rPr>
          <w:szCs w:val="20"/>
        </w:rPr>
        <w:t xml:space="preserve">o auxílio da </w:t>
      </w:r>
      <w:r w:rsidR="00C54AC2" w:rsidRPr="00DD11B1">
        <w:rPr>
          <w:szCs w:val="20"/>
        </w:rPr>
        <w:t>Tabela 3</w:t>
      </w:r>
      <w:r w:rsidR="00CA4D54" w:rsidRPr="00DD11B1">
        <w:rPr>
          <w:szCs w:val="20"/>
        </w:rPr>
        <w:t>, consegue-se perceber</w:t>
      </w:r>
      <w:r w:rsidR="00B2511E" w:rsidRPr="00DD11B1">
        <w:rPr>
          <w:szCs w:val="20"/>
        </w:rPr>
        <w:t xml:space="preserve"> que </w:t>
      </w:r>
      <w:r w:rsidR="008F282C" w:rsidRPr="00DD11B1">
        <w:rPr>
          <w:szCs w:val="20"/>
        </w:rPr>
        <w:t xml:space="preserve">o discurso orientado para a validade de uma determinada ação, permeia </w:t>
      </w:r>
      <w:r w:rsidR="00471A37" w:rsidRPr="00DD11B1">
        <w:rPr>
          <w:szCs w:val="20"/>
        </w:rPr>
        <w:t>as outras duas direções – defesa e subordinação</w:t>
      </w:r>
      <w:r w:rsidR="00B2511E" w:rsidRPr="00DD11B1">
        <w:rPr>
          <w:szCs w:val="20"/>
        </w:rPr>
        <w:t xml:space="preserve"> –</w:t>
      </w:r>
      <w:r w:rsidR="00471A37" w:rsidRPr="00DD11B1">
        <w:rPr>
          <w:szCs w:val="20"/>
        </w:rPr>
        <w:t>,</w:t>
      </w:r>
      <w:r w:rsidR="00B2511E" w:rsidRPr="00DD11B1">
        <w:rPr>
          <w:szCs w:val="20"/>
        </w:rPr>
        <w:t xml:space="preserve"> sendo de certo modo complementares na tentativa de </w:t>
      </w:r>
      <w:r w:rsidR="00197EA1" w:rsidRPr="00DD11B1">
        <w:rPr>
          <w:szCs w:val="20"/>
        </w:rPr>
        <w:t>justificar</w:t>
      </w:r>
      <w:r w:rsidR="00D961F4" w:rsidRPr="00DD11B1">
        <w:rPr>
          <w:szCs w:val="20"/>
        </w:rPr>
        <w:t xml:space="preserve"> as suas ações ao mercado</w:t>
      </w:r>
      <w:r w:rsidR="00AF7AB0" w:rsidRPr="00DD11B1">
        <w:rPr>
          <w:szCs w:val="20"/>
        </w:rPr>
        <w:t xml:space="preserve">. </w:t>
      </w:r>
      <w:r w:rsidR="005D6679" w:rsidRPr="00DD11B1">
        <w:t>Infere-se que as corporações têm a necessidade de validar suas ações, posto que sem a aprovação externa daquilo que é executado, podem decorrer consequências que</w:t>
      </w:r>
      <w:r w:rsidR="00746B2A" w:rsidRPr="00DD11B1">
        <w:t xml:space="preserve"> venham a</w:t>
      </w:r>
      <w:r w:rsidR="005D6679" w:rsidRPr="00DD11B1">
        <w:t xml:space="preserve"> afetar todas as áreas de uma empresa</w:t>
      </w:r>
      <w:r w:rsidR="000467DA">
        <w:t xml:space="preserve">, representativa de seu sistema de governança constituído da pluralidade de atores com distintas racionalidades </w:t>
      </w:r>
      <w:r w:rsidR="000467DA" w:rsidRPr="0054722F">
        <w:t>(E</w:t>
      </w:r>
      <w:r w:rsidR="00731E27" w:rsidRPr="0054722F">
        <w:t>NROTH</w:t>
      </w:r>
      <w:r w:rsidR="000467DA" w:rsidRPr="0054722F">
        <w:t>, 2011)</w:t>
      </w:r>
      <w:r w:rsidR="005D6679" w:rsidRPr="00DD11B1">
        <w:t xml:space="preserve">. </w:t>
      </w:r>
      <w:r w:rsidR="00001508" w:rsidRPr="00DD11B1">
        <w:t xml:space="preserve">Assim, a </w:t>
      </w:r>
      <w:r w:rsidR="00437434" w:rsidRPr="00DD11B1">
        <w:t>alusão aos</w:t>
      </w:r>
      <w:r w:rsidR="005D6679" w:rsidRPr="00DD11B1">
        <w:t xml:space="preserve"> </w:t>
      </w:r>
      <w:r w:rsidR="00437434" w:rsidRPr="00DD11B1">
        <w:t>órgãos reguladores</w:t>
      </w:r>
      <w:r w:rsidR="005D6679" w:rsidRPr="00DD11B1">
        <w:t xml:space="preserve"> funciona como uma</w:t>
      </w:r>
      <w:r w:rsidR="00437434" w:rsidRPr="00DD11B1">
        <w:t xml:space="preserve"> legitimadora das ações organizacionais, ao demonstrar</w:t>
      </w:r>
      <w:r w:rsidR="00746B2A" w:rsidRPr="00DD11B1">
        <w:t xml:space="preserve"> que a ação já foi validada por outros agentes</w:t>
      </w:r>
      <w:r w:rsidR="00437434" w:rsidRPr="00DD11B1">
        <w:t xml:space="preserve"> – </w:t>
      </w:r>
      <w:r w:rsidR="001C682E" w:rsidRPr="00DD11B1">
        <w:t>podendo ser caracterizada como um mecanismo coercitivo do discurso</w:t>
      </w:r>
      <w:r w:rsidR="003674F2" w:rsidRPr="00DD11B1">
        <w:t xml:space="preserve"> que se vale da intertextualidade</w:t>
      </w:r>
      <w:r w:rsidR="001C682E" w:rsidRPr="00DD11B1">
        <w:t xml:space="preserve"> (</w:t>
      </w:r>
      <w:r w:rsidR="00227990" w:rsidRPr="00DD11B1">
        <w:t>PHILLIPS</w:t>
      </w:r>
      <w:r w:rsidR="00227990">
        <w:t>;</w:t>
      </w:r>
      <w:r w:rsidR="00227990" w:rsidRPr="00DD11B1">
        <w:t xml:space="preserve"> LAWRENCE</w:t>
      </w:r>
      <w:r w:rsidR="00227990">
        <w:t xml:space="preserve">; </w:t>
      </w:r>
      <w:r w:rsidR="00227990" w:rsidRPr="00DD11B1">
        <w:t>HARDY</w:t>
      </w:r>
      <w:r w:rsidR="00227990">
        <w:t xml:space="preserve">, </w:t>
      </w:r>
      <w:r w:rsidR="00227990" w:rsidRPr="008A1168">
        <w:t>2004</w:t>
      </w:r>
      <w:r w:rsidR="001C682E" w:rsidRPr="00DD11B1">
        <w:t>)</w:t>
      </w:r>
      <w:r w:rsidR="003674F2" w:rsidRPr="00DD11B1">
        <w:t>, o qual é</w:t>
      </w:r>
      <w:r w:rsidR="001C682E" w:rsidRPr="00DD11B1">
        <w:t xml:space="preserve"> utilizad</w:t>
      </w:r>
      <w:r w:rsidR="007053A8" w:rsidRPr="00DD11B1">
        <w:t>o</w:t>
      </w:r>
      <w:r w:rsidR="001C682E" w:rsidRPr="00DD11B1">
        <w:t xml:space="preserve"> pela empresa para influenciar as percepções de seus </w:t>
      </w:r>
      <w:r w:rsidR="001C682E" w:rsidRPr="00DD11B1">
        <w:rPr>
          <w:i/>
        </w:rPr>
        <w:t>stakeholders</w:t>
      </w:r>
      <w:r w:rsidR="001C682E" w:rsidRPr="00DD11B1">
        <w:t xml:space="preserve"> (</w:t>
      </w:r>
      <w:r w:rsidR="00227990" w:rsidRPr="00BA3676">
        <w:t>CHO</w:t>
      </w:r>
      <w:r w:rsidR="00227990">
        <w:t>;</w:t>
      </w:r>
      <w:r w:rsidR="00227990" w:rsidRPr="00BA3676">
        <w:t xml:space="preserve"> ROBERTS</w:t>
      </w:r>
      <w:r w:rsidR="00227990">
        <w:t>;</w:t>
      </w:r>
      <w:r w:rsidR="00227990" w:rsidRPr="00BA3676">
        <w:t xml:space="preserve"> PATTEN</w:t>
      </w:r>
      <w:r w:rsidR="00BB76AD" w:rsidRPr="00DD11B1">
        <w:t>,</w:t>
      </w:r>
      <w:r w:rsidR="001C682E" w:rsidRPr="00DD11B1">
        <w:t xml:space="preserve"> 2010).</w:t>
      </w:r>
    </w:p>
    <w:p w14:paraId="12DA794E" w14:textId="77777777" w:rsidR="00E80C59" w:rsidRPr="00DD11B1" w:rsidRDefault="00E80C59" w:rsidP="009D1D9F">
      <w:pPr>
        <w:spacing w:after="0" w:line="240" w:lineRule="auto"/>
        <w:jc w:val="both"/>
      </w:pPr>
    </w:p>
    <w:p w14:paraId="6450D8A9" w14:textId="0E27B14F" w:rsidR="00E80C59" w:rsidRPr="00DD11B1" w:rsidRDefault="00D734FC" w:rsidP="009D1D9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  <w:szCs w:val="20"/>
        </w:rPr>
      </w:pPr>
      <w:r w:rsidRPr="00DD11B1">
        <w:rPr>
          <w:b/>
          <w:szCs w:val="20"/>
        </w:rPr>
        <w:t>Comportamento</w:t>
      </w:r>
      <w:r w:rsidR="009B5D44" w:rsidRPr="00DD11B1">
        <w:rPr>
          <w:b/>
          <w:szCs w:val="20"/>
        </w:rPr>
        <w:t xml:space="preserve"> </w:t>
      </w:r>
    </w:p>
    <w:p w14:paraId="4740A199" w14:textId="715DB48C" w:rsidR="000E3FEF" w:rsidRPr="00DD11B1" w:rsidRDefault="000E3FEF" w:rsidP="009D1D9F">
      <w:pPr>
        <w:spacing w:after="0" w:line="240" w:lineRule="auto"/>
        <w:ind w:left="708" w:hanging="708"/>
        <w:jc w:val="both"/>
        <w:rPr>
          <w:b/>
          <w:szCs w:val="20"/>
        </w:rPr>
      </w:pPr>
    </w:p>
    <w:p w14:paraId="514B2136" w14:textId="513843A3" w:rsidR="00367D32" w:rsidRPr="00DD11B1" w:rsidRDefault="00367D32" w:rsidP="009D1D9F">
      <w:pPr>
        <w:spacing w:after="0" w:line="240" w:lineRule="auto"/>
        <w:ind w:firstLine="709"/>
        <w:jc w:val="both"/>
      </w:pPr>
      <w:r w:rsidRPr="00DD11B1">
        <w:rPr>
          <w:szCs w:val="20"/>
        </w:rPr>
        <w:t>Dentro das citações contidas nos comunicações e fatos relevantes divulgados, pode-se perceber diferenças entre os pontos que envolvem o TCU e a CVM.</w:t>
      </w:r>
      <w:r w:rsidRPr="00DD11B1">
        <w:t xml:space="preserve"> Quando a Petrobr</w:t>
      </w:r>
      <w:r w:rsidR="00E80C59" w:rsidRPr="00DD11B1">
        <w:t>a</w:t>
      </w:r>
      <w:r w:rsidRPr="00DD11B1">
        <w:t>s se refere ao primeiro órgão, alude-se a perspectivas de conformidade com as descrições proferidas sobre a empresa e que inter</w:t>
      </w:r>
      <w:r w:rsidR="00A5354D">
        <w:t>f</w:t>
      </w:r>
      <w:r w:rsidRPr="00DD11B1">
        <w:t xml:space="preserve">erem em descrições administrativas. Já ao segundo órgão, associa-se, principalmente, as conformidades de normativas emitidas por esse e que também interferem na tomada de decisão. Além disso, nas menções à CVM, acomete-se como fato relevante os pedidos de esclarecimento sobre determinada ação ou notícia vinculada na mídia e que não é de conhecimento desse agente – o que não </w:t>
      </w:r>
      <w:r w:rsidR="00876620" w:rsidRPr="00DD11B1">
        <w:t>ocorre</w:t>
      </w:r>
      <w:r w:rsidRPr="00DD11B1">
        <w:t xml:space="preserve"> em relação ao TCU.</w:t>
      </w:r>
    </w:p>
    <w:p w14:paraId="60399786" w14:textId="4D418C2E" w:rsidR="00367D32" w:rsidRPr="00B54DA2" w:rsidRDefault="00367D32" w:rsidP="009D1D9F">
      <w:pPr>
        <w:spacing w:after="0" w:line="240" w:lineRule="auto"/>
        <w:ind w:firstLine="709"/>
        <w:jc w:val="both"/>
      </w:pPr>
      <w:r w:rsidRPr="00B54DA2">
        <w:t xml:space="preserve">Diante disso, percebe-se que o </w:t>
      </w:r>
      <w:r w:rsidR="00D734FC" w:rsidRPr="00B54DA2">
        <w:t xml:space="preserve">comportamento </w:t>
      </w:r>
      <w:r w:rsidRPr="00B54DA2">
        <w:t xml:space="preserve">decorre de formas diferentes. </w:t>
      </w:r>
      <w:r w:rsidR="00034D45" w:rsidRPr="00B54DA2">
        <w:t>Caso fosse</w:t>
      </w:r>
      <w:r w:rsidR="00475B4D" w:rsidRPr="00B54DA2">
        <w:t xml:space="preserve"> </w:t>
      </w:r>
      <w:r w:rsidR="00A5354D" w:rsidRPr="00B54DA2">
        <w:t xml:space="preserve">analisado </w:t>
      </w:r>
      <w:r w:rsidR="00034D45" w:rsidRPr="00B54DA2">
        <w:t xml:space="preserve">único e exclusivamente o número de citações, poder-se-ia defender que a atenção maior é dada pela organização para a Comissão de Valores Mobiliários. Todavia, por outra perspectiva, é possível compreender que a validade de uma determinada ação recai nas alegações </w:t>
      </w:r>
      <w:r w:rsidR="00A5354D" w:rsidRPr="00B54DA2">
        <w:t>em</w:t>
      </w:r>
      <w:r w:rsidR="00034D45" w:rsidRPr="00B54DA2">
        <w:t xml:space="preserve"> consonância </w:t>
      </w:r>
      <w:r w:rsidR="00E80C59" w:rsidRPr="00B54DA2">
        <w:t>às</w:t>
      </w:r>
      <w:r w:rsidR="00034D45" w:rsidRPr="00B54DA2">
        <w:t xml:space="preserve"> deliberações do Tribunal de Contas da União.</w:t>
      </w:r>
    </w:p>
    <w:p w14:paraId="3FBD5C8A" w14:textId="30451D64" w:rsidR="00034D45" w:rsidRPr="00B54DA2" w:rsidRDefault="00F4388C" w:rsidP="009D1D9F">
      <w:pPr>
        <w:spacing w:after="0" w:line="240" w:lineRule="auto"/>
        <w:ind w:firstLine="709"/>
        <w:jc w:val="both"/>
      </w:pPr>
      <w:r w:rsidRPr="00B54DA2">
        <w:t>Frequentemente, os assuntos que norteiam as referências ao TCU são da sistemátic</w:t>
      </w:r>
      <w:r w:rsidR="00703629" w:rsidRPr="00B54DA2">
        <w:t xml:space="preserve">a de desinvestimento de ativos </w:t>
      </w:r>
      <w:r w:rsidRPr="00B54DA2">
        <w:t xml:space="preserve">e empresas do sistema </w:t>
      </w:r>
      <w:r w:rsidR="00B54DA2" w:rsidRPr="00B54DA2">
        <w:t>Petrobras</w:t>
      </w:r>
      <w:r w:rsidRPr="00B54DA2">
        <w:t>, a qual foi suspensa em 2016 pela medida cautelar expedida por esse órgão. Após passado as fases de manifestação de defesa da investigação de lega</w:t>
      </w:r>
      <w:r w:rsidR="00475B4D" w:rsidRPr="00B54DA2">
        <w:t>lidade da ação, realizada pela</w:t>
      </w:r>
      <w:r w:rsidR="006114E3" w:rsidRPr="00B54DA2">
        <w:t xml:space="preserve"> </w:t>
      </w:r>
      <w:r w:rsidR="00475B4D" w:rsidRPr="00B54DA2">
        <w:t>Corte de C</w:t>
      </w:r>
      <w:r w:rsidRPr="00B54DA2">
        <w:t>ontas da União, o Acordão nº 442/2017</w:t>
      </w:r>
      <w:r w:rsidR="006114E3" w:rsidRPr="00B54DA2">
        <w:t>-</w:t>
      </w:r>
      <w:r w:rsidRPr="00B54DA2">
        <w:t>Plenário determinou a revogação da cautelar, justificando nos autos a adequação da companhi</w:t>
      </w:r>
      <w:r w:rsidR="00475B4D" w:rsidRPr="00B54DA2">
        <w:t>a à</w:t>
      </w:r>
      <w:r w:rsidRPr="00B54DA2">
        <w:t>s determinações para a alienação pretendida.</w:t>
      </w:r>
    </w:p>
    <w:p w14:paraId="7660A078" w14:textId="582804BA" w:rsidR="003C73A4" w:rsidRPr="00DD11B1" w:rsidRDefault="00703629" w:rsidP="009D1D9F">
      <w:pPr>
        <w:spacing w:after="0" w:line="240" w:lineRule="auto"/>
        <w:ind w:firstLine="708"/>
        <w:jc w:val="both"/>
      </w:pPr>
      <w:r w:rsidRPr="00B54DA2">
        <w:t xml:space="preserve">A ênfase conferida pela organização pode ser compreendida pela própria colocação do TCU no acordão que suspendeu a cautelar da operação. O objetivo do plano de desinvestimento seria o de alienações sucessivas com o intuito de possibilitar um aumento da liquidez de curto </w:t>
      </w:r>
      <w:r w:rsidRPr="00B54DA2">
        <w:lastRenderedPageBreak/>
        <w:t xml:space="preserve">prazo, diminuindo a alavancagem e retomando os investimentos na </w:t>
      </w:r>
      <w:r w:rsidR="00B54DA2" w:rsidRPr="00B54DA2">
        <w:t>Petrobras</w:t>
      </w:r>
      <w:r w:rsidRPr="00B54DA2">
        <w:t>.</w:t>
      </w:r>
      <w:r w:rsidR="008D79A3" w:rsidRPr="00B54DA2">
        <w:t xml:space="preserve"> À vista disso, percebe-se que pela necessidade financeira, a entidade busca a validade da ação, o que poderia justificar o número elevado </w:t>
      </w:r>
      <w:r w:rsidR="00737843" w:rsidRPr="00B54DA2">
        <w:t>de comunicados que se referem ao TCU no ano de 2017.</w:t>
      </w:r>
      <w:r w:rsidR="003C73A4" w:rsidRPr="00B54DA2">
        <w:t xml:space="preserve"> Adema</w:t>
      </w:r>
      <w:r w:rsidR="0087351E" w:rsidRPr="00B54DA2">
        <w:t>i</w:t>
      </w:r>
      <w:r w:rsidR="003C73A4" w:rsidRPr="00B54DA2">
        <w:t xml:space="preserve">s, essas repetições discursivas, conforme colocado por </w:t>
      </w:r>
      <w:r w:rsidR="00227990" w:rsidRPr="00DD11B1">
        <w:t>Phillips</w:t>
      </w:r>
      <w:r w:rsidR="00227990">
        <w:t>,</w:t>
      </w:r>
      <w:r w:rsidR="00227990" w:rsidRPr="00DD11B1">
        <w:t xml:space="preserve"> Lawrence</w:t>
      </w:r>
      <w:r w:rsidR="00227990">
        <w:t xml:space="preserve"> e </w:t>
      </w:r>
      <w:proofErr w:type="spellStart"/>
      <w:r w:rsidR="00227990" w:rsidRPr="00DD11B1">
        <w:t>Hardy</w:t>
      </w:r>
      <w:proofErr w:type="spellEnd"/>
      <w:r w:rsidR="00BD0B3E">
        <w:t xml:space="preserve"> </w:t>
      </w:r>
      <w:r w:rsidR="003C73A4" w:rsidRPr="00B54DA2">
        <w:t xml:space="preserve">(2004), que explicam, legitimam e validam determinadas práticas </w:t>
      </w:r>
      <w:r w:rsidR="00EA2A7A" w:rsidRPr="00B54DA2">
        <w:t xml:space="preserve">– nesse caso, a validade do plano de desinvestimento da </w:t>
      </w:r>
      <w:r w:rsidR="007053A8" w:rsidRPr="00B54DA2">
        <w:t>empresa</w:t>
      </w:r>
      <w:r w:rsidR="00EA2A7A" w:rsidRPr="00B54DA2">
        <w:t>.</w:t>
      </w:r>
      <w:r w:rsidR="003C73A4" w:rsidRPr="00DD11B1">
        <w:t xml:space="preserve"> </w:t>
      </w:r>
    </w:p>
    <w:p w14:paraId="4B57C306" w14:textId="1DA7D36B" w:rsidR="00B448A7" w:rsidRPr="00DD11B1" w:rsidRDefault="00B448A7" w:rsidP="009D1D9F">
      <w:pPr>
        <w:spacing w:after="0" w:line="240" w:lineRule="auto"/>
        <w:ind w:firstLine="708"/>
        <w:jc w:val="both"/>
      </w:pPr>
      <w:r w:rsidRPr="00DD11B1">
        <w:t>T</w:t>
      </w:r>
      <w:r w:rsidR="007053A8" w:rsidRPr="00DD11B1">
        <w:t>omando</w:t>
      </w:r>
      <w:r w:rsidRPr="00DD11B1">
        <w:t xml:space="preserve"> por base</w:t>
      </w:r>
      <w:r w:rsidRPr="00DD11B1">
        <w:rPr>
          <w:rFonts w:cs="Times New Roman"/>
        </w:rPr>
        <w:t xml:space="preserve"> que as práticas discursivas são o elo entre os níveis macro e micro, estando essas no nível </w:t>
      </w:r>
      <w:proofErr w:type="spellStart"/>
      <w:r w:rsidRPr="00DD11B1">
        <w:rPr>
          <w:rFonts w:cs="Times New Roman"/>
        </w:rPr>
        <w:t>meso</w:t>
      </w:r>
      <w:proofErr w:type="spellEnd"/>
      <w:r w:rsidRPr="00DD11B1">
        <w:rPr>
          <w:rFonts w:cs="Times New Roman"/>
        </w:rPr>
        <w:t xml:space="preserve"> (Oliveira</w:t>
      </w:r>
      <w:r w:rsidR="00BB76AD" w:rsidRPr="00DD11B1">
        <w:rPr>
          <w:rFonts w:cs="Times New Roman"/>
        </w:rPr>
        <w:t xml:space="preserve"> et al.</w:t>
      </w:r>
      <w:r w:rsidRPr="00DD11B1">
        <w:rPr>
          <w:rFonts w:cs="Times New Roman"/>
        </w:rPr>
        <w:t>, 2015),</w:t>
      </w:r>
      <w:r w:rsidR="007053A8" w:rsidRPr="00DD11B1">
        <w:rPr>
          <w:rFonts w:cs="Times New Roman"/>
        </w:rPr>
        <w:t xml:space="preserve"> consegue-se estabelecer uma ordem do comportamento do discurso da </w:t>
      </w:r>
      <w:r w:rsidR="00B54DA2">
        <w:rPr>
          <w:rFonts w:cs="Times New Roman"/>
        </w:rPr>
        <w:t>Petrobras</w:t>
      </w:r>
      <w:r w:rsidR="007053A8" w:rsidRPr="00DD11B1">
        <w:rPr>
          <w:rFonts w:cs="Times New Roman"/>
        </w:rPr>
        <w:t xml:space="preserve"> em relação aos seus órgãos reguladores. No nível </w:t>
      </w:r>
      <w:proofErr w:type="spellStart"/>
      <w:r w:rsidR="007053A8" w:rsidRPr="00DD11B1">
        <w:rPr>
          <w:rFonts w:cs="Times New Roman"/>
        </w:rPr>
        <w:t>meso</w:t>
      </w:r>
      <w:proofErr w:type="spellEnd"/>
      <w:r w:rsidR="007053A8" w:rsidRPr="00DD11B1">
        <w:rPr>
          <w:rFonts w:cs="Times New Roman"/>
        </w:rPr>
        <w:t>, está a companhia</w:t>
      </w:r>
      <w:r w:rsidR="006506A0" w:rsidRPr="00DD11B1">
        <w:rPr>
          <w:rFonts w:cs="Times New Roman"/>
        </w:rPr>
        <w:t xml:space="preserve"> com </w:t>
      </w:r>
      <w:r w:rsidR="00C82F47" w:rsidRPr="00DD11B1">
        <w:rPr>
          <w:rFonts w:cs="Times New Roman"/>
        </w:rPr>
        <w:t>as suas</w:t>
      </w:r>
      <w:r w:rsidR="00A256EA" w:rsidRPr="00DD11B1">
        <w:rPr>
          <w:rFonts w:cs="Times New Roman"/>
        </w:rPr>
        <w:t xml:space="preserve"> práticas discursivas</w:t>
      </w:r>
      <w:r w:rsidR="00AB2898" w:rsidRPr="00DD11B1">
        <w:rPr>
          <w:rFonts w:cs="Times New Roman"/>
        </w:rPr>
        <w:t xml:space="preserve"> </w:t>
      </w:r>
      <w:r w:rsidR="00DD4343" w:rsidRPr="00DD11B1">
        <w:rPr>
          <w:rFonts w:cs="Times New Roman"/>
        </w:rPr>
        <w:t xml:space="preserve">na tentativa de influenciar o seus </w:t>
      </w:r>
      <w:r w:rsidR="00DD4343" w:rsidRPr="00DD11B1">
        <w:rPr>
          <w:i/>
        </w:rPr>
        <w:t>stakeholders</w:t>
      </w:r>
      <w:r w:rsidR="00DD4343" w:rsidRPr="00DD11B1">
        <w:t xml:space="preserve">, nesse caso o ambiente micro (indivíduos). No entanto, a </w:t>
      </w:r>
      <w:r w:rsidR="00B54DA2">
        <w:t>Petrobras</w:t>
      </w:r>
      <w:r w:rsidR="00DD4343" w:rsidRPr="00DD11B1">
        <w:t xml:space="preserve"> se vale </w:t>
      </w:r>
      <w:r w:rsidR="003D1421" w:rsidRPr="00DD11B1">
        <w:t xml:space="preserve">de referências </w:t>
      </w:r>
      <w:r w:rsidR="00503DE7" w:rsidRPr="00DD11B1">
        <w:t>a</w:t>
      </w:r>
      <w:r w:rsidR="005455A6" w:rsidRPr="00DD11B1">
        <w:t xml:space="preserve"> figuras relacionadas ao Estado (nível macro) – uma autarquia e uma entidade de controle externo que fazem parte do poder público – como legitimadores externos de suas ações.</w:t>
      </w:r>
    </w:p>
    <w:p w14:paraId="2BC29C41" w14:textId="3FFB32CC" w:rsidR="00503DE7" w:rsidRPr="00DD11B1" w:rsidRDefault="00503DE7" w:rsidP="009D1D9F">
      <w:pPr>
        <w:spacing w:after="0" w:line="240" w:lineRule="auto"/>
        <w:ind w:firstLine="708"/>
        <w:jc w:val="both"/>
      </w:pPr>
      <w:r w:rsidRPr="00DD11B1">
        <w:t xml:space="preserve">A utilização de tal mecanismo pode ser considerada uma força coercitiva </w:t>
      </w:r>
      <w:r w:rsidR="00DA42BC" w:rsidRPr="00DD11B1">
        <w:t>empregada</w:t>
      </w:r>
      <w:r w:rsidRPr="00DD11B1">
        <w:t xml:space="preserve"> nos te</w:t>
      </w:r>
      <w:r w:rsidR="005B74BF" w:rsidRPr="00DD11B1">
        <w:t>x</w:t>
      </w:r>
      <w:r w:rsidRPr="00DD11B1">
        <w:t xml:space="preserve">tos da organização, em concordância com </w:t>
      </w:r>
      <w:r w:rsidR="00BD0B3E" w:rsidRPr="00DD11B1">
        <w:t>Phillips</w:t>
      </w:r>
      <w:r w:rsidR="00BD0B3E">
        <w:t>,</w:t>
      </w:r>
      <w:r w:rsidR="00BD0B3E" w:rsidRPr="00DD11B1">
        <w:t xml:space="preserve"> Lawrence</w:t>
      </w:r>
      <w:r w:rsidR="00BD0B3E">
        <w:t xml:space="preserve"> e </w:t>
      </w:r>
      <w:proofErr w:type="spellStart"/>
      <w:r w:rsidR="00BD0B3E" w:rsidRPr="00DD11B1">
        <w:t>Hardy</w:t>
      </w:r>
      <w:proofErr w:type="spellEnd"/>
      <w:r w:rsidR="00BD0B3E">
        <w:t xml:space="preserve"> </w:t>
      </w:r>
      <w:r w:rsidR="00BD0B3E" w:rsidRPr="00B54DA2">
        <w:t>(2004</w:t>
      </w:r>
      <w:r w:rsidRPr="00DD11B1">
        <w:t xml:space="preserve">). Isso pois, </w:t>
      </w:r>
      <w:r w:rsidR="00CF22F1" w:rsidRPr="00DD11B1">
        <w:t xml:space="preserve">segundo </w:t>
      </w:r>
      <w:proofErr w:type="spellStart"/>
      <w:r w:rsidR="005B74BF" w:rsidRPr="00DD11B1">
        <w:t>Dimaggio</w:t>
      </w:r>
      <w:proofErr w:type="spellEnd"/>
      <w:r w:rsidR="005B74BF" w:rsidRPr="00DD11B1">
        <w:t xml:space="preserve"> e Powell (2007), uma das forma</w:t>
      </w:r>
      <w:r w:rsidR="00DA42BC" w:rsidRPr="00DD11B1">
        <w:t>s</w:t>
      </w:r>
      <w:r w:rsidR="005B74BF" w:rsidRPr="00DD11B1">
        <w:t xml:space="preserve"> que essa pressão se apresenta é através</w:t>
      </w:r>
      <w:r w:rsidR="00DA42BC" w:rsidRPr="00DD11B1">
        <w:t xml:space="preserve"> da persuasão – situação que parece existir no discurso da </w:t>
      </w:r>
      <w:r w:rsidR="00B54DA2">
        <w:t>Petrobras</w:t>
      </w:r>
      <w:r w:rsidR="00403FF0" w:rsidRPr="00DD11B1">
        <w:t>, de maneira a validar as suas condutas corporativas.</w:t>
      </w:r>
      <w:r w:rsidR="00DA42BC" w:rsidRPr="00DD11B1">
        <w:t xml:space="preserve"> </w:t>
      </w:r>
      <w:r w:rsidR="005B74BF" w:rsidRPr="00DD11B1">
        <w:t xml:space="preserve"> </w:t>
      </w:r>
    </w:p>
    <w:p w14:paraId="2DD970CD" w14:textId="6C2823FD" w:rsidR="00E80C59" w:rsidRPr="00DD11B1" w:rsidRDefault="003D1421" w:rsidP="00BB76AD">
      <w:pPr>
        <w:spacing w:after="0" w:line="240" w:lineRule="auto"/>
        <w:ind w:firstLine="708"/>
        <w:jc w:val="both"/>
      </w:pPr>
      <w:r w:rsidRPr="00DD11B1">
        <w:t>Em especial</w:t>
      </w:r>
      <w:r w:rsidR="00A552D8" w:rsidRPr="00DD11B1">
        <w:t xml:space="preserve"> </w:t>
      </w:r>
      <w:r w:rsidR="005455A6" w:rsidRPr="00DD11B1">
        <w:t>sobre o plano de desinvestimento</w:t>
      </w:r>
      <w:r w:rsidRPr="00DD11B1">
        <w:t xml:space="preserve">, </w:t>
      </w:r>
      <w:r w:rsidR="00866ED3" w:rsidRPr="00DD11B1">
        <w:t xml:space="preserve">valida-se um dos pressupostos apresentados por </w:t>
      </w:r>
      <w:r w:rsidR="00BD0B3E" w:rsidRPr="00DD11B1">
        <w:t>Phillips</w:t>
      </w:r>
      <w:r w:rsidR="00BD0B3E">
        <w:t>,</w:t>
      </w:r>
      <w:r w:rsidR="00BD0B3E" w:rsidRPr="00DD11B1">
        <w:t xml:space="preserve"> Lawrence</w:t>
      </w:r>
      <w:r w:rsidR="00BD0B3E">
        <w:t xml:space="preserve"> e </w:t>
      </w:r>
      <w:proofErr w:type="spellStart"/>
      <w:r w:rsidR="00BD0B3E" w:rsidRPr="00DD11B1">
        <w:t>Hardy</w:t>
      </w:r>
      <w:proofErr w:type="spellEnd"/>
      <w:r w:rsidR="00BD0B3E">
        <w:t xml:space="preserve"> </w:t>
      </w:r>
      <w:r w:rsidR="00BD0B3E" w:rsidRPr="00B54DA2">
        <w:t>(2004</w:t>
      </w:r>
      <w:r w:rsidR="00866ED3" w:rsidRPr="00DD11B1">
        <w:t>), os qu</w:t>
      </w:r>
      <w:r w:rsidR="00335238" w:rsidRPr="00DD11B1">
        <w:t>a</w:t>
      </w:r>
      <w:r w:rsidR="00866ED3" w:rsidRPr="00DD11B1">
        <w:t>is propõem que textos que se baseiam na intertextualidade e interdiscursividade em seu</w:t>
      </w:r>
      <w:r w:rsidR="00335238" w:rsidRPr="00DD11B1">
        <w:t>s</w:t>
      </w:r>
      <w:r w:rsidR="00866ED3" w:rsidRPr="00DD11B1">
        <w:t xml:space="preserve"> discurso</w:t>
      </w:r>
      <w:r w:rsidR="00335238" w:rsidRPr="00DD11B1">
        <w:t xml:space="preserve">s são mais propensos a </w:t>
      </w:r>
      <w:r w:rsidR="00C81FF0" w:rsidRPr="00DD11B1">
        <w:t>serem incorporados pelos receptores da mensagem</w:t>
      </w:r>
      <w:r w:rsidR="00335238" w:rsidRPr="00DD11B1">
        <w:t xml:space="preserve">, uma vez que </w:t>
      </w:r>
      <w:r w:rsidR="00C81FF0" w:rsidRPr="00DD11B1">
        <w:t>se busca o</w:t>
      </w:r>
      <w:r w:rsidR="00335238" w:rsidRPr="00DD11B1">
        <w:t xml:space="preserve">utros discursos </w:t>
      </w:r>
      <w:r w:rsidR="00C81FF0" w:rsidRPr="00DD11B1">
        <w:t>de legitimidade.</w:t>
      </w:r>
      <w:r w:rsidR="00A552D8" w:rsidRPr="00DD11B1">
        <w:t xml:space="preserve"> Apesar de existir a referência a outros textos, percebe-se a utilização principal da interdiscursividade quando se retrata o plano de </w:t>
      </w:r>
      <w:r w:rsidR="00E83C04" w:rsidRPr="00DD11B1">
        <w:t>desinvestimento, ao apresentar o discurso de conformidade emitido pelo Tribunal de Contas da União.</w:t>
      </w:r>
    </w:p>
    <w:p w14:paraId="4C797143" w14:textId="77777777" w:rsidR="007506F5" w:rsidRPr="00A77330" w:rsidRDefault="007506F5" w:rsidP="009D1D9F">
      <w:pPr>
        <w:spacing w:after="0" w:line="240" w:lineRule="auto"/>
        <w:ind w:left="708" w:hanging="708"/>
        <w:jc w:val="both"/>
        <w:rPr>
          <w:b/>
          <w:sz w:val="20"/>
          <w:szCs w:val="20"/>
        </w:rPr>
      </w:pPr>
    </w:p>
    <w:p w14:paraId="15845608" w14:textId="4321797A" w:rsidR="000E3FEF" w:rsidRPr="00DD11B1" w:rsidRDefault="000E3FEF" w:rsidP="009D1D9F">
      <w:pPr>
        <w:spacing w:after="0" w:line="240" w:lineRule="auto"/>
        <w:ind w:left="708" w:hanging="708"/>
        <w:jc w:val="both"/>
        <w:rPr>
          <w:b/>
          <w:szCs w:val="20"/>
        </w:rPr>
      </w:pPr>
      <w:r w:rsidRPr="00DD11B1">
        <w:rPr>
          <w:b/>
          <w:szCs w:val="20"/>
        </w:rPr>
        <w:t xml:space="preserve">5 </w:t>
      </w:r>
      <w:r w:rsidR="0079111F" w:rsidRPr="00DD11B1">
        <w:rPr>
          <w:b/>
          <w:szCs w:val="20"/>
        </w:rPr>
        <w:t>CONSIDERAÇÕES FINAIS</w:t>
      </w:r>
    </w:p>
    <w:p w14:paraId="2E4DA6EF" w14:textId="77777777" w:rsidR="00A77330" w:rsidRPr="00A77330" w:rsidRDefault="00A77330" w:rsidP="009D1D9F">
      <w:pPr>
        <w:spacing w:after="0" w:line="240" w:lineRule="auto"/>
        <w:jc w:val="both"/>
        <w:rPr>
          <w:sz w:val="20"/>
          <w:szCs w:val="20"/>
        </w:rPr>
      </w:pPr>
    </w:p>
    <w:p w14:paraId="733FE423" w14:textId="765EC980" w:rsidR="006F3055" w:rsidRPr="00DD11B1" w:rsidRDefault="006F3055" w:rsidP="009D1D9F">
      <w:pPr>
        <w:spacing w:after="0" w:line="240" w:lineRule="auto"/>
        <w:jc w:val="both"/>
      </w:pPr>
      <w:r w:rsidRPr="00DD11B1">
        <w:rPr>
          <w:szCs w:val="20"/>
        </w:rPr>
        <w:tab/>
      </w:r>
      <w:r w:rsidR="002649F3" w:rsidRPr="00DD11B1">
        <w:rPr>
          <w:szCs w:val="20"/>
        </w:rPr>
        <w:t>Tendo em vista a literatura, este artigo fundament</w:t>
      </w:r>
      <w:r w:rsidR="001931A5" w:rsidRPr="00DD11B1">
        <w:rPr>
          <w:szCs w:val="20"/>
        </w:rPr>
        <w:t>ou</w:t>
      </w:r>
      <w:r w:rsidR="002649F3" w:rsidRPr="00DD11B1">
        <w:rPr>
          <w:szCs w:val="20"/>
        </w:rPr>
        <w:t xml:space="preserve">-se no pressuposto </w:t>
      </w:r>
      <w:r w:rsidR="001931A5" w:rsidRPr="00DD11B1">
        <w:rPr>
          <w:szCs w:val="20"/>
        </w:rPr>
        <w:t xml:space="preserve">de </w:t>
      </w:r>
      <w:r w:rsidR="002649F3" w:rsidRPr="00DD11B1">
        <w:rPr>
          <w:szCs w:val="20"/>
        </w:rPr>
        <w:t xml:space="preserve">que as organizações se utilizam do discurso para influenciar os entendimentos </w:t>
      </w:r>
      <w:r w:rsidR="001931A5" w:rsidRPr="00DD11B1">
        <w:rPr>
          <w:szCs w:val="20"/>
        </w:rPr>
        <w:t xml:space="preserve">e as decisões de seus </w:t>
      </w:r>
      <w:r w:rsidR="001931A5" w:rsidRPr="00DD11B1">
        <w:rPr>
          <w:i/>
        </w:rPr>
        <w:t>stakeholders</w:t>
      </w:r>
      <w:r w:rsidR="001931A5" w:rsidRPr="00DD11B1">
        <w:t>.</w:t>
      </w:r>
      <w:r w:rsidR="002649F3" w:rsidRPr="00DD11B1">
        <w:rPr>
          <w:szCs w:val="20"/>
        </w:rPr>
        <w:t xml:space="preserve"> </w:t>
      </w:r>
      <w:r w:rsidR="001931A5" w:rsidRPr="00DD11B1">
        <w:rPr>
          <w:szCs w:val="20"/>
        </w:rPr>
        <w:t>Assim, o</w:t>
      </w:r>
      <w:r w:rsidRPr="00DD11B1">
        <w:rPr>
          <w:szCs w:val="20"/>
        </w:rPr>
        <w:t xml:space="preserve"> objetivo </w:t>
      </w:r>
      <w:r w:rsidR="001931A5" w:rsidRPr="00DD11B1">
        <w:rPr>
          <w:szCs w:val="20"/>
        </w:rPr>
        <w:t xml:space="preserve">que permeou o estudo foi o de </w:t>
      </w:r>
      <w:r w:rsidR="000D2E1B" w:rsidRPr="00074DF9">
        <w:t xml:space="preserve">analisar a configuração </w:t>
      </w:r>
      <w:r w:rsidR="000D2E1B">
        <w:t xml:space="preserve">e o comportamento </w:t>
      </w:r>
      <w:r w:rsidR="000D2E1B" w:rsidRPr="00074DF9">
        <w:t xml:space="preserve">do discurso da Petrobras nas citações </w:t>
      </w:r>
      <w:r w:rsidR="000D2E1B">
        <w:t>à</w:t>
      </w:r>
      <w:r w:rsidR="000D2E1B" w:rsidRPr="00074DF9">
        <w:t xml:space="preserve"> órgãos reguladores, especificamente, Tribunal de Contas da União e Comissão de Valores Mobiliários, em comunicados e fatos relevantes para o mercado.</w:t>
      </w:r>
      <w:r w:rsidR="007D268F" w:rsidRPr="00DD11B1">
        <w:t xml:space="preserve"> </w:t>
      </w:r>
      <w:r w:rsidRPr="00DD11B1">
        <w:t>Para tanto, utilizou-se da técnica de análise d</w:t>
      </w:r>
      <w:r w:rsidR="007D268F" w:rsidRPr="00DD11B1">
        <w:t>e conteúdo</w:t>
      </w:r>
      <w:r w:rsidRPr="00DD11B1">
        <w:t xml:space="preserve"> contido nos Comunicados e Fatos Relevantes divulgados </w:t>
      </w:r>
      <w:r w:rsidR="007D268F" w:rsidRPr="00DD11B1">
        <w:t>pela referida empresa</w:t>
      </w:r>
      <w:r w:rsidR="00B6565D" w:rsidRPr="00DD11B1">
        <w:t xml:space="preserve"> em que existia a citação </w:t>
      </w:r>
      <w:r w:rsidR="007D268F" w:rsidRPr="00DD11B1">
        <w:t>a dois de</w:t>
      </w:r>
      <w:r w:rsidR="00B6565D" w:rsidRPr="00DD11B1">
        <w:t xml:space="preserve"> seu</w:t>
      </w:r>
      <w:r w:rsidRPr="00DD11B1">
        <w:t>s agentes reguladores.</w:t>
      </w:r>
    </w:p>
    <w:p w14:paraId="38095C7E" w14:textId="15F2AC75" w:rsidR="008619A5" w:rsidRPr="00D810F6" w:rsidRDefault="006F3055" w:rsidP="009D1D9F">
      <w:pPr>
        <w:spacing w:after="0" w:line="240" w:lineRule="auto"/>
        <w:jc w:val="both"/>
      </w:pPr>
      <w:r w:rsidRPr="00DD11B1">
        <w:tab/>
      </w:r>
      <w:r w:rsidR="004A3818" w:rsidRPr="00DD11B1">
        <w:t>No caso investigado, os resultados da pesquisa evidenciam que</w:t>
      </w:r>
      <w:r w:rsidR="00770E8B" w:rsidRPr="00DD11B1">
        <w:t xml:space="preserve"> a prática discursiva</w:t>
      </w:r>
      <w:r w:rsidR="008619A5" w:rsidRPr="00DD11B1">
        <w:t xml:space="preserve"> que guia </w:t>
      </w:r>
      <w:r w:rsidR="00770E8B" w:rsidRPr="00DD11B1">
        <w:t xml:space="preserve">a organização </w:t>
      </w:r>
      <w:r w:rsidR="009C3672" w:rsidRPr="00DD11B1">
        <w:t>se configura a partir de</w:t>
      </w:r>
      <w:r w:rsidR="001F7AB0" w:rsidRPr="00DD11B1">
        <w:t xml:space="preserve"> três caminhos principais: (i) defesa; (</w:t>
      </w:r>
      <w:proofErr w:type="spellStart"/>
      <w:r w:rsidR="001F7AB0" w:rsidRPr="00DD11B1">
        <w:t>ii</w:t>
      </w:r>
      <w:proofErr w:type="spellEnd"/>
      <w:r w:rsidR="001F7AB0" w:rsidRPr="00DD11B1">
        <w:t>) subordinação; e (</w:t>
      </w:r>
      <w:proofErr w:type="spellStart"/>
      <w:r w:rsidR="001F7AB0" w:rsidRPr="00DD11B1">
        <w:t>iii</w:t>
      </w:r>
      <w:proofErr w:type="spellEnd"/>
      <w:r w:rsidR="001F7AB0" w:rsidRPr="00DD11B1">
        <w:t>) validade da ação</w:t>
      </w:r>
      <w:r w:rsidR="009C3672" w:rsidRPr="00DD11B1">
        <w:t xml:space="preserve"> – s</w:t>
      </w:r>
      <w:r w:rsidR="008619A5" w:rsidRPr="00DD11B1">
        <w:t>endo que os sent</w:t>
      </w:r>
      <w:r w:rsidR="001F7AB0" w:rsidRPr="00DD11B1">
        <w:t>idos encontrados</w:t>
      </w:r>
      <w:r w:rsidR="008619A5" w:rsidRPr="00DD11B1">
        <w:t xml:space="preserve"> </w:t>
      </w:r>
      <w:r w:rsidR="001F7AB0" w:rsidRPr="00DD11B1">
        <w:t>não são excludentes entre si, eles podem coexistir.</w:t>
      </w:r>
      <w:r w:rsidR="008619A5" w:rsidRPr="00DD11B1">
        <w:t xml:space="preserve"> </w:t>
      </w:r>
      <w:r w:rsidR="009C3672" w:rsidRPr="00DD11B1">
        <w:t>Ademias, o comportamento do discurso se diferencia na comparação entre o TCU e a CVM. As citações ao primeiro órgão se referem muito mais a validação do plano de desinvestimento</w:t>
      </w:r>
      <w:r w:rsidR="000C66E9" w:rsidRPr="00DD11B1">
        <w:t xml:space="preserve">. Já ao segundo, está associado a informativos e a </w:t>
      </w:r>
      <w:r w:rsidR="000C66E9" w:rsidRPr="00D810F6">
        <w:t>apresentação de conformidade as normativas emitidas pela autarquia.</w:t>
      </w:r>
    </w:p>
    <w:p w14:paraId="6F85DA9E" w14:textId="43B11343" w:rsidR="00186DFB" w:rsidRPr="00D810F6" w:rsidRDefault="00186DFB" w:rsidP="009D1D9F">
      <w:pPr>
        <w:spacing w:after="0" w:line="240" w:lineRule="auto"/>
        <w:jc w:val="both"/>
      </w:pPr>
      <w:r w:rsidRPr="00D810F6">
        <w:tab/>
        <w:t>A pesquisa</w:t>
      </w:r>
      <w:r w:rsidR="002545A3" w:rsidRPr="00D810F6">
        <w:t xml:space="preserve"> se torna relevante, principalmente, </w:t>
      </w:r>
      <w:r w:rsidR="002F08E6" w:rsidRPr="00D810F6">
        <w:t xml:space="preserve">pelo crescente questionamentos </w:t>
      </w:r>
      <w:r w:rsidR="00004AC5" w:rsidRPr="00D810F6">
        <w:t>da</w:t>
      </w:r>
      <w:r w:rsidR="009A1BE5" w:rsidRPr="00D810F6">
        <w:t xml:space="preserve"> sociedade </w:t>
      </w:r>
      <w:r w:rsidR="00004AC5" w:rsidRPr="00D810F6">
        <w:t>sobre a</w:t>
      </w:r>
      <w:r w:rsidR="002F08E6" w:rsidRPr="00D810F6">
        <w:t xml:space="preserve"> honestidade e os padrões </w:t>
      </w:r>
      <w:r w:rsidR="00004AC5" w:rsidRPr="00D810F6">
        <w:t xml:space="preserve">éticos </w:t>
      </w:r>
      <w:r w:rsidR="002F08E6" w:rsidRPr="00D810F6">
        <w:t>das empresas</w:t>
      </w:r>
      <w:r w:rsidR="009A1BE5" w:rsidRPr="00D810F6">
        <w:t>, visto os escândalos de corrupção vivenciado no Brasil</w:t>
      </w:r>
      <w:r w:rsidR="002F08E6" w:rsidRPr="00D810F6">
        <w:t>.</w:t>
      </w:r>
      <w:r w:rsidR="009A1BE5" w:rsidRPr="00D810F6">
        <w:t xml:space="preserve"> </w:t>
      </w:r>
      <w:r w:rsidR="002F08E6" w:rsidRPr="00D810F6">
        <w:t>Ademais,</w:t>
      </w:r>
      <w:r w:rsidR="009A1BE5" w:rsidRPr="00D810F6">
        <w:t xml:space="preserve"> além da contribuição teórica às áreas dos estudos organizacionais e da contabilidade, a investigação colabora com a comunidade </w:t>
      </w:r>
      <w:r w:rsidR="00004AC5" w:rsidRPr="00D810F6">
        <w:t>ao proporcionar uma reflexão sobre a intenção subjetiva contid</w:t>
      </w:r>
      <w:r w:rsidR="00AE1972" w:rsidRPr="00D810F6">
        <w:t>a</w:t>
      </w:r>
      <w:r w:rsidR="00004AC5" w:rsidRPr="00D810F6">
        <w:t xml:space="preserve"> nos textos empresariais divulgados ao mercado por meio de um caso empírico. A observação e análise sobre esse tema é pertinente, posto o </w:t>
      </w:r>
      <w:r w:rsidR="002545A3" w:rsidRPr="00D810F6">
        <w:t xml:space="preserve">aumento de </w:t>
      </w:r>
      <w:r w:rsidR="002545A3" w:rsidRPr="00D810F6">
        <w:rPr>
          <w:i/>
          <w:iCs/>
        </w:rPr>
        <w:t xml:space="preserve">fake </w:t>
      </w:r>
      <w:proofErr w:type="spellStart"/>
      <w:r w:rsidR="002545A3" w:rsidRPr="00D810F6">
        <w:rPr>
          <w:i/>
          <w:iCs/>
        </w:rPr>
        <w:t>news</w:t>
      </w:r>
      <w:proofErr w:type="spellEnd"/>
      <w:r w:rsidR="002545A3" w:rsidRPr="00D810F6">
        <w:t xml:space="preserve"> </w:t>
      </w:r>
      <w:r w:rsidR="00C43CF6" w:rsidRPr="00D810F6">
        <w:t>e a atenção atribuída sobre a veracidade do conteúdo das notícias e publicações realizadas nos meios digitais.</w:t>
      </w:r>
    </w:p>
    <w:p w14:paraId="58E039CC" w14:textId="6E3073F0" w:rsidR="007B0EB9" w:rsidRPr="00D810F6" w:rsidRDefault="00186DFB" w:rsidP="009D1D9F">
      <w:pPr>
        <w:spacing w:after="0" w:line="240" w:lineRule="auto"/>
        <w:jc w:val="both"/>
      </w:pPr>
      <w:r w:rsidRPr="00D810F6">
        <w:lastRenderedPageBreak/>
        <w:tab/>
      </w:r>
      <w:r w:rsidR="00F905DB" w:rsidRPr="00D810F6">
        <w:t>A principal limitação da pesquisa residiu no acesso aos documentos para</w:t>
      </w:r>
      <w:r w:rsidR="00A74068" w:rsidRPr="00D810F6">
        <w:t xml:space="preserve"> a análise. A CVM mantém os Comunicados e Fatos Relevantes em suas bases de dados, entretanto essas são de difícil acessibilidade e não há uma forma de busca facilitada para a seleção dos arquivos necessários. Dessa forma, pela facilidade de acesso, optou-se pela coleta de dados através do </w:t>
      </w:r>
      <w:r w:rsidR="00A74068" w:rsidRPr="00D810F6">
        <w:rPr>
          <w:i/>
        </w:rPr>
        <w:t>site</w:t>
      </w:r>
      <w:r w:rsidR="00A74068" w:rsidRPr="00D810F6">
        <w:t xml:space="preserve"> de Relação dos Investidores da </w:t>
      </w:r>
      <w:r w:rsidR="00B54DA2" w:rsidRPr="00D810F6">
        <w:t>Petrobras</w:t>
      </w:r>
      <w:r w:rsidR="00A74068" w:rsidRPr="00D810F6">
        <w:t xml:space="preserve">. Mesmo assim, </w:t>
      </w:r>
      <w:r w:rsidR="001A71BB" w:rsidRPr="00D810F6">
        <w:t xml:space="preserve">não há garantia que todos os documentos coletados representam a totalidade de divulgações, posto que é habito nas empresas excluírem de seus </w:t>
      </w:r>
      <w:r w:rsidR="001A71BB" w:rsidRPr="00D810F6">
        <w:rPr>
          <w:i/>
        </w:rPr>
        <w:t>websites</w:t>
      </w:r>
      <w:r w:rsidR="001A71BB" w:rsidRPr="00D810F6">
        <w:t xml:space="preserve"> publicações antigas e com</w:t>
      </w:r>
      <w:r w:rsidR="00B86FA1" w:rsidRPr="00D810F6">
        <w:t xml:space="preserve"> pouco</w:t>
      </w:r>
      <w:r w:rsidR="001A71BB" w:rsidRPr="00D810F6">
        <w:t xml:space="preserve"> acesso. </w:t>
      </w:r>
    </w:p>
    <w:p w14:paraId="3DF851B1" w14:textId="0D78E21D" w:rsidR="00B86FA1" w:rsidRPr="00D810F6" w:rsidRDefault="00B86FA1" w:rsidP="009D1D9F">
      <w:pPr>
        <w:spacing w:after="0" w:line="240" w:lineRule="auto"/>
        <w:ind w:firstLine="708"/>
        <w:jc w:val="both"/>
      </w:pPr>
      <w:r w:rsidRPr="00D810F6">
        <w:t xml:space="preserve">Partindo dos resultados, sugere-se pesquisas que envolvam </w:t>
      </w:r>
      <w:r w:rsidR="00EF75A2" w:rsidRPr="00D810F6">
        <w:t>aspectos multiníveis e que possam avaliar o impacto que a configuração d</w:t>
      </w:r>
      <w:r w:rsidR="000467DA" w:rsidRPr="00D810F6">
        <w:t>a Governança existente influencia a legitimidade e o sistema de justiça</w:t>
      </w:r>
      <w:r w:rsidR="00186DFB" w:rsidRPr="00D810F6">
        <w:t>. Também, se i</w:t>
      </w:r>
      <w:r w:rsidR="00EF75A2" w:rsidRPr="00D810F6">
        <w:t>ncentiva estudos que possam definir as características organizacionais que influenciam a</w:t>
      </w:r>
      <w:r w:rsidR="009D7797" w:rsidRPr="00D810F6">
        <w:t>s</w:t>
      </w:r>
      <w:r w:rsidR="00EF75A2" w:rsidRPr="00D810F6">
        <w:t xml:space="preserve"> estrutura</w:t>
      </w:r>
      <w:r w:rsidR="00124F33" w:rsidRPr="00D810F6">
        <w:t>s</w:t>
      </w:r>
      <w:r w:rsidR="00EF75A2" w:rsidRPr="00D810F6">
        <w:t xml:space="preserve"> </w:t>
      </w:r>
      <w:r w:rsidR="009D7797" w:rsidRPr="00D810F6">
        <w:t xml:space="preserve">e o comportamento </w:t>
      </w:r>
      <w:r w:rsidR="00EF75A2" w:rsidRPr="00D810F6">
        <w:t>do discurso</w:t>
      </w:r>
      <w:r w:rsidR="009D7797" w:rsidRPr="00D810F6">
        <w:t>.</w:t>
      </w:r>
    </w:p>
    <w:p w14:paraId="13675413" w14:textId="30527CB8" w:rsidR="009B1BF4" w:rsidRDefault="0048407C" w:rsidP="009D1D9F">
      <w:pPr>
        <w:spacing w:after="0" w:line="240" w:lineRule="auto"/>
        <w:ind w:firstLine="708"/>
        <w:jc w:val="both"/>
      </w:pPr>
      <w:r w:rsidRPr="00D810F6">
        <w:t xml:space="preserve">Além disso, estudos futuros podem verificar a influência do discurso das companhias no mercado de capitais, </w:t>
      </w:r>
      <w:r w:rsidR="009B1BF4" w:rsidRPr="00D810F6">
        <w:t xml:space="preserve">dando continuidade aos achados deste trabalho – o qual explicitou a existência de padrões de práticas discursivas. </w:t>
      </w:r>
      <w:r w:rsidR="00D8736C" w:rsidRPr="00D810F6">
        <w:t>Investigações dessa modalidade podem contribuir com a ciência, uma vez que se acredita que nenhuma abordagem de pesquisa, seja ela qualitativa ou quantitativa, é melhor que a outra. Elas devem coexistir e complementar as lacunas que inevitavelmente surgirão a partir das escolhas metodológicas dos pesquisadores.</w:t>
      </w:r>
    </w:p>
    <w:p w14:paraId="79F9840B" w14:textId="37222888" w:rsidR="009C3672" w:rsidRDefault="009C3672" w:rsidP="009D1D9F">
      <w:pPr>
        <w:spacing w:after="0" w:line="240" w:lineRule="auto"/>
        <w:jc w:val="both"/>
      </w:pPr>
    </w:p>
    <w:p w14:paraId="3479CBF0" w14:textId="77777777" w:rsidR="00D8736C" w:rsidRPr="00DD11B1" w:rsidRDefault="00D8736C" w:rsidP="009D1D9F">
      <w:pPr>
        <w:spacing w:after="0" w:line="240" w:lineRule="auto"/>
        <w:jc w:val="both"/>
      </w:pPr>
    </w:p>
    <w:p w14:paraId="0B2645BA" w14:textId="20396E01" w:rsidR="00934411" w:rsidRDefault="00731E27" w:rsidP="009E709C">
      <w:pPr>
        <w:spacing w:after="0" w:line="240" w:lineRule="auto"/>
        <w:jc w:val="both"/>
        <w:rPr>
          <w:b/>
          <w:szCs w:val="20"/>
        </w:rPr>
      </w:pPr>
      <w:r w:rsidRPr="00DD11B1">
        <w:rPr>
          <w:b/>
          <w:szCs w:val="20"/>
        </w:rPr>
        <w:t>REFERÊNCIAS</w:t>
      </w:r>
    </w:p>
    <w:p w14:paraId="2CFD7E00" w14:textId="77777777" w:rsidR="000570E3" w:rsidRPr="00DD11B1" w:rsidRDefault="000570E3" w:rsidP="009E709C">
      <w:pPr>
        <w:spacing w:after="0" w:line="240" w:lineRule="auto"/>
        <w:jc w:val="both"/>
        <w:rPr>
          <w:b/>
          <w:szCs w:val="20"/>
        </w:rPr>
      </w:pPr>
    </w:p>
    <w:p w14:paraId="0ACA8795" w14:textId="7D3BE2A5" w:rsidR="00C63020" w:rsidRPr="007156DD" w:rsidRDefault="0079111F" w:rsidP="00DC2148">
      <w:pPr>
        <w:spacing w:after="0" w:line="240" w:lineRule="auto"/>
        <w:jc w:val="both"/>
        <w:rPr>
          <w:rFonts w:cs="Times New Roman"/>
          <w:szCs w:val="24"/>
          <w:shd w:val="clear" w:color="auto" w:fill="FFFFFF"/>
          <w:lang w:val="en-US"/>
        </w:rPr>
      </w:pPr>
      <w:r w:rsidRPr="007156DD">
        <w:rPr>
          <w:rFonts w:cs="Times New Roman"/>
          <w:szCs w:val="24"/>
          <w:shd w:val="clear" w:color="auto" w:fill="FFFFFF"/>
        </w:rPr>
        <w:t>BERGER, P. L.; LUCKMANN</w:t>
      </w:r>
      <w:r w:rsidR="00C63020" w:rsidRPr="007156DD">
        <w:rPr>
          <w:rFonts w:cs="Times New Roman"/>
          <w:szCs w:val="24"/>
          <w:shd w:val="clear" w:color="auto" w:fill="FFFFFF"/>
        </w:rPr>
        <w:t xml:space="preserve">, T. </w:t>
      </w:r>
      <w:r w:rsidR="00C63020" w:rsidRPr="007156DD">
        <w:rPr>
          <w:rFonts w:cs="Times New Roman"/>
          <w:b/>
          <w:szCs w:val="24"/>
          <w:shd w:val="clear" w:color="auto" w:fill="FFFFFF"/>
        </w:rPr>
        <w:t>A Construção Social da Realidade: Tratado de Sociologia do Conhecimento</w:t>
      </w:r>
      <w:r w:rsidR="00C63020" w:rsidRPr="007156DD">
        <w:rPr>
          <w:rFonts w:cs="Times New Roman"/>
          <w:szCs w:val="24"/>
          <w:shd w:val="clear" w:color="auto" w:fill="FFFFFF"/>
        </w:rPr>
        <w:t xml:space="preserve">. </w:t>
      </w:r>
      <w:r w:rsidR="00C63020" w:rsidRPr="007156DD">
        <w:rPr>
          <w:rFonts w:cs="Times New Roman"/>
          <w:szCs w:val="24"/>
          <w:shd w:val="clear" w:color="auto" w:fill="FFFFFF"/>
          <w:lang w:val="en-US"/>
        </w:rPr>
        <w:t xml:space="preserve">36. ed. </w:t>
      </w:r>
      <w:proofErr w:type="spellStart"/>
      <w:r w:rsidR="00C63020" w:rsidRPr="007156DD">
        <w:rPr>
          <w:rFonts w:cs="Times New Roman"/>
          <w:szCs w:val="24"/>
          <w:shd w:val="clear" w:color="auto" w:fill="FFFFFF"/>
          <w:lang w:val="en-US"/>
        </w:rPr>
        <w:t>Petrópolis</w:t>
      </w:r>
      <w:proofErr w:type="spellEnd"/>
      <w:r w:rsidR="00C63020" w:rsidRPr="007156DD">
        <w:rPr>
          <w:rFonts w:cs="Times New Roman"/>
          <w:szCs w:val="24"/>
          <w:shd w:val="clear" w:color="auto" w:fill="FFFFFF"/>
          <w:lang w:val="en-US"/>
        </w:rPr>
        <w:t xml:space="preserve">: </w:t>
      </w:r>
      <w:proofErr w:type="spellStart"/>
      <w:r w:rsidR="00C63020" w:rsidRPr="007156DD">
        <w:rPr>
          <w:rFonts w:cs="Times New Roman"/>
          <w:szCs w:val="24"/>
          <w:shd w:val="clear" w:color="auto" w:fill="FFFFFF"/>
          <w:lang w:val="en-US"/>
        </w:rPr>
        <w:t>Voze</w:t>
      </w:r>
      <w:r w:rsidRPr="007156DD">
        <w:rPr>
          <w:rFonts w:cs="Times New Roman"/>
          <w:szCs w:val="24"/>
          <w:shd w:val="clear" w:color="auto" w:fill="FFFFFF"/>
          <w:lang w:val="en-US"/>
        </w:rPr>
        <w:t>S</w:t>
      </w:r>
      <w:proofErr w:type="spellEnd"/>
      <w:r w:rsidRPr="007156DD">
        <w:rPr>
          <w:rFonts w:cs="Times New Roman"/>
          <w:szCs w:val="24"/>
          <w:shd w:val="clear" w:color="auto" w:fill="FFFFFF"/>
          <w:lang w:val="en-US"/>
        </w:rPr>
        <w:t>, 2014</w:t>
      </w:r>
      <w:r w:rsidR="00C63020" w:rsidRPr="007156DD">
        <w:rPr>
          <w:rFonts w:cs="Times New Roman"/>
          <w:szCs w:val="24"/>
          <w:shd w:val="clear" w:color="auto" w:fill="FFFFFF"/>
          <w:lang w:val="en-US"/>
        </w:rPr>
        <w:t>.</w:t>
      </w:r>
    </w:p>
    <w:p w14:paraId="182C4801" w14:textId="77777777" w:rsidR="000570E3" w:rsidRPr="007156DD" w:rsidRDefault="000570E3" w:rsidP="00DC2148">
      <w:pPr>
        <w:spacing w:after="0" w:line="240" w:lineRule="auto"/>
        <w:jc w:val="both"/>
        <w:rPr>
          <w:rFonts w:cs="Times New Roman"/>
          <w:szCs w:val="24"/>
          <w:shd w:val="clear" w:color="auto" w:fill="FFFFFF"/>
          <w:lang w:val="en-US"/>
        </w:rPr>
      </w:pPr>
    </w:p>
    <w:p w14:paraId="08F250A0" w14:textId="224513B6" w:rsidR="00FA6C27" w:rsidRPr="007156DD" w:rsidRDefault="007156DD" w:rsidP="00DC2148">
      <w:pPr>
        <w:spacing w:after="0" w:line="240" w:lineRule="auto"/>
        <w:jc w:val="both"/>
        <w:rPr>
          <w:rFonts w:cs="Times New Roman"/>
          <w:szCs w:val="24"/>
          <w:shd w:val="clear" w:color="auto" w:fill="FFFFFF"/>
          <w:lang w:val="en-US"/>
        </w:rPr>
      </w:pPr>
      <w:r w:rsidRPr="007156DD">
        <w:rPr>
          <w:rFonts w:cs="Times New Roman"/>
          <w:szCs w:val="24"/>
          <w:shd w:val="clear" w:color="auto" w:fill="FFFFFF"/>
          <w:lang w:val="en-US"/>
        </w:rPr>
        <w:t>BEVIR</w:t>
      </w:r>
      <w:r w:rsidR="00FA6C27" w:rsidRPr="007156DD">
        <w:rPr>
          <w:rFonts w:cs="Times New Roman"/>
          <w:szCs w:val="24"/>
          <w:shd w:val="clear" w:color="auto" w:fill="FFFFFF"/>
          <w:lang w:val="en-US"/>
        </w:rPr>
        <w:t xml:space="preserve">, M. (2011). </w:t>
      </w:r>
      <w:r w:rsidR="00FA6C27" w:rsidRPr="007156DD">
        <w:rPr>
          <w:rFonts w:cs="Times New Roman"/>
          <w:iCs/>
          <w:szCs w:val="24"/>
          <w:shd w:val="clear" w:color="auto" w:fill="FFFFFF"/>
          <w:lang w:val="en-US"/>
        </w:rPr>
        <w:t>Governance as theory, practice, and dilemma</w:t>
      </w:r>
      <w:r w:rsidR="00FA6C27" w:rsidRPr="007156DD">
        <w:rPr>
          <w:rFonts w:cs="Times New Roman"/>
          <w:i/>
          <w:szCs w:val="24"/>
          <w:shd w:val="clear" w:color="auto" w:fill="FFFFFF"/>
          <w:lang w:val="en-US"/>
        </w:rPr>
        <w:t>.</w:t>
      </w:r>
      <w:r w:rsidR="00FA6C27" w:rsidRPr="007156DD">
        <w:rPr>
          <w:rFonts w:cs="Times New Roman"/>
          <w:szCs w:val="24"/>
          <w:shd w:val="clear" w:color="auto" w:fill="FFFFFF"/>
          <w:lang w:val="en-US"/>
        </w:rPr>
        <w:t> </w:t>
      </w:r>
      <w:r w:rsidRPr="007156DD">
        <w:rPr>
          <w:iCs/>
          <w:szCs w:val="20"/>
          <w:shd w:val="clear" w:color="auto" w:fill="FFFFFF"/>
          <w:lang w:val="en-US"/>
        </w:rPr>
        <w:t>In: BEVIR, M. (Ed</w:t>
      </w:r>
      <w:r w:rsidRPr="007156DD">
        <w:rPr>
          <w:b/>
          <w:bCs/>
          <w:iCs/>
          <w:szCs w:val="20"/>
          <w:shd w:val="clear" w:color="auto" w:fill="FFFFFF"/>
          <w:lang w:val="en-US"/>
        </w:rPr>
        <w:t>.).</w:t>
      </w:r>
      <w:r w:rsidRPr="007156DD">
        <w:rPr>
          <w:b/>
          <w:bCs/>
          <w:szCs w:val="20"/>
          <w:shd w:val="clear" w:color="auto" w:fill="FFFFFF"/>
          <w:lang w:val="en-US"/>
        </w:rPr>
        <w:t> The SAGE Handbook of Governance</w:t>
      </w:r>
      <w:r w:rsidR="00FA6C27" w:rsidRPr="007156DD">
        <w:rPr>
          <w:rFonts w:cs="Times New Roman"/>
          <w:szCs w:val="24"/>
          <w:shd w:val="clear" w:color="auto" w:fill="FFFFFF"/>
          <w:lang w:val="en-US"/>
        </w:rPr>
        <w:t>,</w:t>
      </w:r>
      <w:r w:rsidRPr="007156DD">
        <w:rPr>
          <w:rFonts w:cs="Times New Roman"/>
          <w:szCs w:val="24"/>
          <w:shd w:val="clear" w:color="auto" w:fill="FFFFFF"/>
          <w:lang w:val="en-US"/>
        </w:rPr>
        <w:t xml:space="preserve"> p.</w:t>
      </w:r>
      <w:r w:rsidR="00FA6C27" w:rsidRPr="007156DD">
        <w:rPr>
          <w:rFonts w:cs="Times New Roman"/>
          <w:szCs w:val="24"/>
          <w:shd w:val="clear" w:color="auto" w:fill="FFFFFF"/>
          <w:lang w:val="en-US"/>
        </w:rPr>
        <w:t xml:space="preserve"> 1-16</w:t>
      </w:r>
      <w:r w:rsidRPr="007156DD">
        <w:rPr>
          <w:rFonts w:cs="Times New Roman"/>
          <w:szCs w:val="24"/>
          <w:shd w:val="clear" w:color="auto" w:fill="FFFFFF"/>
          <w:lang w:val="en-US"/>
        </w:rPr>
        <w:t>, 2011</w:t>
      </w:r>
      <w:r w:rsidR="00FA6C27" w:rsidRPr="007156DD">
        <w:rPr>
          <w:rFonts w:cs="Times New Roman"/>
          <w:szCs w:val="24"/>
          <w:shd w:val="clear" w:color="auto" w:fill="FFFFFF"/>
          <w:lang w:val="en-US"/>
        </w:rPr>
        <w:t>.</w:t>
      </w:r>
    </w:p>
    <w:p w14:paraId="3C36988D" w14:textId="77777777" w:rsidR="000570E3" w:rsidRPr="007156DD" w:rsidRDefault="000570E3" w:rsidP="00DC2148">
      <w:pPr>
        <w:spacing w:after="0" w:line="240" w:lineRule="auto"/>
        <w:jc w:val="both"/>
        <w:rPr>
          <w:rFonts w:cs="Times New Roman"/>
          <w:szCs w:val="24"/>
          <w:shd w:val="clear" w:color="auto" w:fill="FFFFFF"/>
          <w:lang w:val="en-US"/>
        </w:rPr>
      </w:pPr>
    </w:p>
    <w:p w14:paraId="16C01B99" w14:textId="08596D5C" w:rsidR="00C63020" w:rsidRPr="007156DD" w:rsidRDefault="00C737AD" w:rsidP="00DC2148">
      <w:pPr>
        <w:spacing w:after="0" w:line="240" w:lineRule="auto"/>
        <w:jc w:val="both"/>
        <w:rPr>
          <w:szCs w:val="24"/>
          <w:shd w:val="clear" w:color="auto" w:fill="FFFFFF"/>
          <w:lang w:val="en-US"/>
        </w:rPr>
      </w:pPr>
      <w:r w:rsidRPr="007156DD">
        <w:rPr>
          <w:rFonts w:cs="Times New Roman"/>
          <w:szCs w:val="24"/>
          <w:shd w:val="clear" w:color="auto" w:fill="FFFFFF"/>
          <w:lang w:val="en-US"/>
        </w:rPr>
        <w:t>BUSHMAN, R</w:t>
      </w:r>
      <w:r w:rsidRPr="007156DD">
        <w:rPr>
          <w:szCs w:val="24"/>
          <w:shd w:val="clear" w:color="auto" w:fill="FFFFFF"/>
          <w:lang w:val="en-US"/>
        </w:rPr>
        <w:t>. M.; PIOTROSKI, J. D.; SMITH</w:t>
      </w:r>
      <w:r w:rsidR="00C63020" w:rsidRPr="007156DD">
        <w:rPr>
          <w:szCs w:val="24"/>
          <w:shd w:val="clear" w:color="auto" w:fill="FFFFFF"/>
          <w:lang w:val="en-US"/>
        </w:rPr>
        <w:t xml:space="preserve">, A. J. What determines corporate </w:t>
      </w:r>
      <w:proofErr w:type="gramStart"/>
      <w:r w:rsidR="00C63020" w:rsidRPr="007156DD">
        <w:rPr>
          <w:szCs w:val="24"/>
          <w:shd w:val="clear" w:color="auto" w:fill="FFFFFF"/>
          <w:lang w:val="en-US"/>
        </w:rPr>
        <w:t>transparency?.</w:t>
      </w:r>
      <w:proofErr w:type="gramEnd"/>
      <w:r w:rsidR="00C63020" w:rsidRPr="007156DD">
        <w:rPr>
          <w:szCs w:val="24"/>
          <w:shd w:val="clear" w:color="auto" w:fill="FFFFFF"/>
          <w:lang w:val="en-US"/>
        </w:rPr>
        <w:t> </w:t>
      </w:r>
      <w:r w:rsidR="00C63020" w:rsidRPr="007156DD">
        <w:rPr>
          <w:b/>
          <w:iCs/>
          <w:szCs w:val="24"/>
          <w:shd w:val="clear" w:color="auto" w:fill="FFFFFF"/>
          <w:lang w:val="en-US"/>
        </w:rPr>
        <w:t>Journal of Accounting Research</w:t>
      </w:r>
      <w:r w:rsidR="00C63020" w:rsidRPr="007156DD">
        <w:rPr>
          <w:szCs w:val="24"/>
          <w:shd w:val="clear" w:color="auto" w:fill="FFFFFF"/>
          <w:lang w:val="en-US"/>
        </w:rPr>
        <w:t>,</w:t>
      </w:r>
      <w:r w:rsidRPr="007156DD">
        <w:rPr>
          <w:szCs w:val="24"/>
          <w:shd w:val="clear" w:color="auto" w:fill="FFFFFF"/>
          <w:lang w:val="en-US"/>
        </w:rPr>
        <w:t xml:space="preserve"> v.</w:t>
      </w:r>
      <w:r w:rsidR="00C63020" w:rsidRPr="007156DD">
        <w:rPr>
          <w:szCs w:val="24"/>
          <w:shd w:val="clear" w:color="auto" w:fill="FFFFFF"/>
          <w:lang w:val="en-US"/>
        </w:rPr>
        <w:t> </w:t>
      </w:r>
      <w:r w:rsidR="00C63020" w:rsidRPr="007156DD">
        <w:rPr>
          <w:iCs/>
          <w:szCs w:val="24"/>
          <w:shd w:val="clear" w:color="auto" w:fill="FFFFFF"/>
          <w:lang w:val="en-US"/>
        </w:rPr>
        <w:t>42</w:t>
      </w:r>
      <w:r w:rsidRPr="007156DD">
        <w:rPr>
          <w:szCs w:val="24"/>
          <w:shd w:val="clear" w:color="auto" w:fill="FFFFFF"/>
          <w:lang w:val="en-US"/>
        </w:rPr>
        <w:t xml:space="preserve">, n. </w:t>
      </w:r>
      <w:r w:rsidR="00C63020" w:rsidRPr="007156DD">
        <w:rPr>
          <w:szCs w:val="24"/>
          <w:shd w:val="clear" w:color="auto" w:fill="FFFFFF"/>
          <w:lang w:val="en-US"/>
        </w:rPr>
        <w:t xml:space="preserve">2, </w:t>
      </w:r>
      <w:r w:rsidRPr="007156DD">
        <w:rPr>
          <w:szCs w:val="24"/>
          <w:shd w:val="clear" w:color="auto" w:fill="FFFFFF"/>
          <w:lang w:val="en-US"/>
        </w:rPr>
        <w:t xml:space="preserve">p. </w:t>
      </w:r>
      <w:r w:rsidR="00C63020" w:rsidRPr="007156DD">
        <w:rPr>
          <w:szCs w:val="24"/>
          <w:shd w:val="clear" w:color="auto" w:fill="FFFFFF"/>
          <w:lang w:val="en-US"/>
        </w:rPr>
        <w:t>207-252</w:t>
      </w:r>
      <w:r w:rsidRPr="007156DD">
        <w:rPr>
          <w:szCs w:val="24"/>
          <w:shd w:val="clear" w:color="auto" w:fill="FFFFFF"/>
          <w:lang w:val="en-US"/>
        </w:rPr>
        <w:t>, 2004</w:t>
      </w:r>
      <w:r w:rsidR="00C63020" w:rsidRPr="007156DD">
        <w:rPr>
          <w:szCs w:val="24"/>
          <w:shd w:val="clear" w:color="auto" w:fill="FFFFFF"/>
          <w:lang w:val="en-US"/>
        </w:rPr>
        <w:t>.</w:t>
      </w:r>
      <w:r w:rsidR="009D1C64" w:rsidRPr="007156DD">
        <w:rPr>
          <w:szCs w:val="24"/>
          <w:shd w:val="clear" w:color="auto" w:fill="FFFFFF"/>
          <w:lang w:val="en-US"/>
        </w:rPr>
        <w:t xml:space="preserve"> </w:t>
      </w:r>
      <w:proofErr w:type="spellStart"/>
      <w:r w:rsidR="00C63020" w:rsidRPr="007156DD">
        <w:rPr>
          <w:szCs w:val="24"/>
          <w:shd w:val="clear" w:color="auto" w:fill="FFFFFF"/>
          <w:lang w:val="en-US"/>
        </w:rPr>
        <w:t>doi</w:t>
      </w:r>
      <w:proofErr w:type="spellEnd"/>
      <w:r w:rsidR="00C63020" w:rsidRPr="007156DD">
        <w:rPr>
          <w:szCs w:val="24"/>
          <w:shd w:val="clear" w:color="auto" w:fill="FFFFFF"/>
          <w:lang w:val="en-US"/>
        </w:rPr>
        <w:t>: 10.1111/j.1475-679X.</w:t>
      </w:r>
      <w:proofErr w:type="gramStart"/>
      <w:r w:rsidR="00C63020" w:rsidRPr="007156DD">
        <w:rPr>
          <w:szCs w:val="24"/>
          <w:shd w:val="clear" w:color="auto" w:fill="FFFFFF"/>
          <w:lang w:val="en-US"/>
        </w:rPr>
        <w:t>2004.00136.x</w:t>
      </w:r>
      <w:proofErr w:type="gramEnd"/>
    </w:p>
    <w:p w14:paraId="7FBBB31A" w14:textId="77777777" w:rsidR="000570E3" w:rsidRPr="007156DD" w:rsidRDefault="000570E3" w:rsidP="00DC2148">
      <w:pPr>
        <w:spacing w:after="0" w:line="240" w:lineRule="auto"/>
        <w:jc w:val="both"/>
        <w:rPr>
          <w:rFonts w:cs="Times New Roman"/>
          <w:szCs w:val="24"/>
          <w:shd w:val="clear" w:color="auto" w:fill="FFFFFF"/>
          <w:lang w:val="en-US"/>
        </w:rPr>
      </w:pPr>
    </w:p>
    <w:p w14:paraId="62EF8676" w14:textId="4D4FF9E9" w:rsidR="00C63020" w:rsidRPr="007156DD" w:rsidRDefault="009D1C64" w:rsidP="00DC2148">
      <w:pPr>
        <w:spacing w:after="0" w:line="240" w:lineRule="auto"/>
        <w:jc w:val="both"/>
        <w:rPr>
          <w:rFonts w:cs="Times New Roman"/>
          <w:szCs w:val="24"/>
          <w:shd w:val="clear" w:color="auto" w:fill="FFFFFF"/>
          <w:lang w:val="en-US"/>
        </w:rPr>
      </w:pPr>
      <w:r w:rsidRPr="007156DD">
        <w:rPr>
          <w:rFonts w:cs="Times New Roman"/>
          <w:szCs w:val="24"/>
          <w:shd w:val="clear" w:color="auto" w:fill="FFFFFF"/>
          <w:lang w:val="en-US"/>
        </w:rPr>
        <w:t xml:space="preserve">CHO, Charles H.; ROBERTS, Robin W.; PATTEN, Dennis M. The language of US corporate environmental disclosure. </w:t>
      </w:r>
      <w:r w:rsidRPr="007156DD">
        <w:rPr>
          <w:rFonts w:cs="Times New Roman"/>
          <w:i/>
          <w:iCs/>
          <w:szCs w:val="24"/>
          <w:shd w:val="clear" w:color="auto" w:fill="FFFFFF"/>
          <w:lang w:val="en-US"/>
        </w:rPr>
        <w:t>Accounting, Organizations and Society</w:t>
      </w:r>
      <w:r w:rsidRPr="007156DD">
        <w:rPr>
          <w:rFonts w:cs="Times New Roman"/>
          <w:szCs w:val="24"/>
          <w:shd w:val="clear" w:color="auto" w:fill="FFFFFF"/>
          <w:lang w:val="en-US"/>
        </w:rPr>
        <w:t xml:space="preserve">, v. 35, n. 4, p. 431-443, 2010. </w:t>
      </w:r>
      <w:proofErr w:type="spellStart"/>
      <w:r w:rsidR="00C63020" w:rsidRPr="007156DD">
        <w:rPr>
          <w:rFonts w:cs="Times New Roman"/>
          <w:szCs w:val="24"/>
          <w:shd w:val="clear" w:color="auto" w:fill="FFFFFF"/>
          <w:lang w:val="en-US"/>
        </w:rPr>
        <w:t>doi</w:t>
      </w:r>
      <w:proofErr w:type="spellEnd"/>
      <w:r w:rsidR="00C63020" w:rsidRPr="007156DD">
        <w:rPr>
          <w:rFonts w:cs="Times New Roman"/>
          <w:szCs w:val="24"/>
          <w:shd w:val="clear" w:color="auto" w:fill="FFFFFF"/>
          <w:lang w:val="en-US"/>
        </w:rPr>
        <w:t>: 10.1016/j.aos.2009.10.002</w:t>
      </w:r>
    </w:p>
    <w:p w14:paraId="5A214CD4" w14:textId="77777777" w:rsidR="000570E3" w:rsidRPr="007156DD" w:rsidRDefault="000570E3" w:rsidP="00DC2148">
      <w:pPr>
        <w:spacing w:after="0" w:line="240" w:lineRule="auto"/>
        <w:jc w:val="both"/>
        <w:rPr>
          <w:szCs w:val="24"/>
          <w:shd w:val="clear" w:color="auto" w:fill="FFFFFF"/>
          <w:lang w:val="en-US"/>
        </w:rPr>
      </w:pPr>
    </w:p>
    <w:p w14:paraId="2B53647A" w14:textId="3BE4D08A" w:rsidR="000570E3" w:rsidRPr="007156DD" w:rsidRDefault="0098476B" w:rsidP="00DC2148">
      <w:pPr>
        <w:spacing w:after="0" w:line="240" w:lineRule="auto"/>
        <w:jc w:val="both"/>
        <w:rPr>
          <w:szCs w:val="24"/>
          <w:shd w:val="clear" w:color="auto" w:fill="FFFFFF"/>
          <w:lang w:val="en-US"/>
        </w:rPr>
      </w:pPr>
      <w:r w:rsidRPr="007156DD">
        <w:rPr>
          <w:szCs w:val="24"/>
          <w:shd w:val="clear" w:color="auto" w:fill="FFFFFF"/>
          <w:lang w:val="en-US"/>
        </w:rPr>
        <w:t xml:space="preserve">COSTA, M. C; PASSOS, G. A.; RYNGELBLUM; A. L. Gradual institutional change and media influence: The case of Petrobras in Brazil. </w:t>
      </w:r>
      <w:r w:rsidRPr="007156DD">
        <w:rPr>
          <w:b/>
          <w:bCs/>
          <w:szCs w:val="24"/>
          <w:shd w:val="clear" w:color="auto" w:fill="FFFFFF"/>
          <w:lang w:val="en-US"/>
        </w:rPr>
        <w:t>Journal of Public Affairs</w:t>
      </w:r>
      <w:r w:rsidRPr="007156DD">
        <w:rPr>
          <w:szCs w:val="24"/>
          <w:shd w:val="clear" w:color="auto" w:fill="FFFFFF"/>
          <w:lang w:val="en-US"/>
        </w:rPr>
        <w:t xml:space="preserve">, </w:t>
      </w:r>
      <w:r w:rsidR="009D1C64" w:rsidRPr="007156DD">
        <w:rPr>
          <w:szCs w:val="24"/>
          <w:shd w:val="clear" w:color="auto" w:fill="FFFFFF"/>
          <w:lang w:val="en-US"/>
        </w:rPr>
        <w:t xml:space="preserve">n. </w:t>
      </w:r>
      <w:r w:rsidRPr="007156DD">
        <w:rPr>
          <w:szCs w:val="24"/>
          <w:shd w:val="clear" w:color="auto" w:fill="FFFFFF"/>
          <w:lang w:val="en-US"/>
        </w:rPr>
        <w:t>1969, p. 1-10, 2019.</w:t>
      </w:r>
      <w:r w:rsidR="009D1C64" w:rsidRPr="007156DD">
        <w:rPr>
          <w:szCs w:val="24"/>
          <w:shd w:val="clear" w:color="auto" w:fill="FFFFFF"/>
          <w:lang w:val="en-US"/>
        </w:rPr>
        <w:t xml:space="preserve"> </w:t>
      </w:r>
      <w:proofErr w:type="spellStart"/>
      <w:r w:rsidR="009D1C64" w:rsidRPr="007156DD">
        <w:rPr>
          <w:szCs w:val="24"/>
          <w:shd w:val="clear" w:color="auto" w:fill="FFFFFF"/>
          <w:lang w:val="en-US"/>
        </w:rPr>
        <w:t>doi</w:t>
      </w:r>
      <w:proofErr w:type="spellEnd"/>
      <w:r w:rsidR="009D1C64" w:rsidRPr="007156DD">
        <w:rPr>
          <w:szCs w:val="24"/>
          <w:shd w:val="clear" w:color="auto" w:fill="FFFFFF"/>
          <w:lang w:val="en-US"/>
        </w:rPr>
        <w:t xml:space="preserve">: </w:t>
      </w:r>
      <w:r w:rsidRPr="007156DD">
        <w:rPr>
          <w:szCs w:val="24"/>
          <w:shd w:val="clear" w:color="auto" w:fill="FFFFFF"/>
          <w:lang w:val="en-US"/>
        </w:rPr>
        <w:t>https://doi.org/10.1002/pa.196910.</w:t>
      </w:r>
    </w:p>
    <w:p w14:paraId="1202F91E" w14:textId="77777777" w:rsidR="0098476B" w:rsidRPr="007156DD" w:rsidRDefault="0098476B" w:rsidP="00DC2148">
      <w:pPr>
        <w:spacing w:after="0" w:line="240" w:lineRule="auto"/>
        <w:jc w:val="both"/>
        <w:rPr>
          <w:rFonts w:eastAsia="Calibri" w:cs="Arial"/>
          <w:szCs w:val="24"/>
          <w:shd w:val="clear" w:color="auto" w:fill="FFFFFF"/>
          <w:lang w:val="en-US"/>
        </w:rPr>
      </w:pPr>
    </w:p>
    <w:p w14:paraId="7BFD48F5" w14:textId="0EA4AFB6" w:rsidR="00C63020" w:rsidRPr="007156DD" w:rsidRDefault="009D1C64" w:rsidP="00DC2148">
      <w:pPr>
        <w:spacing w:after="0" w:line="240" w:lineRule="auto"/>
        <w:jc w:val="both"/>
      </w:pPr>
      <w:r w:rsidRPr="007156DD">
        <w:rPr>
          <w:rFonts w:eastAsia="Calibri" w:cs="Arial"/>
          <w:szCs w:val="24"/>
          <w:shd w:val="clear" w:color="auto" w:fill="FFFFFF"/>
        </w:rPr>
        <w:t>DENZIN, N, K.; LINCOLN, Y. S</w:t>
      </w:r>
      <w:r w:rsidR="00C63020" w:rsidRPr="007156DD">
        <w:rPr>
          <w:rFonts w:eastAsia="Calibri" w:cs="Arial"/>
          <w:szCs w:val="24"/>
          <w:shd w:val="clear" w:color="auto" w:fill="FFFFFF"/>
        </w:rPr>
        <w:t>. Introdução: A Disciplina e a Prática da Pesquisa Qualitativa. In</w:t>
      </w:r>
      <w:r w:rsidR="007630A4" w:rsidRPr="007156DD">
        <w:rPr>
          <w:rFonts w:eastAsia="Calibri" w:cs="Arial"/>
          <w:szCs w:val="24"/>
          <w:shd w:val="clear" w:color="auto" w:fill="FFFFFF"/>
        </w:rPr>
        <w:t>:</w:t>
      </w:r>
      <w:r w:rsidR="00C63020" w:rsidRPr="007156DD">
        <w:rPr>
          <w:rFonts w:eastAsia="Calibri" w:cs="Arial"/>
          <w:szCs w:val="24"/>
          <w:shd w:val="clear" w:color="auto" w:fill="FFFFFF"/>
        </w:rPr>
        <w:t xml:space="preserve"> </w:t>
      </w:r>
      <w:r w:rsidRPr="007156DD">
        <w:rPr>
          <w:rFonts w:eastAsia="Calibri" w:cs="Arial"/>
          <w:szCs w:val="24"/>
          <w:shd w:val="clear" w:color="auto" w:fill="FFFFFF"/>
        </w:rPr>
        <w:t>DENZIN, N, K.</w:t>
      </w:r>
      <w:r w:rsidR="007156DD" w:rsidRPr="007156DD">
        <w:rPr>
          <w:rFonts w:eastAsia="Calibri" w:cs="Arial"/>
          <w:szCs w:val="24"/>
          <w:shd w:val="clear" w:color="auto" w:fill="FFFFFF"/>
        </w:rPr>
        <w:t xml:space="preserve">; </w:t>
      </w:r>
      <w:r w:rsidRPr="007156DD">
        <w:rPr>
          <w:rFonts w:eastAsia="Calibri" w:cs="Arial"/>
          <w:szCs w:val="24"/>
          <w:shd w:val="clear" w:color="auto" w:fill="FFFFFF"/>
        </w:rPr>
        <w:t>LINCOLN, Y. S.</w:t>
      </w:r>
      <w:r w:rsidR="007630A4" w:rsidRPr="007156DD">
        <w:rPr>
          <w:rFonts w:eastAsia="Calibri" w:cs="Arial"/>
          <w:szCs w:val="24"/>
          <w:shd w:val="clear" w:color="auto" w:fill="FFFFFF"/>
        </w:rPr>
        <w:t xml:space="preserve"> (Org.).</w:t>
      </w:r>
      <w:r w:rsidRPr="007156DD">
        <w:rPr>
          <w:rFonts w:eastAsia="Calibri" w:cs="Arial"/>
          <w:szCs w:val="24"/>
          <w:shd w:val="clear" w:color="auto" w:fill="FFFFFF"/>
        </w:rPr>
        <w:t xml:space="preserve"> </w:t>
      </w:r>
      <w:r w:rsidR="00C63020" w:rsidRPr="007156DD">
        <w:rPr>
          <w:rFonts w:eastAsia="Calibri" w:cs="Arial"/>
          <w:b/>
          <w:bCs/>
          <w:iCs/>
          <w:szCs w:val="24"/>
          <w:shd w:val="clear" w:color="auto" w:fill="FFFFFF"/>
        </w:rPr>
        <w:t>O Planejamento da Pesquisa Qualitativa: Teorias e Abordagens</w:t>
      </w:r>
      <w:r w:rsidR="00C63020" w:rsidRPr="007156DD">
        <w:rPr>
          <w:rFonts w:eastAsia="Calibri" w:cs="Arial"/>
          <w:szCs w:val="24"/>
          <w:shd w:val="clear" w:color="auto" w:fill="FFFFFF"/>
        </w:rPr>
        <w:t xml:space="preserve">. Porto Alegre: Artmed, </w:t>
      </w:r>
      <w:r w:rsidRPr="007156DD">
        <w:rPr>
          <w:rFonts w:eastAsia="Calibri" w:cs="Arial"/>
          <w:szCs w:val="24"/>
          <w:shd w:val="clear" w:color="auto" w:fill="FFFFFF"/>
        </w:rPr>
        <w:t xml:space="preserve">p. </w:t>
      </w:r>
      <w:r w:rsidR="00C63020" w:rsidRPr="007156DD">
        <w:rPr>
          <w:rFonts w:eastAsia="Calibri" w:cs="Arial"/>
          <w:szCs w:val="24"/>
          <w:shd w:val="clear" w:color="auto" w:fill="FFFFFF"/>
        </w:rPr>
        <w:t>15-41</w:t>
      </w:r>
      <w:r w:rsidRPr="007156DD">
        <w:rPr>
          <w:rFonts w:eastAsia="Calibri" w:cs="Arial"/>
          <w:szCs w:val="24"/>
          <w:shd w:val="clear" w:color="auto" w:fill="FFFFFF"/>
        </w:rPr>
        <w:t>, 2006</w:t>
      </w:r>
      <w:r w:rsidR="00C63020" w:rsidRPr="007156DD">
        <w:rPr>
          <w:rFonts w:eastAsia="Calibri" w:cs="Arial"/>
          <w:szCs w:val="24"/>
          <w:shd w:val="clear" w:color="auto" w:fill="FFFFFF"/>
        </w:rPr>
        <w:t>.</w:t>
      </w:r>
    </w:p>
    <w:p w14:paraId="42CD9652" w14:textId="77777777" w:rsidR="000570E3" w:rsidRPr="007156DD" w:rsidRDefault="000570E3" w:rsidP="00DC2148">
      <w:pPr>
        <w:spacing w:after="0" w:line="240" w:lineRule="auto"/>
        <w:jc w:val="both"/>
      </w:pPr>
    </w:p>
    <w:p w14:paraId="3EE4D085" w14:textId="472516AD" w:rsidR="00C63020" w:rsidRPr="00A8004B" w:rsidRDefault="007630A4" w:rsidP="00DC2148">
      <w:pPr>
        <w:spacing w:after="0" w:line="240" w:lineRule="auto"/>
        <w:jc w:val="both"/>
        <w:rPr>
          <w:szCs w:val="24"/>
          <w:shd w:val="clear" w:color="auto" w:fill="FFFFFF"/>
          <w:lang w:val="en-US"/>
        </w:rPr>
      </w:pPr>
      <w:r w:rsidRPr="007156DD">
        <w:t>DIMAGGIO, P. J.; POWELL, W. W</w:t>
      </w:r>
      <w:r w:rsidR="00C63020" w:rsidRPr="007156DD">
        <w:t>. Jaula de Ferro Revisada: Isomorfismo Institucional e Racionalidade Coletiva nos Campos Organizacionais. In</w:t>
      </w:r>
      <w:r w:rsidRPr="007156DD">
        <w:t>:</w:t>
      </w:r>
      <w:r w:rsidR="00C63020" w:rsidRPr="007156DD">
        <w:t xml:space="preserve"> </w:t>
      </w:r>
      <w:r w:rsidRPr="007156DD">
        <w:t>CALDAS, M. P.; BERTERO</w:t>
      </w:r>
      <w:r w:rsidR="00C63020" w:rsidRPr="007156DD">
        <w:t xml:space="preserve">, C. O. </w:t>
      </w:r>
      <w:r w:rsidRPr="007156DD">
        <w:t xml:space="preserve">(Org.). </w:t>
      </w:r>
      <w:r w:rsidR="00C63020" w:rsidRPr="007156DD">
        <w:rPr>
          <w:b/>
          <w:bCs/>
          <w:iCs/>
        </w:rPr>
        <w:t>Teoria das Organizações</w:t>
      </w:r>
      <w:r w:rsidR="00C63020" w:rsidRPr="007156DD">
        <w:t xml:space="preserve">. </w:t>
      </w:r>
      <w:r w:rsidR="00C63020" w:rsidRPr="00A8004B">
        <w:rPr>
          <w:lang w:val="en-US"/>
        </w:rPr>
        <w:t>São Paulo: Atlas, 117-142</w:t>
      </w:r>
      <w:r w:rsidRPr="00A8004B">
        <w:rPr>
          <w:lang w:val="en-US"/>
        </w:rPr>
        <w:t>, 2007</w:t>
      </w:r>
      <w:r w:rsidR="00C63020" w:rsidRPr="00A8004B">
        <w:rPr>
          <w:lang w:val="en-US"/>
        </w:rPr>
        <w:t>.</w:t>
      </w:r>
    </w:p>
    <w:p w14:paraId="53C6CD7A" w14:textId="77777777" w:rsidR="000570E3" w:rsidRPr="00A8004B" w:rsidRDefault="000570E3" w:rsidP="00DC2148">
      <w:pPr>
        <w:spacing w:after="0" w:line="240" w:lineRule="auto"/>
        <w:jc w:val="both"/>
        <w:rPr>
          <w:szCs w:val="20"/>
          <w:shd w:val="clear" w:color="auto" w:fill="FFFFFF"/>
          <w:lang w:val="en-US"/>
        </w:rPr>
      </w:pPr>
    </w:p>
    <w:p w14:paraId="6B205F59" w14:textId="61C1DC6D" w:rsidR="00C63020" w:rsidRPr="007156DD" w:rsidRDefault="007630A4" w:rsidP="00DC2148">
      <w:pPr>
        <w:spacing w:after="0" w:line="240" w:lineRule="auto"/>
        <w:jc w:val="both"/>
        <w:rPr>
          <w:szCs w:val="20"/>
          <w:shd w:val="clear" w:color="auto" w:fill="FFFFFF"/>
          <w:lang w:val="en-US"/>
        </w:rPr>
      </w:pPr>
      <w:r w:rsidRPr="007156DD">
        <w:rPr>
          <w:szCs w:val="20"/>
          <w:shd w:val="clear" w:color="auto" w:fill="FFFFFF"/>
          <w:lang w:val="en-US"/>
        </w:rPr>
        <w:t>DYE, R. A. Investor sophistication and voluntary disclosures.</w:t>
      </w:r>
      <w:r w:rsidRPr="007156DD">
        <w:rPr>
          <w:b/>
          <w:bCs/>
          <w:szCs w:val="20"/>
          <w:shd w:val="clear" w:color="auto" w:fill="FFFFFF"/>
          <w:lang w:val="en-US"/>
        </w:rPr>
        <w:t xml:space="preserve"> Review of Accounting Studies</w:t>
      </w:r>
      <w:r w:rsidRPr="007156DD">
        <w:rPr>
          <w:szCs w:val="20"/>
          <w:shd w:val="clear" w:color="auto" w:fill="FFFFFF"/>
          <w:lang w:val="en-US"/>
        </w:rPr>
        <w:t>, v. 3, n. 3, p. 261-287, 1998</w:t>
      </w:r>
      <w:r w:rsidR="00C63020" w:rsidRPr="007156DD">
        <w:rPr>
          <w:szCs w:val="20"/>
          <w:shd w:val="clear" w:color="auto" w:fill="FFFFFF"/>
          <w:lang w:val="en-US"/>
        </w:rPr>
        <w:t xml:space="preserve">. </w:t>
      </w:r>
      <w:proofErr w:type="spellStart"/>
      <w:r w:rsidR="00C63020" w:rsidRPr="007156DD">
        <w:rPr>
          <w:szCs w:val="20"/>
          <w:shd w:val="clear" w:color="auto" w:fill="FFFFFF"/>
          <w:lang w:val="en-US"/>
        </w:rPr>
        <w:t>doi</w:t>
      </w:r>
      <w:proofErr w:type="spellEnd"/>
      <w:r w:rsidR="00C63020" w:rsidRPr="007156DD">
        <w:rPr>
          <w:szCs w:val="20"/>
          <w:shd w:val="clear" w:color="auto" w:fill="FFFFFF"/>
          <w:lang w:val="en-US"/>
        </w:rPr>
        <w:t>: 10.1023/A:1009627506893</w:t>
      </w:r>
    </w:p>
    <w:p w14:paraId="17453E62" w14:textId="77777777" w:rsidR="000570E3" w:rsidRPr="007156DD" w:rsidRDefault="000570E3" w:rsidP="00DC2148">
      <w:pPr>
        <w:spacing w:after="0" w:line="240" w:lineRule="auto"/>
        <w:jc w:val="both"/>
        <w:rPr>
          <w:szCs w:val="20"/>
          <w:shd w:val="clear" w:color="auto" w:fill="FFFFFF"/>
          <w:lang w:val="en-US"/>
        </w:rPr>
      </w:pPr>
    </w:p>
    <w:p w14:paraId="73434C2F" w14:textId="1C0B4C05" w:rsidR="00FA6C27" w:rsidRPr="007156DD" w:rsidRDefault="00190695" w:rsidP="00DC2148">
      <w:pPr>
        <w:spacing w:after="0" w:line="240" w:lineRule="auto"/>
        <w:jc w:val="both"/>
        <w:rPr>
          <w:szCs w:val="20"/>
          <w:shd w:val="clear" w:color="auto" w:fill="FFFFFF"/>
          <w:lang w:val="en-US"/>
        </w:rPr>
      </w:pPr>
      <w:r w:rsidRPr="007156DD">
        <w:rPr>
          <w:szCs w:val="20"/>
          <w:shd w:val="clear" w:color="auto" w:fill="FFFFFF"/>
          <w:lang w:val="en-US"/>
        </w:rPr>
        <w:lastRenderedPageBreak/>
        <w:t>ENROTH</w:t>
      </w:r>
      <w:r w:rsidR="00FA6C27" w:rsidRPr="007156DD">
        <w:rPr>
          <w:szCs w:val="20"/>
          <w:shd w:val="clear" w:color="auto" w:fill="FFFFFF"/>
          <w:lang w:val="en-US"/>
        </w:rPr>
        <w:t xml:space="preserve">, H. </w:t>
      </w:r>
      <w:r w:rsidR="00FA6C27" w:rsidRPr="007156DD">
        <w:rPr>
          <w:iCs/>
          <w:szCs w:val="20"/>
          <w:shd w:val="clear" w:color="auto" w:fill="FFFFFF"/>
          <w:lang w:val="en-US"/>
        </w:rPr>
        <w:t>Policy network theory</w:t>
      </w:r>
      <w:r w:rsidR="00FA6C27" w:rsidRPr="007156DD">
        <w:rPr>
          <w:i/>
          <w:szCs w:val="20"/>
          <w:shd w:val="clear" w:color="auto" w:fill="FFFFFF"/>
          <w:lang w:val="en-US"/>
        </w:rPr>
        <w:t>.</w:t>
      </w:r>
      <w:r w:rsidRPr="007156DD">
        <w:rPr>
          <w:i/>
          <w:szCs w:val="20"/>
          <w:shd w:val="clear" w:color="auto" w:fill="FFFFFF"/>
          <w:lang w:val="en-US"/>
        </w:rPr>
        <w:t xml:space="preserve"> </w:t>
      </w:r>
      <w:r w:rsidRPr="007156DD">
        <w:rPr>
          <w:iCs/>
          <w:szCs w:val="20"/>
          <w:shd w:val="clear" w:color="auto" w:fill="FFFFFF"/>
          <w:lang w:val="en-US"/>
        </w:rPr>
        <w:t>In: BEVIR, M. (Ed</w:t>
      </w:r>
      <w:r w:rsidRPr="007156DD">
        <w:rPr>
          <w:b/>
          <w:bCs/>
          <w:iCs/>
          <w:szCs w:val="20"/>
          <w:shd w:val="clear" w:color="auto" w:fill="FFFFFF"/>
          <w:lang w:val="en-US"/>
        </w:rPr>
        <w:t>.).</w:t>
      </w:r>
      <w:r w:rsidR="00FA6C27" w:rsidRPr="007156DD">
        <w:rPr>
          <w:b/>
          <w:bCs/>
          <w:szCs w:val="20"/>
          <w:shd w:val="clear" w:color="auto" w:fill="FFFFFF"/>
          <w:lang w:val="en-US"/>
        </w:rPr>
        <w:t xml:space="preserve"> The SAGE </w:t>
      </w:r>
      <w:r w:rsidRPr="007156DD">
        <w:rPr>
          <w:b/>
          <w:bCs/>
          <w:szCs w:val="20"/>
          <w:shd w:val="clear" w:color="auto" w:fill="FFFFFF"/>
          <w:lang w:val="en-US"/>
        </w:rPr>
        <w:t>H</w:t>
      </w:r>
      <w:r w:rsidR="00FA6C27" w:rsidRPr="007156DD">
        <w:rPr>
          <w:b/>
          <w:bCs/>
          <w:szCs w:val="20"/>
          <w:shd w:val="clear" w:color="auto" w:fill="FFFFFF"/>
          <w:lang w:val="en-US"/>
        </w:rPr>
        <w:t xml:space="preserve">andbook of </w:t>
      </w:r>
      <w:r w:rsidRPr="007156DD">
        <w:rPr>
          <w:b/>
          <w:bCs/>
          <w:szCs w:val="20"/>
          <w:shd w:val="clear" w:color="auto" w:fill="FFFFFF"/>
          <w:lang w:val="en-US"/>
        </w:rPr>
        <w:t>G</w:t>
      </w:r>
      <w:r w:rsidR="00FA6C27" w:rsidRPr="007156DD">
        <w:rPr>
          <w:b/>
          <w:bCs/>
          <w:szCs w:val="20"/>
          <w:shd w:val="clear" w:color="auto" w:fill="FFFFFF"/>
          <w:lang w:val="en-US"/>
        </w:rPr>
        <w:t>overnance</w:t>
      </w:r>
      <w:r w:rsidR="00FA6C27" w:rsidRPr="007156DD">
        <w:rPr>
          <w:szCs w:val="20"/>
          <w:shd w:val="clear" w:color="auto" w:fill="FFFFFF"/>
          <w:lang w:val="en-US"/>
        </w:rPr>
        <w:t xml:space="preserve">, </w:t>
      </w:r>
      <w:r w:rsidRPr="007156DD">
        <w:rPr>
          <w:szCs w:val="20"/>
          <w:shd w:val="clear" w:color="auto" w:fill="FFFFFF"/>
          <w:lang w:val="en-US"/>
        </w:rPr>
        <w:t>p.</w:t>
      </w:r>
      <w:r w:rsidR="00FA6C27" w:rsidRPr="007156DD">
        <w:rPr>
          <w:szCs w:val="20"/>
          <w:shd w:val="clear" w:color="auto" w:fill="FFFFFF"/>
          <w:lang w:val="en-US"/>
        </w:rPr>
        <w:t>19-35</w:t>
      </w:r>
      <w:r w:rsidRPr="007156DD">
        <w:rPr>
          <w:szCs w:val="20"/>
          <w:shd w:val="clear" w:color="auto" w:fill="FFFFFF"/>
          <w:lang w:val="en-US"/>
        </w:rPr>
        <w:t>, 2011</w:t>
      </w:r>
      <w:r w:rsidR="00FA6C27" w:rsidRPr="007156DD">
        <w:rPr>
          <w:szCs w:val="20"/>
          <w:shd w:val="clear" w:color="auto" w:fill="FFFFFF"/>
          <w:lang w:val="en-US"/>
        </w:rPr>
        <w:t>.</w:t>
      </w:r>
    </w:p>
    <w:p w14:paraId="2D5F38D7" w14:textId="77777777" w:rsidR="000570E3" w:rsidRPr="007156DD" w:rsidRDefault="000570E3" w:rsidP="00DC2148">
      <w:pPr>
        <w:spacing w:after="0" w:line="240" w:lineRule="auto"/>
        <w:jc w:val="both"/>
        <w:rPr>
          <w:rFonts w:cs="Times New Roman"/>
          <w:szCs w:val="24"/>
          <w:shd w:val="clear" w:color="auto" w:fill="FFFFFF"/>
          <w:lang w:val="en-US"/>
        </w:rPr>
      </w:pPr>
    </w:p>
    <w:p w14:paraId="53F6BBC9" w14:textId="5FC19871" w:rsidR="00C63020" w:rsidRPr="007156DD" w:rsidRDefault="00190695" w:rsidP="00DC2148">
      <w:pPr>
        <w:spacing w:after="0" w:line="240" w:lineRule="auto"/>
        <w:jc w:val="both"/>
        <w:rPr>
          <w:rFonts w:cs="Times New Roman"/>
          <w:szCs w:val="24"/>
          <w:shd w:val="clear" w:color="auto" w:fill="FFFFFF"/>
          <w:lang w:val="en-US"/>
        </w:rPr>
      </w:pPr>
      <w:r w:rsidRPr="007156DD">
        <w:rPr>
          <w:rFonts w:cs="Times New Roman"/>
          <w:szCs w:val="24"/>
          <w:shd w:val="clear" w:color="auto" w:fill="FFFFFF"/>
          <w:lang w:val="en-US"/>
        </w:rPr>
        <w:t>FAIRCLOUGH</w:t>
      </w:r>
      <w:r w:rsidR="00C63020" w:rsidRPr="007156DD">
        <w:rPr>
          <w:rFonts w:cs="Times New Roman"/>
          <w:szCs w:val="24"/>
          <w:shd w:val="clear" w:color="auto" w:fill="FFFFFF"/>
          <w:lang w:val="en-US"/>
        </w:rPr>
        <w:t>, N. The dialectics of discourse. </w:t>
      </w:r>
      <w:proofErr w:type="spellStart"/>
      <w:r w:rsidR="00C63020" w:rsidRPr="007156DD">
        <w:rPr>
          <w:rFonts w:cs="Times New Roman"/>
          <w:b/>
          <w:bCs/>
          <w:szCs w:val="24"/>
          <w:shd w:val="clear" w:color="auto" w:fill="FFFFFF"/>
          <w:lang w:val="en-US"/>
        </w:rPr>
        <w:t>Textus</w:t>
      </w:r>
      <w:proofErr w:type="spellEnd"/>
      <w:r w:rsidR="00C63020" w:rsidRPr="007156DD">
        <w:rPr>
          <w:rFonts w:cs="Times New Roman"/>
          <w:b/>
          <w:bCs/>
          <w:szCs w:val="24"/>
          <w:shd w:val="clear" w:color="auto" w:fill="FFFFFF"/>
          <w:lang w:val="en-US"/>
        </w:rPr>
        <w:t>,</w:t>
      </w:r>
      <w:r w:rsidR="00C63020" w:rsidRPr="007156DD">
        <w:rPr>
          <w:rFonts w:cs="Times New Roman"/>
          <w:szCs w:val="24"/>
          <w:shd w:val="clear" w:color="auto" w:fill="FFFFFF"/>
          <w:lang w:val="en-US"/>
        </w:rPr>
        <w:t> </w:t>
      </w:r>
      <w:r w:rsidRPr="007156DD">
        <w:rPr>
          <w:rFonts w:cs="Times New Roman"/>
          <w:szCs w:val="24"/>
          <w:shd w:val="clear" w:color="auto" w:fill="FFFFFF"/>
          <w:lang w:val="en-US"/>
        </w:rPr>
        <w:t xml:space="preserve">v. </w:t>
      </w:r>
      <w:r w:rsidR="00C63020" w:rsidRPr="007156DD">
        <w:rPr>
          <w:rFonts w:cs="Times New Roman"/>
          <w:szCs w:val="24"/>
          <w:shd w:val="clear" w:color="auto" w:fill="FFFFFF"/>
          <w:lang w:val="en-US"/>
        </w:rPr>
        <w:t>14</w:t>
      </w:r>
      <w:r w:rsidRPr="007156DD">
        <w:rPr>
          <w:rFonts w:cs="Times New Roman"/>
          <w:szCs w:val="24"/>
          <w:shd w:val="clear" w:color="auto" w:fill="FFFFFF"/>
          <w:lang w:val="en-US"/>
        </w:rPr>
        <w:t xml:space="preserve">, n. </w:t>
      </w:r>
      <w:r w:rsidR="00C63020" w:rsidRPr="007156DD">
        <w:rPr>
          <w:rFonts w:cs="Times New Roman"/>
          <w:szCs w:val="24"/>
          <w:shd w:val="clear" w:color="auto" w:fill="FFFFFF"/>
          <w:lang w:val="en-US"/>
        </w:rPr>
        <w:t xml:space="preserve">2, </w:t>
      </w:r>
      <w:r w:rsidRPr="007156DD">
        <w:rPr>
          <w:rFonts w:cs="Times New Roman"/>
          <w:szCs w:val="24"/>
          <w:shd w:val="clear" w:color="auto" w:fill="FFFFFF"/>
          <w:lang w:val="en-US"/>
        </w:rPr>
        <w:t xml:space="preserve">p. </w:t>
      </w:r>
      <w:r w:rsidR="00C63020" w:rsidRPr="007156DD">
        <w:rPr>
          <w:rFonts w:cs="Times New Roman"/>
          <w:szCs w:val="24"/>
          <w:shd w:val="clear" w:color="auto" w:fill="FFFFFF"/>
          <w:lang w:val="en-US"/>
        </w:rPr>
        <w:t>231-242</w:t>
      </w:r>
      <w:r w:rsidRPr="007156DD">
        <w:rPr>
          <w:rFonts w:cs="Times New Roman"/>
          <w:szCs w:val="24"/>
          <w:shd w:val="clear" w:color="auto" w:fill="FFFFFF"/>
          <w:lang w:val="en-US"/>
        </w:rPr>
        <w:t>, 2001</w:t>
      </w:r>
      <w:r w:rsidR="00C63020" w:rsidRPr="007156DD">
        <w:rPr>
          <w:rFonts w:cs="Times New Roman"/>
          <w:szCs w:val="24"/>
          <w:shd w:val="clear" w:color="auto" w:fill="FFFFFF"/>
          <w:lang w:val="en-US"/>
        </w:rPr>
        <w:t>.</w:t>
      </w:r>
    </w:p>
    <w:p w14:paraId="5E25E69D" w14:textId="77777777" w:rsidR="000570E3" w:rsidRPr="007156DD" w:rsidRDefault="000570E3" w:rsidP="00DC2148">
      <w:pPr>
        <w:spacing w:after="0" w:line="240" w:lineRule="auto"/>
        <w:jc w:val="both"/>
        <w:rPr>
          <w:szCs w:val="24"/>
          <w:shd w:val="clear" w:color="auto" w:fill="FFFFFF"/>
          <w:lang w:val="en-US"/>
        </w:rPr>
      </w:pPr>
    </w:p>
    <w:p w14:paraId="3B8F01EF" w14:textId="0AF2131B" w:rsidR="00C63020" w:rsidRPr="00A8004B" w:rsidRDefault="00482F91" w:rsidP="00DC2148">
      <w:pPr>
        <w:spacing w:after="0" w:line="240" w:lineRule="auto"/>
        <w:jc w:val="both"/>
        <w:rPr>
          <w:szCs w:val="24"/>
          <w:shd w:val="clear" w:color="auto" w:fill="FFFFFF"/>
        </w:rPr>
      </w:pPr>
      <w:r w:rsidRPr="007156DD">
        <w:rPr>
          <w:szCs w:val="24"/>
          <w:shd w:val="clear" w:color="auto" w:fill="FFFFFF"/>
          <w:lang w:val="en-US"/>
        </w:rPr>
        <w:t xml:space="preserve">GIBBINS, M.; RICHARDSON, A.; WATERHOUSE, J. The management of corporate financial disclosure: opportunism, ritualism, policies, and processes. </w:t>
      </w:r>
      <w:proofErr w:type="spellStart"/>
      <w:r w:rsidRPr="00A8004B">
        <w:rPr>
          <w:b/>
          <w:bCs/>
          <w:szCs w:val="24"/>
          <w:shd w:val="clear" w:color="auto" w:fill="FFFFFF"/>
        </w:rPr>
        <w:t>Journal</w:t>
      </w:r>
      <w:proofErr w:type="spellEnd"/>
      <w:r w:rsidRPr="00A8004B">
        <w:rPr>
          <w:b/>
          <w:bCs/>
          <w:szCs w:val="24"/>
          <w:shd w:val="clear" w:color="auto" w:fill="FFFFFF"/>
        </w:rPr>
        <w:t xml:space="preserve"> </w:t>
      </w:r>
      <w:proofErr w:type="spellStart"/>
      <w:r w:rsidRPr="00A8004B">
        <w:rPr>
          <w:b/>
          <w:bCs/>
          <w:szCs w:val="24"/>
          <w:shd w:val="clear" w:color="auto" w:fill="FFFFFF"/>
        </w:rPr>
        <w:t>of</w:t>
      </w:r>
      <w:proofErr w:type="spellEnd"/>
      <w:r w:rsidRPr="00A8004B">
        <w:rPr>
          <w:b/>
          <w:bCs/>
          <w:szCs w:val="24"/>
          <w:shd w:val="clear" w:color="auto" w:fill="FFFFFF"/>
        </w:rPr>
        <w:t xml:space="preserve"> </w:t>
      </w:r>
      <w:proofErr w:type="spellStart"/>
      <w:r w:rsidRPr="00A8004B">
        <w:rPr>
          <w:b/>
          <w:bCs/>
          <w:szCs w:val="24"/>
          <w:shd w:val="clear" w:color="auto" w:fill="FFFFFF"/>
        </w:rPr>
        <w:t>accounting</w:t>
      </w:r>
      <w:proofErr w:type="spellEnd"/>
      <w:r w:rsidRPr="00A8004B">
        <w:rPr>
          <w:b/>
          <w:bCs/>
          <w:szCs w:val="24"/>
          <w:shd w:val="clear" w:color="auto" w:fill="FFFFFF"/>
        </w:rPr>
        <w:t xml:space="preserve"> </w:t>
      </w:r>
      <w:proofErr w:type="spellStart"/>
      <w:r w:rsidRPr="00A8004B">
        <w:rPr>
          <w:b/>
          <w:bCs/>
          <w:szCs w:val="24"/>
          <w:shd w:val="clear" w:color="auto" w:fill="FFFFFF"/>
        </w:rPr>
        <w:t>research</w:t>
      </w:r>
      <w:proofErr w:type="spellEnd"/>
      <w:r w:rsidRPr="00A8004B">
        <w:rPr>
          <w:szCs w:val="24"/>
          <w:shd w:val="clear" w:color="auto" w:fill="FFFFFF"/>
        </w:rPr>
        <w:t xml:space="preserve">, v. 28, n. 1, p. 121-143, 1990. </w:t>
      </w:r>
      <w:r w:rsidR="00C63020" w:rsidRPr="00A8004B">
        <w:rPr>
          <w:szCs w:val="24"/>
          <w:shd w:val="clear" w:color="auto" w:fill="FFFFFF"/>
        </w:rPr>
        <w:t>28(1), 121-143. doi:10.2307/2491219</w:t>
      </w:r>
    </w:p>
    <w:p w14:paraId="5E153A78" w14:textId="77777777" w:rsidR="000570E3" w:rsidRPr="00A8004B" w:rsidRDefault="000570E3" w:rsidP="00DC2148">
      <w:pPr>
        <w:spacing w:after="0" w:line="240" w:lineRule="auto"/>
        <w:jc w:val="both"/>
        <w:rPr>
          <w:szCs w:val="24"/>
          <w:shd w:val="clear" w:color="auto" w:fill="FFFFFF"/>
        </w:rPr>
      </w:pPr>
    </w:p>
    <w:p w14:paraId="784A0796" w14:textId="4460AF00" w:rsidR="00C63020" w:rsidRPr="007156DD" w:rsidRDefault="00DB6536" w:rsidP="00DC2148">
      <w:pPr>
        <w:spacing w:after="0" w:line="240" w:lineRule="auto"/>
        <w:jc w:val="both"/>
        <w:rPr>
          <w:szCs w:val="24"/>
          <w:shd w:val="clear" w:color="auto" w:fill="FFFFFF"/>
        </w:rPr>
      </w:pPr>
      <w:r w:rsidRPr="007156DD">
        <w:rPr>
          <w:szCs w:val="24"/>
          <w:shd w:val="clear" w:color="auto" w:fill="FFFFFF"/>
        </w:rPr>
        <w:t>GODOI, C. K.; BANDEIRA-DE-MELLO, R.; SILVA, A. B</w:t>
      </w:r>
      <w:r w:rsidR="00C63020" w:rsidRPr="007156DD">
        <w:rPr>
          <w:szCs w:val="24"/>
          <w:shd w:val="clear" w:color="auto" w:fill="FFFFFF"/>
        </w:rPr>
        <w:t xml:space="preserve">. Pesquisa Qualitativa e o Debate sobre a Propriedade de Pesquisar. In: </w:t>
      </w:r>
      <w:r w:rsidRPr="007156DD">
        <w:rPr>
          <w:szCs w:val="24"/>
          <w:shd w:val="clear" w:color="auto" w:fill="FFFFFF"/>
        </w:rPr>
        <w:t xml:space="preserve">GODOI, C. K.; BANDEIRA-DE-MELLO, R.; SILVA, A. </w:t>
      </w:r>
      <w:r w:rsidR="00C63020" w:rsidRPr="007156DD">
        <w:rPr>
          <w:szCs w:val="24"/>
          <w:shd w:val="clear" w:color="auto" w:fill="FFFFFF"/>
        </w:rPr>
        <w:t>B. (Org</w:t>
      </w:r>
      <w:r w:rsidR="00C63020" w:rsidRPr="007156DD">
        <w:rPr>
          <w:i/>
          <w:szCs w:val="24"/>
          <w:shd w:val="clear" w:color="auto" w:fill="FFFFFF"/>
        </w:rPr>
        <w:t xml:space="preserve">.). </w:t>
      </w:r>
      <w:r w:rsidR="00C63020" w:rsidRPr="007156DD">
        <w:rPr>
          <w:b/>
          <w:bCs/>
          <w:iCs/>
          <w:szCs w:val="24"/>
          <w:shd w:val="clear" w:color="auto" w:fill="FFFFFF"/>
        </w:rPr>
        <w:t>Pesquisa Qualitativa em Organizações: Paradigmas, Estratégias e Métodos</w:t>
      </w:r>
      <w:r w:rsidR="00C63020" w:rsidRPr="007156DD">
        <w:rPr>
          <w:szCs w:val="24"/>
          <w:shd w:val="clear" w:color="auto" w:fill="FFFFFF"/>
        </w:rPr>
        <w:t>. (2 ed.). São Paulo: Saraiva, 1-13</w:t>
      </w:r>
      <w:r w:rsidRPr="007156DD">
        <w:rPr>
          <w:szCs w:val="24"/>
          <w:shd w:val="clear" w:color="auto" w:fill="FFFFFF"/>
        </w:rPr>
        <w:t>, 2010</w:t>
      </w:r>
      <w:r w:rsidR="00C63020" w:rsidRPr="007156DD">
        <w:rPr>
          <w:szCs w:val="24"/>
          <w:shd w:val="clear" w:color="auto" w:fill="FFFFFF"/>
        </w:rPr>
        <w:t>.</w:t>
      </w:r>
    </w:p>
    <w:p w14:paraId="5A68539D" w14:textId="25477E99" w:rsidR="000570E3" w:rsidRPr="007156DD" w:rsidRDefault="000570E3" w:rsidP="00DC2148">
      <w:pPr>
        <w:spacing w:after="0" w:line="240" w:lineRule="auto"/>
        <w:jc w:val="both"/>
        <w:rPr>
          <w:rFonts w:cs="Times New Roman"/>
          <w:szCs w:val="24"/>
          <w:shd w:val="clear" w:color="auto" w:fill="FFFFFF"/>
        </w:rPr>
      </w:pPr>
    </w:p>
    <w:p w14:paraId="4B11F68F" w14:textId="4F5BBD4D" w:rsidR="00C63020" w:rsidRPr="00A8004B" w:rsidRDefault="00482F91" w:rsidP="00DC2148">
      <w:pPr>
        <w:spacing w:after="0" w:line="240" w:lineRule="auto"/>
        <w:jc w:val="both"/>
        <w:rPr>
          <w:rFonts w:cs="Times New Roman"/>
          <w:szCs w:val="24"/>
          <w:shd w:val="clear" w:color="auto" w:fill="FFFFFF"/>
          <w:lang w:val="en-US"/>
        </w:rPr>
      </w:pPr>
      <w:r w:rsidRPr="007156DD">
        <w:rPr>
          <w:rFonts w:cs="Times New Roman"/>
          <w:szCs w:val="24"/>
          <w:shd w:val="clear" w:color="auto" w:fill="FFFFFF"/>
        </w:rPr>
        <w:t>GREGOLIN</w:t>
      </w:r>
      <w:r w:rsidR="00C63020" w:rsidRPr="007156DD">
        <w:rPr>
          <w:rFonts w:cs="Times New Roman"/>
          <w:szCs w:val="24"/>
          <w:shd w:val="clear" w:color="auto" w:fill="FFFFFF"/>
        </w:rPr>
        <w:t>, M. Análise do Discurso e Mídia: a (</w:t>
      </w:r>
      <w:proofErr w:type="spellStart"/>
      <w:r w:rsidR="00C63020" w:rsidRPr="007156DD">
        <w:rPr>
          <w:rFonts w:cs="Times New Roman"/>
          <w:szCs w:val="24"/>
          <w:shd w:val="clear" w:color="auto" w:fill="FFFFFF"/>
        </w:rPr>
        <w:t>re</w:t>
      </w:r>
      <w:proofErr w:type="spellEnd"/>
      <w:r w:rsidR="00C63020" w:rsidRPr="007156DD">
        <w:rPr>
          <w:rFonts w:cs="Times New Roman"/>
          <w:szCs w:val="24"/>
          <w:shd w:val="clear" w:color="auto" w:fill="FFFFFF"/>
        </w:rPr>
        <w:t xml:space="preserve">) produção de identidades. </w:t>
      </w:r>
      <w:proofErr w:type="spellStart"/>
      <w:r w:rsidR="00C63020" w:rsidRPr="00A8004B">
        <w:rPr>
          <w:rFonts w:cs="Times New Roman"/>
          <w:b/>
          <w:bCs/>
          <w:szCs w:val="24"/>
          <w:shd w:val="clear" w:color="auto" w:fill="FFFFFF"/>
          <w:lang w:val="en-US"/>
        </w:rPr>
        <w:t>Comunicação</w:t>
      </w:r>
      <w:proofErr w:type="spellEnd"/>
      <w:r w:rsidR="00C63020" w:rsidRPr="00A8004B">
        <w:rPr>
          <w:rFonts w:cs="Times New Roman"/>
          <w:b/>
          <w:bCs/>
          <w:szCs w:val="24"/>
          <w:shd w:val="clear" w:color="auto" w:fill="FFFFFF"/>
          <w:lang w:val="en-US"/>
        </w:rPr>
        <w:t xml:space="preserve"> </w:t>
      </w:r>
      <w:proofErr w:type="spellStart"/>
      <w:r w:rsidR="00C63020" w:rsidRPr="00A8004B">
        <w:rPr>
          <w:rFonts w:cs="Times New Roman"/>
          <w:b/>
          <w:bCs/>
          <w:szCs w:val="24"/>
          <w:shd w:val="clear" w:color="auto" w:fill="FFFFFF"/>
          <w:lang w:val="en-US"/>
        </w:rPr>
        <w:t>Mídia</w:t>
      </w:r>
      <w:proofErr w:type="spellEnd"/>
      <w:r w:rsidR="00C63020" w:rsidRPr="00A8004B">
        <w:rPr>
          <w:rFonts w:cs="Times New Roman"/>
          <w:b/>
          <w:bCs/>
          <w:szCs w:val="24"/>
          <w:shd w:val="clear" w:color="auto" w:fill="FFFFFF"/>
          <w:lang w:val="en-US"/>
        </w:rPr>
        <w:t xml:space="preserve"> e </w:t>
      </w:r>
      <w:proofErr w:type="spellStart"/>
      <w:r w:rsidR="00C63020" w:rsidRPr="00A8004B">
        <w:rPr>
          <w:rFonts w:cs="Times New Roman"/>
          <w:b/>
          <w:bCs/>
          <w:szCs w:val="24"/>
          <w:shd w:val="clear" w:color="auto" w:fill="FFFFFF"/>
          <w:lang w:val="en-US"/>
        </w:rPr>
        <w:t>Consumo</w:t>
      </w:r>
      <w:proofErr w:type="spellEnd"/>
      <w:r w:rsidR="00C63020" w:rsidRPr="00A8004B">
        <w:rPr>
          <w:rFonts w:cs="Times New Roman"/>
          <w:szCs w:val="24"/>
          <w:shd w:val="clear" w:color="auto" w:fill="FFFFFF"/>
          <w:lang w:val="en-US"/>
        </w:rPr>
        <w:t xml:space="preserve">, </w:t>
      </w:r>
      <w:r w:rsidRPr="00A8004B">
        <w:rPr>
          <w:rFonts w:cs="Times New Roman"/>
          <w:szCs w:val="24"/>
          <w:shd w:val="clear" w:color="auto" w:fill="FFFFFF"/>
          <w:lang w:val="en-US"/>
        </w:rPr>
        <w:t xml:space="preserve">v. </w:t>
      </w:r>
      <w:r w:rsidR="00C63020" w:rsidRPr="00A8004B">
        <w:rPr>
          <w:rFonts w:cs="Times New Roman"/>
          <w:szCs w:val="24"/>
          <w:shd w:val="clear" w:color="auto" w:fill="FFFFFF"/>
          <w:lang w:val="en-US"/>
        </w:rPr>
        <w:t>4</w:t>
      </w:r>
      <w:r w:rsidRPr="00A8004B">
        <w:rPr>
          <w:rFonts w:cs="Times New Roman"/>
          <w:szCs w:val="24"/>
          <w:shd w:val="clear" w:color="auto" w:fill="FFFFFF"/>
          <w:lang w:val="en-US"/>
        </w:rPr>
        <w:t xml:space="preserve">, n. </w:t>
      </w:r>
      <w:r w:rsidR="00C63020" w:rsidRPr="00A8004B">
        <w:rPr>
          <w:rFonts w:cs="Times New Roman"/>
          <w:szCs w:val="24"/>
          <w:shd w:val="clear" w:color="auto" w:fill="FFFFFF"/>
          <w:lang w:val="en-US"/>
        </w:rPr>
        <w:t xml:space="preserve">11, </w:t>
      </w:r>
      <w:r w:rsidRPr="00A8004B">
        <w:rPr>
          <w:rFonts w:cs="Times New Roman"/>
          <w:szCs w:val="24"/>
          <w:shd w:val="clear" w:color="auto" w:fill="FFFFFF"/>
          <w:lang w:val="en-US"/>
        </w:rPr>
        <w:t xml:space="preserve">p. </w:t>
      </w:r>
      <w:r w:rsidR="00C63020" w:rsidRPr="00A8004B">
        <w:rPr>
          <w:rFonts w:cs="Times New Roman"/>
          <w:szCs w:val="24"/>
          <w:shd w:val="clear" w:color="auto" w:fill="FFFFFF"/>
          <w:lang w:val="en-US"/>
        </w:rPr>
        <w:t>11-25</w:t>
      </w:r>
      <w:r w:rsidRPr="00A8004B">
        <w:rPr>
          <w:rFonts w:cs="Times New Roman"/>
          <w:szCs w:val="24"/>
          <w:shd w:val="clear" w:color="auto" w:fill="FFFFFF"/>
          <w:lang w:val="en-US"/>
        </w:rPr>
        <w:t>, 2008</w:t>
      </w:r>
      <w:r w:rsidR="00C63020" w:rsidRPr="00A8004B">
        <w:rPr>
          <w:rFonts w:cs="Times New Roman"/>
          <w:szCs w:val="24"/>
          <w:shd w:val="clear" w:color="auto" w:fill="FFFFFF"/>
          <w:lang w:val="en-US"/>
        </w:rPr>
        <w:t>.</w:t>
      </w:r>
    </w:p>
    <w:p w14:paraId="4EEECA5A" w14:textId="77777777" w:rsidR="000570E3" w:rsidRPr="00A8004B" w:rsidRDefault="000570E3" w:rsidP="00DC2148">
      <w:pPr>
        <w:spacing w:after="0" w:line="240" w:lineRule="auto"/>
        <w:jc w:val="both"/>
        <w:rPr>
          <w:rFonts w:cs="Times New Roman"/>
          <w:szCs w:val="24"/>
          <w:shd w:val="clear" w:color="auto" w:fill="FFFFFF"/>
          <w:lang w:val="en-US"/>
        </w:rPr>
      </w:pPr>
    </w:p>
    <w:p w14:paraId="0B2CA98A" w14:textId="7CCC387D" w:rsidR="00C63020" w:rsidRPr="007156DD" w:rsidRDefault="00046BD6" w:rsidP="00DC2148">
      <w:pPr>
        <w:spacing w:after="0" w:line="240" w:lineRule="auto"/>
        <w:jc w:val="both"/>
        <w:rPr>
          <w:rFonts w:cs="Times New Roman"/>
          <w:szCs w:val="24"/>
          <w:shd w:val="clear" w:color="auto" w:fill="FFFFFF"/>
          <w:lang w:val="en-US"/>
        </w:rPr>
      </w:pPr>
      <w:r w:rsidRPr="007156DD">
        <w:rPr>
          <w:rFonts w:cs="Times New Roman"/>
          <w:szCs w:val="24"/>
          <w:shd w:val="clear" w:color="auto" w:fill="FFFFFF"/>
          <w:lang w:val="en-US"/>
        </w:rPr>
        <w:t xml:space="preserve">HOSSAIN, D. Discourse Analysis: An Emerging Trend in Corporate Narrative Research. </w:t>
      </w:r>
      <w:r w:rsidRPr="007156DD">
        <w:rPr>
          <w:rFonts w:cs="Times New Roman"/>
          <w:b/>
          <w:bCs/>
          <w:szCs w:val="24"/>
          <w:shd w:val="clear" w:color="auto" w:fill="FFFFFF"/>
          <w:lang w:val="en-US"/>
        </w:rPr>
        <w:t>Middle East Journal of Business</w:t>
      </w:r>
      <w:r w:rsidRPr="007156DD">
        <w:rPr>
          <w:rFonts w:cs="Times New Roman"/>
          <w:szCs w:val="24"/>
          <w:shd w:val="clear" w:color="auto" w:fill="FFFFFF"/>
          <w:lang w:val="en-US"/>
        </w:rPr>
        <w:t>, v. 12, n. 4, 2017.</w:t>
      </w:r>
      <w:r w:rsidR="00C63020" w:rsidRPr="007156DD">
        <w:rPr>
          <w:rFonts w:cs="Times New Roman"/>
          <w:szCs w:val="24"/>
          <w:shd w:val="clear" w:color="auto" w:fill="FFFFFF"/>
          <w:lang w:val="en-US"/>
        </w:rPr>
        <w:t xml:space="preserve"> doi:10.5742/MEJB.2017.93084</w:t>
      </w:r>
    </w:p>
    <w:p w14:paraId="590F1AAE" w14:textId="77777777" w:rsidR="000570E3" w:rsidRPr="007156DD" w:rsidRDefault="000570E3" w:rsidP="00DC2148">
      <w:pPr>
        <w:spacing w:after="0" w:line="240" w:lineRule="auto"/>
        <w:jc w:val="both"/>
        <w:rPr>
          <w:rFonts w:cs="Times New Roman"/>
          <w:szCs w:val="20"/>
          <w:shd w:val="clear" w:color="auto" w:fill="FFFFFF"/>
          <w:lang w:val="en-US"/>
        </w:rPr>
      </w:pPr>
    </w:p>
    <w:p w14:paraId="4B70C197" w14:textId="6FB7FC7B" w:rsidR="00C63020" w:rsidRPr="00A8004B" w:rsidRDefault="00097383" w:rsidP="00DC2148">
      <w:pPr>
        <w:spacing w:after="0" w:line="240" w:lineRule="auto"/>
        <w:jc w:val="both"/>
      </w:pPr>
      <w:r w:rsidRPr="007156DD">
        <w:rPr>
          <w:rFonts w:cs="Times New Roman"/>
          <w:szCs w:val="20"/>
          <w:shd w:val="clear" w:color="auto" w:fill="FFFFFF"/>
          <w:lang w:val="en-US"/>
        </w:rPr>
        <w:t xml:space="preserve">KING, B. G.; WHETTEN, D. A. Rethinking the relationship between reputation and legitimacy: A social actor conceptualization. </w:t>
      </w:r>
      <w:r w:rsidRPr="00A8004B">
        <w:rPr>
          <w:rFonts w:cs="Times New Roman"/>
          <w:b/>
          <w:bCs/>
          <w:szCs w:val="20"/>
          <w:shd w:val="clear" w:color="auto" w:fill="FFFFFF"/>
        </w:rPr>
        <w:t xml:space="preserve">Corporate </w:t>
      </w:r>
      <w:proofErr w:type="spellStart"/>
      <w:r w:rsidRPr="00A8004B">
        <w:rPr>
          <w:rFonts w:cs="Times New Roman"/>
          <w:b/>
          <w:bCs/>
          <w:szCs w:val="20"/>
          <w:shd w:val="clear" w:color="auto" w:fill="FFFFFF"/>
        </w:rPr>
        <w:t>Reputation</w:t>
      </w:r>
      <w:proofErr w:type="spellEnd"/>
      <w:r w:rsidRPr="00A8004B">
        <w:rPr>
          <w:rFonts w:cs="Times New Roman"/>
          <w:b/>
          <w:bCs/>
          <w:szCs w:val="20"/>
          <w:shd w:val="clear" w:color="auto" w:fill="FFFFFF"/>
        </w:rPr>
        <w:t xml:space="preserve"> Review</w:t>
      </w:r>
      <w:r w:rsidRPr="00A8004B">
        <w:rPr>
          <w:rFonts w:cs="Times New Roman"/>
          <w:szCs w:val="20"/>
          <w:shd w:val="clear" w:color="auto" w:fill="FFFFFF"/>
        </w:rPr>
        <w:t xml:space="preserve">, v. 11, n. 3, p. 192-207, 2008. </w:t>
      </w:r>
      <w:proofErr w:type="spellStart"/>
      <w:r w:rsidR="00C63020" w:rsidRPr="00A8004B">
        <w:t>doi</w:t>
      </w:r>
      <w:proofErr w:type="spellEnd"/>
      <w:r w:rsidR="00C63020" w:rsidRPr="00A8004B">
        <w:t>: 10.1057/crr.2008.16.</w:t>
      </w:r>
    </w:p>
    <w:p w14:paraId="38E701F7" w14:textId="77777777" w:rsidR="000570E3" w:rsidRPr="00A8004B" w:rsidRDefault="000570E3" w:rsidP="00DC2148">
      <w:pPr>
        <w:spacing w:after="0" w:line="240" w:lineRule="auto"/>
        <w:jc w:val="both"/>
        <w:rPr>
          <w:rFonts w:cs="Times New Roman"/>
          <w:szCs w:val="24"/>
          <w:shd w:val="clear" w:color="auto" w:fill="FFFFFF"/>
        </w:rPr>
      </w:pPr>
    </w:p>
    <w:p w14:paraId="3FBF8902" w14:textId="04DE0B02" w:rsidR="00C63020" w:rsidRPr="007156DD" w:rsidRDefault="00C63020" w:rsidP="00DC2148">
      <w:pPr>
        <w:spacing w:after="0" w:line="240" w:lineRule="auto"/>
        <w:jc w:val="both"/>
        <w:rPr>
          <w:rFonts w:cs="Times New Roman"/>
          <w:szCs w:val="24"/>
          <w:shd w:val="clear" w:color="auto" w:fill="FFFFFF"/>
        </w:rPr>
      </w:pPr>
      <w:r w:rsidRPr="007156DD">
        <w:rPr>
          <w:rFonts w:cs="Times New Roman"/>
          <w:szCs w:val="24"/>
          <w:shd w:val="clear" w:color="auto" w:fill="FFFFFF"/>
        </w:rPr>
        <w:t>K</w:t>
      </w:r>
      <w:r w:rsidR="00AE4E83" w:rsidRPr="007156DD">
        <w:rPr>
          <w:rFonts w:cs="Times New Roman"/>
          <w:szCs w:val="24"/>
          <w:shd w:val="clear" w:color="auto" w:fill="FFFFFF"/>
        </w:rPr>
        <w:t>OCH</w:t>
      </w:r>
      <w:r w:rsidRPr="007156DD">
        <w:rPr>
          <w:rFonts w:cs="Times New Roman"/>
          <w:szCs w:val="24"/>
          <w:shd w:val="clear" w:color="auto" w:fill="FFFFFF"/>
        </w:rPr>
        <w:t>, I. G. V.</w:t>
      </w:r>
      <w:r w:rsidR="00AE4E83" w:rsidRPr="007156DD">
        <w:rPr>
          <w:rFonts w:cs="Times New Roman"/>
          <w:szCs w:val="24"/>
          <w:shd w:val="clear" w:color="auto" w:fill="FFFFFF"/>
        </w:rPr>
        <w:t xml:space="preserve"> </w:t>
      </w:r>
      <w:r w:rsidRPr="007156DD">
        <w:rPr>
          <w:rFonts w:cs="Times New Roman"/>
          <w:szCs w:val="24"/>
          <w:shd w:val="clear" w:color="auto" w:fill="FFFFFF"/>
        </w:rPr>
        <w:t>Linguagem e Cognição: a construção e reconstrução de objetos-de-discurso. </w:t>
      </w:r>
      <w:r w:rsidRPr="007156DD">
        <w:rPr>
          <w:rFonts w:cs="Times New Roman"/>
          <w:b/>
          <w:bCs/>
          <w:szCs w:val="24"/>
          <w:shd w:val="clear" w:color="auto" w:fill="FFFFFF"/>
        </w:rPr>
        <w:t>Revista Veredas</w:t>
      </w:r>
      <w:r w:rsidRPr="007156DD">
        <w:rPr>
          <w:rFonts w:cs="Times New Roman"/>
          <w:szCs w:val="24"/>
          <w:shd w:val="clear" w:color="auto" w:fill="FFFFFF"/>
        </w:rPr>
        <w:t>, </w:t>
      </w:r>
      <w:r w:rsidR="00AE4E83" w:rsidRPr="007156DD">
        <w:rPr>
          <w:rFonts w:cs="Times New Roman"/>
          <w:szCs w:val="24"/>
          <w:shd w:val="clear" w:color="auto" w:fill="FFFFFF"/>
        </w:rPr>
        <w:t xml:space="preserve">v. </w:t>
      </w:r>
      <w:r w:rsidRPr="007156DD">
        <w:rPr>
          <w:rFonts w:cs="Times New Roman"/>
          <w:szCs w:val="24"/>
          <w:shd w:val="clear" w:color="auto" w:fill="FFFFFF"/>
        </w:rPr>
        <w:t>6</w:t>
      </w:r>
      <w:r w:rsidR="00AE4E83" w:rsidRPr="007156DD">
        <w:rPr>
          <w:rFonts w:cs="Times New Roman"/>
          <w:szCs w:val="24"/>
          <w:shd w:val="clear" w:color="auto" w:fill="FFFFFF"/>
        </w:rPr>
        <w:t xml:space="preserve">, n. </w:t>
      </w:r>
      <w:r w:rsidRPr="007156DD">
        <w:rPr>
          <w:rFonts w:cs="Times New Roman"/>
          <w:szCs w:val="24"/>
          <w:shd w:val="clear" w:color="auto" w:fill="FFFFFF"/>
        </w:rPr>
        <w:t xml:space="preserve">1, </w:t>
      </w:r>
      <w:r w:rsidR="00AE4E83" w:rsidRPr="007156DD">
        <w:rPr>
          <w:rFonts w:cs="Times New Roman"/>
          <w:szCs w:val="24"/>
          <w:shd w:val="clear" w:color="auto" w:fill="FFFFFF"/>
        </w:rPr>
        <w:t xml:space="preserve">p. </w:t>
      </w:r>
      <w:r w:rsidRPr="007156DD">
        <w:rPr>
          <w:rFonts w:cs="Times New Roman"/>
          <w:szCs w:val="24"/>
          <w:shd w:val="clear" w:color="auto" w:fill="FFFFFF"/>
        </w:rPr>
        <w:t>29-42</w:t>
      </w:r>
      <w:r w:rsidR="00AE4E83" w:rsidRPr="007156DD">
        <w:rPr>
          <w:rFonts w:cs="Times New Roman"/>
          <w:szCs w:val="24"/>
          <w:shd w:val="clear" w:color="auto" w:fill="FFFFFF"/>
        </w:rPr>
        <w:t>, 2016</w:t>
      </w:r>
      <w:r w:rsidRPr="007156DD">
        <w:rPr>
          <w:rFonts w:cs="Times New Roman"/>
          <w:szCs w:val="24"/>
          <w:shd w:val="clear" w:color="auto" w:fill="FFFFFF"/>
        </w:rPr>
        <w:t>.</w:t>
      </w:r>
    </w:p>
    <w:p w14:paraId="5828675E" w14:textId="77777777" w:rsidR="000570E3" w:rsidRPr="007156DD" w:rsidRDefault="000570E3" w:rsidP="00DC2148">
      <w:pPr>
        <w:spacing w:after="0" w:line="240" w:lineRule="auto"/>
        <w:jc w:val="both"/>
      </w:pPr>
    </w:p>
    <w:p w14:paraId="5CB17A1C" w14:textId="1EEC524A" w:rsidR="000570E3" w:rsidRPr="007156DD" w:rsidRDefault="0026767D" w:rsidP="0026767D">
      <w:pPr>
        <w:spacing w:after="0" w:line="240" w:lineRule="auto"/>
        <w:jc w:val="both"/>
      </w:pPr>
      <w:r w:rsidRPr="007156DD">
        <w:t xml:space="preserve">MARTINS, G. A.; THEÓPHILO, C. R. </w:t>
      </w:r>
      <w:r w:rsidRPr="007156DD">
        <w:rPr>
          <w:b/>
          <w:bCs/>
        </w:rPr>
        <w:t>Metodologia da Investigação Científica Para Ciências Sociais Aplicadas</w:t>
      </w:r>
      <w:r w:rsidRPr="007156DD">
        <w:t>. 3ª ed. São Paulo: Atlas, 2016.</w:t>
      </w:r>
    </w:p>
    <w:p w14:paraId="241C5D9F" w14:textId="77777777" w:rsidR="0026767D" w:rsidRPr="007156DD" w:rsidRDefault="0026767D" w:rsidP="0026767D">
      <w:pPr>
        <w:spacing w:after="0" w:line="240" w:lineRule="auto"/>
        <w:jc w:val="both"/>
        <w:rPr>
          <w:rFonts w:cs="Times New Roman"/>
          <w:szCs w:val="24"/>
          <w:shd w:val="clear" w:color="auto" w:fill="FFFFFF"/>
          <w:lang w:val="en-US"/>
        </w:rPr>
      </w:pPr>
    </w:p>
    <w:p w14:paraId="1025FF11" w14:textId="5983C120" w:rsidR="00C63020" w:rsidRPr="007156DD" w:rsidRDefault="00097383" w:rsidP="00DC2148">
      <w:pPr>
        <w:spacing w:after="0" w:line="240" w:lineRule="auto"/>
        <w:jc w:val="both"/>
        <w:rPr>
          <w:rFonts w:cs="Times New Roman"/>
          <w:szCs w:val="24"/>
          <w:shd w:val="clear" w:color="auto" w:fill="FFFFFF"/>
          <w:lang w:val="en-US"/>
        </w:rPr>
      </w:pPr>
      <w:r w:rsidRPr="007156DD">
        <w:rPr>
          <w:rFonts w:cs="Times New Roman"/>
          <w:szCs w:val="24"/>
          <w:shd w:val="clear" w:color="auto" w:fill="FFFFFF"/>
          <w:lang w:val="en-US"/>
        </w:rPr>
        <w:t>MERKL-DAVIES, D. M.</w:t>
      </w:r>
      <w:r w:rsidR="007156DD" w:rsidRPr="007156DD">
        <w:rPr>
          <w:rFonts w:cs="Times New Roman"/>
          <w:szCs w:val="24"/>
          <w:shd w:val="clear" w:color="auto" w:fill="FFFFFF"/>
          <w:lang w:val="en-US"/>
        </w:rPr>
        <w:t>;</w:t>
      </w:r>
      <w:r w:rsidRPr="007156DD">
        <w:rPr>
          <w:rFonts w:cs="Times New Roman"/>
          <w:szCs w:val="24"/>
          <w:shd w:val="clear" w:color="auto" w:fill="FFFFFF"/>
          <w:lang w:val="en-US"/>
        </w:rPr>
        <w:t xml:space="preserve"> BRENNAN, N. M</w:t>
      </w:r>
      <w:r w:rsidR="00C63020" w:rsidRPr="007156DD">
        <w:rPr>
          <w:rFonts w:cs="Times New Roman"/>
          <w:szCs w:val="24"/>
          <w:shd w:val="clear" w:color="auto" w:fill="FFFFFF"/>
          <w:lang w:val="en-US"/>
        </w:rPr>
        <w:t xml:space="preserve">. Discretionary disclosure strategies in corporate narratives: incremental information or impression </w:t>
      </w:r>
      <w:proofErr w:type="gramStart"/>
      <w:r w:rsidR="00C63020" w:rsidRPr="007156DD">
        <w:rPr>
          <w:rFonts w:cs="Times New Roman"/>
          <w:szCs w:val="24"/>
          <w:shd w:val="clear" w:color="auto" w:fill="FFFFFF"/>
          <w:lang w:val="en-US"/>
        </w:rPr>
        <w:t>management?.</w:t>
      </w:r>
      <w:proofErr w:type="gramEnd"/>
      <w:r w:rsidR="00C63020" w:rsidRPr="007156DD">
        <w:rPr>
          <w:rFonts w:cs="Times New Roman"/>
          <w:szCs w:val="24"/>
          <w:shd w:val="clear" w:color="auto" w:fill="FFFFFF"/>
          <w:lang w:val="en-US"/>
        </w:rPr>
        <w:t xml:space="preserve"> </w:t>
      </w:r>
      <w:r w:rsidR="00C63020" w:rsidRPr="007156DD">
        <w:rPr>
          <w:rFonts w:cs="Times New Roman"/>
          <w:b/>
          <w:bCs/>
          <w:iCs/>
          <w:szCs w:val="24"/>
          <w:shd w:val="clear" w:color="auto" w:fill="FFFFFF"/>
          <w:lang w:val="en-US"/>
        </w:rPr>
        <w:t>Journal of Accounting Literature</w:t>
      </w:r>
      <w:r w:rsidR="00C63020" w:rsidRPr="007156DD">
        <w:rPr>
          <w:rFonts w:cs="Times New Roman"/>
          <w:szCs w:val="24"/>
          <w:shd w:val="clear" w:color="auto" w:fill="FFFFFF"/>
          <w:lang w:val="en-US"/>
        </w:rPr>
        <w:t xml:space="preserve">, </w:t>
      </w:r>
      <w:r w:rsidRPr="007156DD">
        <w:rPr>
          <w:rFonts w:cs="Times New Roman"/>
          <w:szCs w:val="24"/>
          <w:shd w:val="clear" w:color="auto" w:fill="FFFFFF"/>
          <w:lang w:val="en-US"/>
        </w:rPr>
        <w:t xml:space="preserve">v. </w:t>
      </w:r>
      <w:r w:rsidR="00C63020" w:rsidRPr="007156DD">
        <w:rPr>
          <w:rFonts w:cs="Times New Roman"/>
          <w:szCs w:val="24"/>
          <w:shd w:val="clear" w:color="auto" w:fill="FFFFFF"/>
          <w:lang w:val="en-US"/>
        </w:rPr>
        <w:t xml:space="preserve">27, </w:t>
      </w:r>
      <w:r w:rsidRPr="007156DD">
        <w:rPr>
          <w:rFonts w:cs="Times New Roman"/>
          <w:szCs w:val="24"/>
          <w:shd w:val="clear" w:color="auto" w:fill="FFFFFF"/>
          <w:lang w:val="en-US"/>
        </w:rPr>
        <w:t xml:space="preserve">p. </w:t>
      </w:r>
      <w:r w:rsidR="00C63020" w:rsidRPr="007156DD">
        <w:rPr>
          <w:rFonts w:cs="Times New Roman"/>
          <w:szCs w:val="24"/>
          <w:shd w:val="clear" w:color="auto" w:fill="FFFFFF"/>
          <w:lang w:val="en-US"/>
        </w:rPr>
        <w:t>116-196</w:t>
      </w:r>
      <w:r w:rsidRPr="007156DD">
        <w:rPr>
          <w:rFonts w:cs="Times New Roman"/>
          <w:szCs w:val="24"/>
          <w:shd w:val="clear" w:color="auto" w:fill="FFFFFF"/>
          <w:lang w:val="en-US"/>
        </w:rPr>
        <w:t>, 2007</w:t>
      </w:r>
      <w:r w:rsidR="00C63020" w:rsidRPr="007156DD">
        <w:rPr>
          <w:rFonts w:cs="Times New Roman"/>
          <w:szCs w:val="24"/>
          <w:shd w:val="clear" w:color="auto" w:fill="FFFFFF"/>
          <w:lang w:val="en-US"/>
        </w:rPr>
        <w:t>.</w:t>
      </w:r>
    </w:p>
    <w:p w14:paraId="4DCA5B3E" w14:textId="77777777" w:rsidR="000570E3" w:rsidRPr="007156DD" w:rsidRDefault="000570E3" w:rsidP="00DC2148">
      <w:pPr>
        <w:spacing w:after="0" w:line="240" w:lineRule="auto"/>
        <w:jc w:val="both"/>
        <w:rPr>
          <w:rFonts w:cs="Times New Roman"/>
          <w:szCs w:val="24"/>
          <w:shd w:val="clear" w:color="auto" w:fill="FFFFFF"/>
          <w:lang w:val="en-US"/>
        </w:rPr>
      </w:pPr>
    </w:p>
    <w:p w14:paraId="5BBFB5B1" w14:textId="1A913585" w:rsidR="00441093" w:rsidRPr="007156DD" w:rsidRDefault="00097383" w:rsidP="00DC2148">
      <w:pPr>
        <w:spacing w:after="0" w:line="240" w:lineRule="auto"/>
        <w:jc w:val="both"/>
        <w:rPr>
          <w:rFonts w:cs="Times New Roman"/>
          <w:szCs w:val="24"/>
          <w:shd w:val="clear" w:color="auto" w:fill="FFFFFF"/>
        </w:rPr>
      </w:pPr>
      <w:r w:rsidRPr="007156DD">
        <w:rPr>
          <w:rFonts w:cs="Times New Roman"/>
          <w:szCs w:val="24"/>
          <w:shd w:val="clear" w:color="auto" w:fill="FFFFFF"/>
          <w:lang w:val="en-US"/>
        </w:rPr>
        <w:t>MORGAN, B.</w:t>
      </w:r>
      <w:r w:rsidR="007156DD" w:rsidRPr="007156DD">
        <w:rPr>
          <w:rFonts w:cs="Times New Roman"/>
          <w:szCs w:val="24"/>
          <w:shd w:val="clear" w:color="auto" w:fill="FFFFFF"/>
          <w:lang w:val="en-US"/>
        </w:rPr>
        <w:t xml:space="preserve">; </w:t>
      </w:r>
      <w:r w:rsidRPr="007156DD">
        <w:rPr>
          <w:rFonts w:cs="Times New Roman"/>
          <w:szCs w:val="24"/>
          <w:shd w:val="clear" w:color="auto" w:fill="FFFFFF"/>
          <w:lang w:val="en-US"/>
        </w:rPr>
        <w:t>YEUNG, K</w:t>
      </w:r>
      <w:r w:rsidR="00441093" w:rsidRPr="007156DD">
        <w:rPr>
          <w:rFonts w:cs="Times New Roman"/>
          <w:szCs w:val="24"/>
          <w:shd w:val="clear" w:color="auto" w:fill="FFFFFF"/>
          <w:lang w:val="en-US"/>
        </w:rPr>
        <w:t xml:space="preserve">. </w:t>
      </w:r>
      <w:r w:rsidR="00441093" w:rsidRPr="007156DD">
        <w:rPr>
          <w:rFonts w:cs="Times New Roman"/>
          <w:b/>
          <w:bCs/>
          <w:iCs/>
          <w:szCs w:val="24"/>
          <w:shd w:val="clear" w:color="auto" w:fill="FFFFFF"/>
          <w:lang w:val="en-US"/>
        </w:rPr>
        <w:t>An introduction to law and regulation: Text and materials</w:t>
      </w:r>
      <w:r w:rsidR="00441093" w:rsidRPr="007156DD">
        <w:rPr>
          <w:rFonts w:cs="Times New Roman"/>
          <w:szCs w:val="24"/>
          <w:shd w:val="clear" w:color="auto" w:fill="FFFFFF"/>
          <w:lang w:val="en-US"/>
        </w:rPr>
        <w:t xml:space="preserve">. </w:t>
      </w:r>
      <w:r w:rsidRPr="007156DD">
        <w:rPr>
          <w:rFonts w:cs="Times New Roman"/>
          <w:szCs w:val="24"/>
          <w:shd w:val="clear" w:color="auto" w:fill="FFFFFF"/>
        </w:rPr>
        <w:t xml:space="preserve">Cambridge: </w:t>
      </w:r>
      <w:r w:rsidR="00441093" w:rsidRPr="007156DD">
        <w:rPr>
          <w:rFonts w:cs="Times New Roman"/>
          <w:szCs w:val="24"/>
          <w:shd w:val="clear" w:color="auto" w:fill="FFFFFF"/>
        </w:rPr>
        <w:t xml:space="preserve">Cambridge </w:t>
      </w:r>
      <w:proofErr w:type="spellStart"/>
      <w:r w:rsidR="00441093" w:rsidRPr="007156DD">
        <w:rPr>
          <w:rFonts w:cs="Times New Roman"/>
          <w:szCs w:val="24"/>
          <w:shd w:val="clear" w:color="auto" w:fill="FFFFFF"/>
        </w:rPr>
        <w:t>University</w:t>
      </w:r>
      <w:proofErr w:type="spellEnd"/>
      <w:r w:rsidR="00441093" w:rsidRPr="007156DD">
        <w:rPr>
          <w:rFonts w:cs="Times New Roman"/>
          <w:szCs w:val="24"/>
          <w:shd w:val="clear" w:color="auto" w:fill="FFFFFF"/>
        </w:rPr>
        <w:t xml:space="preserve"> Press</w:t>
      </w:r>
      <w:r w:rsidRPr="007156DD">
        <w:rPr>
          <w:rFonts w:cs="Times New Roman"/>
          <w:szCs w:val="24"/>
          <w:shd w:val="clear" w:color="auto" w:fill="FFFFFF"/>
        </w:rPr>
        <w:t>, 2007</w:t>
      </w:r>
      <w:r w:rsidR="00441093" w:rsidRPr="007156DD">
        <w:rPr>
          <w:rFonts w:cs="Times New Roman"/>
          <w:szCs w:val="24"/>
          <w:shd w:val="clear" w:color="auto" w:fill="FFFFFF"/>
        </w:rPr>
        <w:t>.</w:t>
      </w:r>
    </w:p>
    <w:p w14:paraId="1A1E01FE" w14:textId="77777777" w:rsidR="000570E3" w:rsidRPr="007156DD" w:rsidRDefault="000570E3" w:rsidP="00DC2148">
      <w:pPr>
        <w:spacing w:after="0" w:line="240" w:lineRule="auto"/>
        <w:jc w:val="both"/>
        <w:rPr>
          <w:rFonts w:cs="Times New Roman"/>
          <w:szCs w:val="24"/>
          <w:shd w:val="clear" w:color="auto" w:fill="FFFFFF"/>
        </w:rPr>
      </w:pPr>
    </w:p>
    <w:p w14:paraId="1CB6DA56" w14:textId="41E1AAA1" w:rsidR="00C63020" w:rsidRPr="007156DD" w:rsidRDefault="00F7342E" w:rsidP="00DC2148">
      <w:pPr>
        <w:spacing w:after="0" w:line="240" w:lineRule="auto"/>
        <w:jc w:val="both"/>
        <w:rPr>
          <w:rFonts w:cs="Times New Roman"/>
          <w:szCs w:val="24"/>
          <w:shd w:val="clear" w:color="auto" w:fill="FFFFFF"/>
        </w:rPr>
      </w:pPr>
      <w:r w:rsidRPr="007156DD">
        <w:rPr>
          <w:rFonts w:cs="Times New Roman"/>
          <w:szCs w:val="24"/>
          <w:shd w:val="clear" w:color="auto" w:fill="FFFFFF"/>
        </w:rPr>
        <w:t>OLIVEIRA, S. A.; GODRI, L.; COSTA, M. C.; GUARIDO FILHO, E. R</w:t>
      </w:r>
      <w:r w:rsidR="00C63020" w:rsidRPr="007156DD">
        <w:rPr>
          <w:rFonts w:cs="Times New Roman"/>
          <w:szCs w:val="24"/>
          <w:shd w:val="clear" w:color="auto" w:fill="FFFFFF"/>
        </w:rPr>
        <w:t xml:space="preserve">. Análise do discurso e seu uso nos estudos organizacionais: estudo dos contextos de citação de Phillips, Lawrence e </w:t>
      </w:r>
      <w:proofErr w:type="spellStart"/>
      <w:r w:rsidR="00C63020" w:rsidRPr="007156DD">
        <w:rPr>
          <w:rFonts w:cs="Times New Roman"/>
          <w:szCs w:val="24"/>
          <w:shd w:val="clear" w:color="auto" w:fill="FFFFFF"/>
        </w:rPr>
        <w:t>Hardy</w:t>
      </w:r>
      <w:proofErr w:type="spellEnd"/>
      <w:r w:rsidR="00C63020" w:rsidRPr="007156DD">
        <w:rPr>
          <w:rFonts w:cs="Times New Roman"/>
          <w:szCs w:val="24"/>
          <w:shd w:val="clear" w:color="auto" w:fill="FFFFFF"/>
        </w:rPr>
        <w:t>. </w:t>
      </w:r>
      <w:r w:rsidR="00C63020" w:rsidRPr="007156DD">
        <w:rPr>
          <w:rFonts w:cs="Times New Roman"/>
          <w:b/>
          <w:bCs/>
          <w:szCs w:val="24"/>
          <w:shd w:val="clear" w:color="auto" w:fill="FFFFFF"/>
        </w:rPr>
        <w:t>Revista Eletrônica de Ciência Administrativa</w:t>
      </w:r>
      <w:r w:rsidR="00C63020" w:rsidRPr="007156DD">
        <w:rPr>
          <w:rFonts w:cs="Times New Roman"/>
          <w:szCs w:val="24"/>
          <w:shd w:val="clear" w:color="auto" w:fill="FFFFFF"/>
        </w:rPr>
        <w:t>, </w:t>
      </w:r>
      <w:r w:rsidRPr="007156DD">
        <w:rPr>
          <w:rFonts w:cs="Times New Roman"/>
          <w:szCs w:val="24"/>
          <w:shd w:val="clear" w:color="auto" w:fill="FFFFFF"/>
        </w:rPr>
        <w:t xml:space="preserve">v. </w:t>
      </w:r>
      <w:r w:rsidR="00C63020" w:rsidRPr="007156DD">
        <w:rPr>
          <w:rFonts w:cs="Times New Roman"/>
          <w:szCs w:val="24"/>
          <w:shd w:val="clear" w:color="auto" w:fill="FFFFFF"/>
        </w:rPr>
        <w:t>15</w:t>
      </w:r>
      <w:r w:rsidRPr="007156DD">
        <w:rPr>
          <w:rFonts w:cs="Times New Roman"/>
          <w:szCs w:val="24"/>
          <w:shd w:val="clear" w:color="auto" w:fill="FFFFFF"/>
        </w:rPr>
        <w:t xml:space="preserve">, n. </w:t>
      </w:r>
      <w:r w:rsidR="00C63020" w:rsidRPr="007156DD">
        <w:rPr>
          <w:rFonts w:cs="Times New Roman"/>
          <w:szCs w:val="24"/>
          <w:shd w:val="clear" w:color="auto" w:fill="FFFFFF"/>
        </w:rPr>
        <w:t xml:space="preserve">1, </w:t>
      </w:r>
      <w:r w:rsidRPr="007156DD">
        <w:rPr>
          <w:rFonts w:cs="Times New Roman"/>
          <w:szCs w:val="24"/>
          <w:shd w:val="clear" w:color="auto" w:fill="FFFFFF"/>
        </w:rPr>
        <w:t xml:space="preserve">p. </w:t>
      </w:r>
      <w:r w:rsidR="00C63020" w:rsidRPr="007156DD">
        <w:rPr>
          <w:rFonts w:cs="Times New Roman"/>
          <w:szCs w:val="24"/>
          <w:shd w:val="clear" w:color="auto" w:fill="FFFFFF"/>
        </w:rPr>
        <w:t>40-54</w:t>
      </w:r>
      <w:r w:rsidRPr="007156DD">
        <w:rPr>
          <w:rFonts w:cs="Times New Roman"/>
          <w:szCs w:val="24"/>
          <w:shd w:val="clear" w:color="auto" w:fill="FFFFFF"/>
        </w:rPr>
        <w:t>, 2016</w:t>
      </w:r>
      <w:r w:rsidR="00C63020" w:rsidRPr="007156DD">
        <w:rPr>
          <w:rFonts w:cs="Times New Roman"/>
          <w:szCs w:val="24"/>
          <w:shd w:val="clear" w:color="auto" w:fill="FFFFFF"/>
        </w:rPr>
        <w:t xml:space="preserve">. </w:t>
      </w:r>
      <w:proofErr w:type="spellStart"/>
      <w:r w:rsidR="00C63020" w:rsidRPr="007156DD">
        <w:rPr>
          <w:rFonts w:cs="Times New Roman"/>
          <w:szCs w:val="24"/>
          <w:shd w:val="clear" w:color="auto" w:fill="FFFFFF"/>
        </w:rPr>
        <w:t>doi</w:t>
      </w:r>
      <w:proofErr w:type="spellEnd"/>
      <w:r w:rsidR="00C63020" w:rsidRPr="007156DD">
        <w:rPr>
          <w:rFonts w:cs="Times New Roman"/>
          <w:szCs w:val="24"/>
          <w:shd w:val="clear" w:color="auto" w:fill="FFFFFF"/>
        </w:rPr>
        <w:t>: 10.21529/RECADM.2016004</w:t>
      </w:r>
    </w:p>
    <w:p w14:paraId="70648E8D" w14:textId="77777777" w:rsidR="000570E3" w:rsidRPr="007156DD" w:rsidRDefault="000570E3" w:rsidP="00DC2148">
      <w:pPr>
        <w:spacing w:after="0" w:line="240" w:lineRule="auto"/>
        <w:jc w:val="both"/>
        <w:rPr>
          <w:rFonts w:cs="Times New Roman"/>
          <w:szCs w:val="24"/>
          <w:shd w:val="clear" w:color="auto" w:fill="FFFFFF"/>
        </w:rPr>
      </w:pPr>
    </w:p>
    <w:p w14:paraId="2DE2E0B2" w14:textId="522A48D4" w:rsidR="00C63020" w:rsidRPr="007156DD" w:rsidRDefault="007B50E7" w:rsidP="00DC2148">
      <w:pPr>
        <w:spacing w:after="0" w:line="240" w:lineRule="auto"/>
        <w:jc w:val="both"/>
        <w:rPr>
          <w:rFonts w:cs="Times New Roman"/>
          <w:szCs w:val="24"/>
          <w:shd w:val="clear" w:color="auto" w:fill="FFFFFF"/>
        </w:rPr>
      </w:pPr>
      <w:r w:rsidRPr="007156DD">
        <w:rPr>
          <w:rFonts w:cs="Times New Roman"/>
          <w:szCs w:val="24"/>
          <w:shd w:val="clear" w:color="auto" w:fill="FFFFFF"/>
        </w:rPr>
        <w:t xml:space="preserve">OLIVEIRA, S. A.; SOBRINHO, R. M. F.; GUARIDO FILHO, E. </w:t>
      </w:r>
      <w:r w:rsidR="00C63020" w:rsidRPr="007156DD">
        <w:rPr>
          <w:rFonts w:cs="Times New Roman"/>
          <w:szCs w:val="24"/>
          <w:shd w:val="clear" w:color="auto" w:fill="FFFFFF"/>
        </w:rPr>
        <w:t>R. Análise do Discurso no Institucionalismo Organizacional: Possibilidades a Partir do Discurso Midiático. </w:t>
      </w:r>
      <w:r w:rsidR="00C63020" w:rsidRPr="007156DD">
        <w:rPr>
          <w:rFonts w:cs="Times New Roman"/>
          <w:b/>
          <w:bCs/>
          <w:szCs w:val="24"/>
          <w:shd w:val="clear" w:color="auto" w:fill="FFFFFF"/>
        </w:rPr>
        <w:t>Revista Eletrônica de Ciência Administrativa</w:t>
      </w:r>
      <w:r w:rsidR="00C63020" w:rsidRPr="007156DD">
        <w:rPr>
          <w:rFonts w:cs="Times New Roman"/>
          <w:szCs w:val="24"/>
          <w:shd w:val="clear" w:color="auto" w:fill="FFFFFF"/>
        </w:rPr>
        <w:t>, </w:t>
      </w:r>
      <w:r w:rsidRPr="007156DD">
        <w:rPr>
          <w:rFonts w:cs="Times New Roman"/>
          <w:szCs w:val="24"/>
          <w:shd w:val="clear" w:color="auto" w:fill="FFFFFF"/>
        </w:rPr>
        <w:t xml:space="preserve">v. </w:t>
      </w:r>
      <w:r w:rsidR="00C63020" w:rsidRPr="007156DD">
        <w:rPr>
          <w:rFonts w:cs="Times New Roman"/>
          <w:szCs w:val="24"/>
          <w:shd w:val="clear" w:color="auto" w:fill="FFFFFF"/>
        </w:rPr>
        <w:t>14</w:t>
      </w:r>
      <w:r w:rsidRPr="007156DD">
        <w:rPr>
          <w:rFonts w:cs="Times New Roman"/>
          <w:szCs w:val="24"/>
          <w:shd w:val="clear" w:color="auto" w:fill="FFFFFF"/>
        </w:rPr>
        <w:t xml:space="preserve">, n. </w:t>
      </w:r>
      <w:r w:rsidR="00C63020" w:rsidRPr="007156DD">
        <w:rPr>
          <w:rFonts w:cs="Times New Roman"/>
          <w:szCs w:val="24"/>
          <w:shd w:val="clear" w:color="auto" w:fill="FFFFFF"/>
        </w:rPr>
        <w:t xml:space="preserve">1, </w:t>
      </w:r>
      <w:r w:rsidRPr="007156DD">
        <w:rPr>
          <w:rFonts w:cs="Times New Roman"/>
          <w:szCs w:val="24"/>
          <w:shd w:val="clear" w:color="auto" w:fill="FFFFFF"/>
        </w:rPr>
        <w:t xml:space="preserve">p. </w:t>
      </w:r>
      <w:r w:rsidR="00C63020" w:rsidRPr="007156DD">
        <w:rPr>
          <w:rFonts w:cs="Times New Roman"/>
          <w:szCs w:val="24"/>
          <w:shd w:val="clear" w:color="auto" w:fill="FFFFFF"/>
        </w:rPr>
        <w:t>45-58</w:t>
      </w:r>
      <w:r w:rsidRPr="007156DD">
        <w:rPr>
          <w:rFonts w:cs="Times New Roman"/>
          <w:szCs w:val="24"/>
          <w:shd w:val="clear" w:color="auto" w:fill="FFFFFF"/>
        </w:rPr>
        <w:t>, 2015</w:t>
      </w:r>
      <w:r w:rsidR="00C63020" w:rsidRPr="007156DD">
        <w:rPr>
          <w:rFonts w:cs="Times New Roman"/>
          <w:szCs w:val="24"/>
          <w:shd w:val="clear" w:color="auto" w:fill="FFFFFF"/>
        </w:rPr>
        <w:t xml:space="preserve">. </w:t>
      </w:r>
      <w:proofErr w:type="spellStart"/>
      <w:r w:rsidR="00C63020" w:rsidRPr="007156DD">
        <w:rPr>
          <w:rFonts w:cs="Times New Roman"/>
          <w:szCs w:val="24"/>
          <w:shd w:val="clear" w:color="auto" w:fill="FFFFFF"/>
        </w:rPr>
        <w:t>doi</w:t>
      </w:r>
      <w:proofErr w:type="spellEnd"/>
      <w:r w:rsidR="00C63020" w:rsidRPr="007156DD">
        <w:rPr>
          <w:rFonts w:cs="Times New Roman"/>
          <w:szCs w:val="24"/>
          <w:shd w:val="clear" w:color="auto" w:fill="FFFFFF"/>
        </w:rPr>
        <w:t>: 10.21529/RECADM.2015005</w:t>
      </w:r>
    </w:p>
    <w:p w14:paraId="7571DF7F" w14:textId="77777777" w:rsidR="000570E3" w:rsidRPr="007156DD" w:rsidRDefault="000570E3" w:rsidP="00DC2148">
      <w:pPr>
        <w:spacing w:after="0" w:line="240" w:lineRule="auto"/>
        <w:jc w:val="both"/>
        <w:rPr>
          <w:rFonts w:cs="Times New Roman"/>
          <w:szCs w:val="24"/>
          <w:shd w:val="clear" w:color="auto" w:fill="FFFFFF"/>
        </w:rPr>
      </w:pPr>
    </w:p>
    <w:p w14:paraId="73D2E321" w14:textId="3CA79053" w:rsidR="00C63020" w:rsidRPr="00A8004B" w:rsidRDefault="00735CC0" w:rsidP="00DC2148">
      <w:pPr>
        <w:spacing w:after="0" w:line="240" w:lineRule="auto"/>
        <w:jc w:val="both"/>
        <w:rPr>
          <w:rFonts w:cs="Times New Roman"/>
          <w:szCs w:val="24"/>
          <w:shd w:val="clear" w:color="auto" w:fill="FFFFFF"/>
          <w:lang w:val="en-US"/>
        </w:rPr>
      </w:pPr>
      <w:r w:rsidRPr="007156DD">
        <w:rPr>
          <w:rFonts w:cs="Times New Roman"/>
          <w:szCs w:val="24"/>
          <w:shd w:val="clear" w:color="auto" w:fill="FFFFFF"/>
          <w:lang w:val="es-MX"/>
        </w:rPr>
        <w:t>PEDRONI, F. V.; GUERRAZI, L.; SERRA, F. R.; ALBANESE, D. E.</w:t>
      </w:r>
      <w:r w:rsidR="00C63020" w:rsidRPr="007156DD">
        <w:rPr>
          <w:rFonts w:cs="Times New Roman"/>
          <w:szCs w:val="24"/>
          <w:shd w:val="clear" w:color="auto" w:fill="FFFFFF"/>
          <w:lang w:val="es-MX"/>
        </w:rPr>
        <w:t xml:space="preserve"> Investigación contable, un estudio bibliométrico: identificación de publicaciones relevantes y examen de la estructura </w:t>
      </w:r>
      <w:r w:rsidR="00C63020" w:rsidRPr="007156DD">
        <w:rPr>
          <w:rFonts w:cs="Times New Roman"/>
          <w:szCs w:val="24"/>
          <w:shd w:val="clear" w:color="auto" w:fill="FFFFFF"/>
          <w:lang w:val="es-MX"/>
        </w:rPr>
        <w:lastRenderedPageBreak/>
        <w:t>intelectual. </w:t>
      </w:r>
      <w:proofErr w:type="spellStart"/>
      <w:r w:rsidR="00C63020" w:rsidRPr="00A8004B">
        <w:rPr>
          <w:rFonts w:cs="Times New Roman"/>
          <w:b/>
          <w:bCs/>
          <w:szCs w:val="24"/>
          <w:shd w:val="clear" w:color="auto" w:fill="FFFFFF"/>
          <w:lang w:val="en-US"/>
        </w:rPr>
        <w:t>Revista</w:t>
      </w:r>
      <w:proofErr w:type="spellEnd"/>
      <w:r w:rsidR="00C63020" w:rsidRPr="00A8004B">
        <w:rPr>
          <w:rFonts w:cs="Times New Roman"/>
          <w:b/>
          <w:bCs/>
          <w:szCs w:val="24"/>
          <w:shd w:val="clear" w:color="auto" w:fill="FFFFFF"/>
          <w:lang w:val="en-US"/>
        </w:rPr>
        <w:t xml:space="preserve"> </w:t>
      </w:r>
      <w:proofErr w:type="spellStart"/>
      <w:r w:rsidR="00C63020" w:rsidRPr="00A8004B">
        <w:rPr>
          <w:rFonts w:cs="Times New Roman"/>
          <w:b/>
          <w:bCs/>
          <w:szCs w:val="24"/>
          <w:shd w:val="clear" w:color="auto" w:fill="FFFFFF"/>
          <w:lang w:val="en-US"/>
        </w:rPr>
        <w:t>Contemporânea</w:t>
      </w:r>
      <w:proofErr w:type="spellEnd"/>
      <w:r w:rsidR="00C63020" w:rsidRPr="00A8004B">
        <w:rPr>
          <w:rFonts w:cs="Times New Roman"/>
          <w:b/>
          <w:bCs/>
          <w:szCs w:val="24"/>
          <w:shd w:val="clear" w:color="auto" w:fill="FFFFFF"/>
          <w:lang w:val="en-US"/>
        </w:rPr>
        <w:t xml:space="preserve"> de </w:t>
      </w:r>
      <w:proofErr w:type="spellStart"/>
      <w:r w:rsidR="00C63020" w:rsidRPr="00A8004B">
        <w:rPr>
          <w:rFonts w:cs="Times New Roman"/>
          <w:b/>
          <w:bCs/>
          <w:szCs w:val="24"/>
          <w:shd w:val="clear" w:color="auto" w:fill="FFFFFF"/>
          <w:lang w:val="en-US"/>
        </w:rPr>
        <w:t>Contabilidade</w:t>
      </w:r>
      <w:proofErr w:type="spellEnd"/>
      <w:r w:rsidR="00C63020" w:rsidRPr="00A8004B">
        <w:rPr>
          <w:rFonts w:cs="Times New Roman"/>
          <w:szCs w:val="24"/>
          <w:shd w:val="clear" w:color="auto" w:fill="FFFFFF"/>
          <w:lang w:val="en-US"/>
        </w:rPr>
        <w:t>, </w:t>
      </w:r>
      <w:r w:rsidRPr="00A8004B">
        <w:rPr>
          <w:rFonts w:cs="Times New Roman"/>
          <w:szCs w:val="24"/>
          <w:shd w:val="clear" w:color="auto" w:fill="FFFFFF"/>
          <w:lang w:val="en-US"/>
        </w:rPr>
        <w:t xml:space="preserve">v. </w:t>
      </w:r>
      <w:r w:rsidR="00C63020" w:rsidRPr="00A8004B">
        <w:rPr>
          <w:rFonts w:cs="Times New Roman"/>
          <w:szCs w:val="24"/>
          <w:shd w:val="clear" w:color="auto" w:fill="FFFFFF"/>
          <w:lang w:val="en-US"/>
        </w:rPr>
        <w:t>13</w:t>
      </w:r>
      <w:r w:rsidRPr="00A8004B">
        <w:rPr>
          <w:rFonts w:cs="Times New Roman"/>
          <w:szCs w:val="24"/>
          <w:shd w:val="clear" w:color="auto" w:fill="FFFFFF"/>
          <w:lang w:val="en-US"/>
        </w:rPr>
        <w:t xml:space="preserve">, n. </w:t>
      </w:r>
      <w:r w:rsidR="00C63020" w:rsidRPr="00A8004B">
        <w:rPr>
          <w:rFonts w:cs="Times New Roman"/>
          <w:szCs w:val="24"/>
          <w:shd w:val="clear" w:color="auto" w:fill="FFFFFF"/>
          <w:lang w:val="en-US"/>
        </w:rPr>
        <w:t xml:space="preserve">30, </w:t>
      </w:r>
      <w:r w:rsidRPr="00A8004B">
        <w:rPr>
          <w:rFonts w:cs="Times New Roman"/>
          <w:szCs w:val="24"/>
          <w:shd w:val="clear" w:color="auto" w:fill="FFFFFF"/>
          <w:lang w:val="en-US"/>
        </w:rPr>
        <w:t xml:space="preserve">p. </w:t>
      </w:r>
      <w:r w:rsidR="00C63020" w:rsidRPr="00A8004B">
        <w:rPr>
          <w:rFonts w:cs="Times New Roman"/>
          <w:szCs w:val="24"/>
          <w:shd w:val="clear" w:color="auto" w:fill="FFFFFF"/>
          <w:lang w:val="en-US"/>
        </w:rPr>
        <w:t>53-91</w:t>
      </w:r>
      <w:r w:rsidRPr="00A8004B">
        <w:rPr>
          <w:rFonts w:cs="Times New Roman"/>
          <w:szCs w:val="24"/>
          <w:shd w:val="clear" w:color="auto" w:fill="FFFFFF"/>
          <w:lang w:val="en-US"/>
        </w:rPr>
        <w:t>, 2016</w:t>
      </w:r>
      <w:r w:rsidR="00C63020" w:rsidRPr="00A8004B">
        <w:rPr>
          <w:rFonts w:cs="Times New Roman"/>
          <w:szCs w:val="24"/>
          <w:shd w:val="clear" w:color="auto" w:fill="FFFFFF"/>
          <w:lang w:val="en-US"/>
        </w:rPr>
        <w:t xml:space="preserve">. </w:t>
      </w:r>
      <w:proofErr w:type="spellStart"/>
      <w:r w:rsidR="00C63020" w:rsidRPr="00A8004B">
        <w:rPr>
          <w:rFonts w:cs="Times New Roman"/>
          <w:szCs w:val="24"/>
          <w:shd w:val="clear" w:color="auto" w:fill="FFFFFF"/>
          <w:lang w:val="en-US"/>
        </w:rPr>
        <w:t>doi</w:t>
      </w:r>
      <w:proofErr w:type="spellEnd"/>
      <w:r w:rsidR="00C63020" w:rsidRPr="00A8004B">
        <w:rPr>
          <w:rFonts w:cs="Times New Roman"/>
          <w:szCs w:val="24"/>
          <w:shd w:val="clear" w:color="auto" w:fill="FFFFFF"/>
          <w:lang w:val="en-US"/>
        </w:rPr>
        <w:t xml:space="preserve">: </w:t>
      </w:r>
      <w:r w:rsidR="00C63020" w:rsidRPr="00A8004B">
        <w:rPr>
          <w:lang w:val="en-US"/>
        </w:rPr>
        <w:t>10.5007/2175-8069.2016v13n30p53.</w:t>
      </w:r>
    </w:p>
    <w:p w14:paraId="5EDB4714" w14:textId="77777777" w:rsidR="000570E3" w:rsidRPr="00A8004B" w:rsidRDefault="000570E3" w:rsidP="00DC2148">
      <w:pPr>
        <w:spacing w:after="0" w:line="240" w:lineRule="auto"/>
        <w:jc w:val="both"/>
        <w:rPr>
          <w:rFonts w:cs="Times New Roman"/>
          <w:szCs w:val="24"/>
          <w:shd w:val="clear" w:color="auto" w:fill="FFFFFF"/>
          <w:lang w:val="en-US"/>
        </w:rPr>
      </w:pPr>
    </w:p>
    <w:p w14:paraId="7C605A5A" w14:textId="75EED1B6" w:rsidR="00C63020" w:rsidRPr="007156DD" w:rsidRDefault="00735CC0" w:rsidP="00DC2148">
      <w:pPr>
        <w:spacing w:after="0" w:line="240" w:lineRule="auto"/>
        <w:jc w:val="both"/>
        <w:rPr>
          <w:rFonts w:cs="Times New Roman"/>
          <w:szCs w:val="24"/>
          <w:shd w:val="clear" w:color="auto" w:fill="FFFFFF"/>
          <w:lang w:val="en-US"/>
        </w:rPr>
      </w:pPr>
      <w:r w:rsidRPr="007156DD">
        <w:rPr>
          <w:rFonts w:cs="Times New Roman"/>
          <w:szCs w:val="24"/>
          <w:shd w:val="clear" w:color="auto" w:fill="FFFFFF"/>
          <w:lang w:val="en-US"/>
        </w:rPr>
        <w:t xml:space="preserve">PHILLIPS, N.; LAWRENCE, T. B.; HARDY, </w:t>
      </w:r>
      <w:r w:rsidR="00C63020" w:rsidRPr="007156DD">
        <w:rPr>
          <w:rFonts w:cs="Times New Roman"/>
          <w:szCs w:val="24"/>
          <w:shd w:val="clear" w:color="auto" w:fill="FFFFFF"/>
          <w:lang w:val="en-US"/>
        </w:rPr>
        <w:t>C. Discourse and institutions. </w:t>
      </w:r>
      <w:r w:rsidR="00C63020" w:rsidRPr="007156DD">
        <w:rPr>
          <w:rFonts w:cs="Times New Roman"/>
          <w:b/>
          <w:bCs/>
          <w:szCs w:val="24"/>
          <w:shd w:val="clear" w:color="auto" w:fill="FFFFFF"/>
          <w:lang w:val="en-US"/>
        </w:rPr>
        <w:t>Academy of management review</w:t>
      </w:r>
      <w:r w:rsidR="00C63020" w:rsidRPr="007156DD">
        <w:rPr>
          <w:rFonts w:cs="Times New Roman"/>
          <w:szCs w:val="24"/>
          <w:shd w:val="clear" w:color="auto" w:fill="FFFFFF"/>
          <w:lang w:val="en-US"/>
        </w:rPr>
        <w:t>, </w:t>
      </w:r>
      <w:r w:rsidRPr="007156DD">
        <w:rPr>
          <w:rFonts w:cs="Times New Roman"/>
          <w:szCs w:val="24"/>
          <w:shd w:val="clear" w:color="auto" w:fill="FFFFFF"/>
          <w:lang w:val="en-US"/>
        </w:rPr>
        <w:t xml:space="preserve">v. </w:t>
      </w:r>
      <w:r w:rsidR="00C63020" w:rsidRPr="007156DD">
        <w:rPr>
          <w:rFonts w:cs="Times New Roman"/>
          <w:szCs w:val="24"/>
          <w:shd w:val="clear" w:color="auto" w:fill="FFFFFF"/>
          <w:lang w:val="en-US"/>
        </w:rPr>
        <w:t>29</w:t>
      </w:r>
      <w:r w:rsidRPr="007156DD">
        <w:rPr>
          <w:rFonts w:cs="Times New Roman"/>
          <w:szCs w:val="24"/>
          <w:shd w:val="clear" w:color="auto" w:fill="FFFFFF"/>
          <w:lang w:val="en-US"/>
        </w:rPr>
        <w:t xml:space="preserve">, n. </w:t>
      </w:r>
      <w:r w:rsidR="00C63020" w:rsidRPr="007156DD">
        <w:rPr>
          <w:rFonts w:cs="Times New Roman"/>
          <w:szCs w:val="24"/>
          <w:shd w:val="clear" w:color="auto" w:fill="FFFFFF"/>
          <w:lang w:val="en-US"/>
        </w:rPr>
        <w:t xml:space="preserve">4, </w:t>
      </w:r>
      <w:r w:rsidRPr="007156DD">
        <w:rPr>
          <w:rFonts w:cs="Times New Roman"/>
          <w:szCs w:val="24"/>
          <w:shd w:val="clear" w:color="auto" w:fill="FFFFFF"/>
          <w:lang w:val="en-US"/>
        </w:rPr>
        <w:t>p.</w:t>
      </w:r>
      <w:r w:rsidR="005129FF" w:rsidRPr="007156DD">
        <w:rPr>
          <w:rFonts w:cs="Times New Roman"/>
          <w:szCs w:val="24"/>
          <w:shd w:val="clear" w:color="auto" w:fill="FFFFFF"/>
          <w:lang w:val="en-US"/>
        </w:rPr>
        <w:t xml:space="preserve"> </w:t>
      </w:r>
      <w:r w:rsidR="00C63020" w:rsidRPr="007156DD">
        <w:rPr>
          <w:rFonts w:cs="Times New Roman"/>
          <w:szCs w:val="24"/>
          <w:shd w:val="clear" w:color="auto" w:fill="FFFFFF"/>
          <w:lang w:val="en-US"/>
        </w:rPr>
        <w:t>635-652</w:t>
      </w:r>
      <w:r w:rsidR="005129FF" w:rsidRPr="007156DD">
        <w:rPr>
          <w:rFonts w:cs="Times New Roman"/>
          <w:szCs w:val="24"/>
          <w:shd w:val="clear" w:color="auto" w:fill="FFFFFF"/>
          <w:lang w:val="en-US"/>
        </w:rPr>
        <w:t>, 2004</w:t>
      </w:r>
      <w:r w:rsidR="00C63020" w:rsidRPr="007156DD">
        <w:rPr>
          <w:rFonts w:cs="Times New Roman"/>
          <w:szCs w:val="24"/>
          <w:shd w:val="clear" w:color="auto" w:fill="FFFFFF"/>
          <w:lang w:val="en-US"/>
        </w:rPr>
        <w:t xml:space="preserve">. </w:t>
      </w:r>
      <w:proofErr w:type="spellStart"/>
      <w:r w:rsidR="00C63020" w:rsidRPr="007156DD">
        <w:rPr>
          <w:rFonts w:cs="Times New Roman"/>
          <w:szCs w:val="24"/>
          <w:shd w:val="clear" w:color="auto" w:fill="FFFFFF"/>
          <w:lang w:val="en-US"/>
        </w:rPr>
        <w:t>doi</w:t>
      </w:r>
      <w:proofErr w:type="spellEnd"/>
      <w:r w:rsidR="00C63020" w:rsidRPr="007156DD">
        <w:rPr>
          <w:rFonts w:cs="Times New Roman"/>
          <w:szCs w:val="24"/>
          <w:shd w:val="clear" w:color="auto" w:fill="FFFFFF"/>
          <w:lang w:val="en-US"/>
        </w:rPr>
        <w:t>: 10.5465/AMR.2004.14497617</w:t>
      </w:r>
    </w:p>
    <w:p w14:paraId="2433683A" w14:textId="77777777" w:rsidR="000570E3" w:rsidRPr="007156DD" w:rsidRDefault="000570E3" w:rsidP="00DC2148">
      <w:pPr>
        <w:spacing w:after="0" w:line="240" w:lineRule="auto"/>
        <w:jc w:val="both"/>
        <w:rPr>
          <w:rFonts w:cs="Times New Roman"/>
          <w:szCs w:val="24"/>
          <w:shd w:val="clear" w:color="auto" w:fill="FFFFFF"/>
          <w:lang w:val="en-US"/>
        </w:rPr>
      </w:pPr>
    </w:p>
    <w:p w14:paraId="2ED6B7D4" w14:textId="7E58157B" w:rsidR="00FA6C27" w:rsidRPr="007156DD" w:rsidRDefault="005129FF" w:rsidP="00DC2148">
      <w:pPr>
        <w:spacing w:after="0" w:line="240" w:lineRule="auto"/>
        <w:jc w:val="both"/>
        <w:rPr>
          <w:rFonts w:cs="Times New Roman"/>
          <w:szCs w:val="24"/>
          <w:shd w:val="clear" w:color="auto" w:fill="FFFFFF"/>
          <w:lang w:val="en-US"/>
        </w:rPr>
      </w:pPr>
      <w:r w:rsidRPr="007156DD">
        <w:rPr>
          <w:rFonts w:cs="Times New Roman"/>
          <w:szCs w:val="24"/>
          <w:shd w:val="clear" w:color="auto" w:fill="FFFFFF"/>
          <w:lang w:val="en-US"/>
        </w:rPr>
        <w:t xml:space="preserve">SCHUPPERT, </w:t>
      </w:r>
      <w:r w:rsidR="00FA6C27" w:rsidRPr="007156DD">
        <w:rPr>
          <w:rFonts w:cs="Times New Roman"/>
          <w:szCs w:val="24"/>
          <w:shd w:val="clear" w:color="auto" w:fill="FFFFFF"/>
          <w:lang w:val="en-US"/>
        </w:rPr>
        <w:t>G. F. </w:t>
      </w:r>
      <w:proofErr w:type="spellStart"/>
      <w:r w:rsidR="00FA6C27" w:rsidRPr="007156DD">
        <w:rPr>
          <w:rFonts w:cs="Times New Roman"/>
          <w:b/>
          <w:bCs/>
          <w:iCs/>
          <w:szCs w:val="24"/>
          <w:shd w:val="clear" w:color="auto" w:fill="FFFFFF"/>
          <w:lang w:val="en-US"/>
        </w:rPr>
        <w:t>Alles</w:t>
      </w:r>
      <w:proofErr w:type="spellEnd"/>
      <w:r w:rsidR="00FA6C27" w:rsidRPr="007156DD">
        <w:rPr>
          <w:rFonts w:cs="Times New Roman"/>
          <w:b/>
          <w:bCs/>
          <w:iCs/>
          <w:szCs w:val="24"/>
          <w:shd w:val="clear" w:color="auto" w:fill="FFFFFF"/>
          <w:lang w:val="en-US"/>
        </w:rPr>
        <w:t xml:space="preserve"> Governance </w:t>
      </w:r>
      <w:proofErr w:type="spellStart"/>
      <w:r w:rsidR="00FA6C27" w:rsidRPr="007156DD">
        <w:rPr>
          <w:rFonts w:cs="Times New Roman"/>
          <w:b/>
          <w:bCs/>
          <w:iCs/>
          <w:szCs w:val="24"/>
          <w:shd w:val="clear" w:color="auto" w:fill="FFFFFF"/>
          <w:lang w:val="en-US"/>
        </w:rPr>
        <w:t>oder</w:t>
      </w:r>
      <w:proofErr w:type="spellEnd"/>
      <w:r w:rsidR="00FA6C27" w:rsidRPr="007156DD">
        <w:rPr>
          <w:rFonts w:cs="Times New Roman"/>
          <w:b/>
          <w:bCs/>
          <w:iCs/>
          <w:szCs w:val="24"/>
          <w:shd w:val="clear" w:color="auto" w:fill="FFFFFF"/>
          <w:lang w:val="en-US"/>
        </w:rPr>
        <w:t xml:space="preserve"> </w:t>
      </w:r>
      <w:proofErr w:type="gramStart"/>
      <w:r w:rsidR="00FA6C27" w:rsidRPr="007156DD">
        <w:rPr>
          <w:rFonts w:cs="Times New Roman"/>
          <w:b/>
          <w:bCs/>
          <w:iCs/>
          <w:szCs w:val="24"/>
          <w:shd w:val="clear" w:color="auto" w:fill="FFFFFF"/>
          <w:lang w:val="en-US"/>
        </w:rPr>
        <w:t>was</w:t>
      </w:r>
      <w:r w:rsidR="00FA6C27" w:rsidRPr="007156DD">
        <w:rPr>
          <w:rFonts w:cs="Times New Roman"/>
          <w:i/>
          <w:szCs w:val="24"/>
          <w:shd w:val="clear" w:color="auto" w:fill="FFFFFF"/>
          <w:lang w:val="en-US"/>
        </w:rPr>
        <w:t>?.</w:t>
      </w:r>
      <w:proofErr w:type="gramEnd"/>
      <w:r w:rsidRPr="007156DD">
        <w:rPr>
          <w:lang w:val="en-US"/>
        </w:rPr>
        <w:t xml:space="preserve"> Baden-Baden: </w:t>
      </w:r>
      <w:r w:rsidR="00FA6C27" w:rsidRPr="007156DD">
        <w:rPr>
          <w:rFonts w:cs="Times New Roman"/>
          <w:szCs w:val="24"/>
          <w:shd w:val="clear" w:color="auto" w:fill="FFFFFF"/>
          <w:lang w:val="en-US"/>
        </w:rPr>
        <w:t xml:space="preserve">Nomos </w:t>
      </w:r>
      <w:proofErr w:type="spellStart"/>
      <w:r w:rsidR="00FA6C27" w:rsidRPr="007156DD">
        <w:rPr>
          <w:rFonts w:cs="Times New Roman"/>
          <w:szCs w:val="24"/>
          <w:shd w:val="clear" w:color="auto" w:fill="FFFFFF"/>
          <w:lang w:val="en-US"/>
        </w:rPr>
        <w:t>Verlagsgesellschaft</w:t>
      </w:r>
      <w:proofErr w:type="spellEnd"/>
      <w:r w:rsidR="00FA6C27" w:rsidRPr="007156DD">
        <w:rPr>
          <w:rFonts w:cs="Times New Roman"/>
          <w:szCs w:val="24"/>
          <w:shd w:val="clear" w:color="auto" w:fill="FFFFFF"/>
          <w:lang w:val="en-US"/>
        </w:rPr>
        <w:t xml:space="preserve"> </w:t>
      </w:r>
      <w:proofErr w:type="spellStart"/>
      <w:r w:rsidR="00FA6C27" w:rsidRPr="007156DD">
        <w:rPr>
          <w:rFonts w:cs="Times New Roman"/>
          <w:szCs w:val="24"/>
          <w:shd w:val="clear" w:color="auto" w:fill="FFFFFF"/>
          <w:lang w:val="en-US"/>
        </w:rPr>
        <w:t>mbH</w:t>
      </w:r>
      <w:proofErr w:type="spellEnd"/>
      <w:r w:rsidR="00FA6C27" w:rsidRPr="007156DD">
        <w:rPr>
          <w:rFonts w:cs="Times New Roman"/>
          <w:szCs w:val="24"/>
          <w:shd w:val="clear" w:color="auto" w:fill="FFFFFF"/>
          <w:lang w:val="en-US"/>
        </w:rPr>
        <w:t xml:space="preserve"> &amp; Co. KG</w:t>
      </w:r>
      <w:r w:rsidRPr="007156DD">
        <w:rPr>
          <w:rFonts w:cs="Times New Roman"/>
          <w:szCs w:val="24"/>
          <w:shd w:val="clear" w:color="auto" w:fill="FFFFFF"/>
          <w:lang w:val="en-US"/>
        </w:rPr>
        <w:t>, 2011</w:t>
      </w:r>
      <w:r w:rsidR="00FA6C27" w:rsidRPr="007156DD">
        <w:rPr>
          <w:rFonts w:cs="Times New Roman"/>
          <w:szCs w:val="24"/>
          <w:shd w:val="clear" w:color="auto" w:fill="FFFFFF"/>
          <w:lang w:val="en-US"/>
        </w:rPr>
        <w:t>.</w:t>
      </w:r>
    </w:p>
    <w:p w14:paraId="1B0878D0" w14:textId="77777777" w:rsidR="000570E3" w:rsidRPr="007156DD" w:rsidRDefault="000570E3" w:rsidP="00DC2148">
      <w:pPr>
        <w:spacing w:after="0" w:line="240" w:lineRule="auto"/>
        <w:jc w:val="both"/>
        <w:rPr>
          <w:rFonts w:cs="Times New Roman"/>
          <w:szCs w:val="24"/>
          <w:shd w:val="clear" w:color="auto" w:fill="FFFFFF"/>
          <w:lang w:val="en-US"/>
        </w:rPr>
      </w:pPr>
    </w:p>
    <w:p w14:paraId="4B669C69" w14:textId="3F1E88FD" w:rsidR="00441093" w:rsidRPr="007156DD" w:rsidRDefault="005129FF" w:rsidP="00DC2148">
      <w:pPr>
        <w:spacing w:after="0" w:line="240" w:lineRule="auto"/>
        <w:jc w:val="both"/>
        <w:rPr>
          <w:rFonts w:cs="Times New Roman"/>
          <w:szCs w:val="24"/>
          <w:shd w:val="clear" w:color="auto" w:fill="FFFFFF"/>
          <w:lang w:val="en-US"/>
        </w:rPr>
      </w:pPr>
      <w:r w:rsidRPr="007156DD">
        <w:rPr>
          <w:rFonts w:cs="Times New Roman"/>
          <w:szCs w:val="24"/>
          <w:shd w:val="clear" w:color="auto" w:fill="FFFFFF"/>
          <w:lang w:val="en-US"/>
        </w:rPr>
        <w:t>SCOTT, W. R.; RUEF, M.; MENDEL, P. J.; CARONNA, C. A.</w:t>
      </w:r>
      <w:r w:rsidR="00441093" w:rsidRPr="007156DD">
        <w:rPr>
          <w:rFonts w:cs="Times New Roman"/>
          <w:szCs w:val="24"/>
          <w:shd w:val="clear" w:color="auto" w:fill="FFFFFF"/>
          <w:lang w:val="en-US"/>
        </w:rPr>
        <w:t> </w:t>
      </w:r>
      <w:r w:rsidR="00441093" w:rsidRPr="007156DD">
        <w:rPr>
          <w:rFonts w:cs="Times New Roman"/>
          <w:b/>
          <w:bCs/>
          <w:iCs/>
          <w:szCs w:val="24"/>
          <w:shd w:val="clear" w:color="auto" w:fill="FFFFFF"/>
          <w:lang w:val="en-US"/>
        </w:rPr>
        <w:t>Institutional change and healthcare organizations: From professional dominance to managed care</w:t>
      </w:r>
      <w:r w:rsidR="00441093" w:rsidRPr="007156DD">
        <w:rPr>
          <w:rFonts w:cs="Times New Roman"/>
          <w:i/>
          <w:szCs w:val="24"/>
          <w:shd w:val="clear" w:color="auto" w:fill="FFFFFF"/>
          <w:lang w:val="en-US"/>
        </w:rPr>
        <w:t>.</w:t>
      </w:r>
      <w:r w:rsidR="00441093" w:rsidRPr="007156DD">
        <w:rPr>
          <w:rFonts w:cs="Times New Roman"/>
          <w:szCs w:val="24"/>
          <w:shd w:val="clear" w:color="auto" w:fill="FFFFFF"/>
          <w:lang w:val="en-US"/>
        </w:rPr>
        <w:t xml:space="preserve"> </w:t>
      </w:r>
      <w:r w:rsidR="007156DD" w:rsidRPr="007156DD">
        <w:rPr>
          <w:rFonts w:cs="Times New Roman"/>
          <w:szCs w:val="24"/>
          <w:shd w:val="clear" w:color="auto" w:fill="FFFFFF"/>
          <w:lang w:val="en-US"/>
        </w:rPr>
        <w:t xml:space="preserve">Chicago: </w:t>
      </w:r>
      <w:r w:rsidR="00441093" w:rsidRPr="007156DD">
        <w:rPr>
          <w:rFonts w:cs="Times New Roman"/>
          <w:szCs w:val="24"/>
          <w:shd w:val="clear" w:color="auto" w:fill="FFFFFF"/>
          <w:lang w:val="en-US"/>
        </w:rPr>
        <w:t>University of Chicago Press</w:t>
      </w:r>
      <w:r w:rsidRPr="007156DD">
        <w:rPr>
          <w:rFonts w:cs="Times New Roman"/>
          <w:szCs w:val="24"/>
          <w:shd w:val="clear" w:color="auto" w:fill="FFFFFF"/>
          <w:lang w:val="en-US"/>
        </w:rPr>
        <w:t>, 2000</w:t>
      </w:r>
      <w:r w:rsidR="00441093" w:rsidRPr="007156DD">
        <w:rPr>
          <w:rFonts w:cs="Times New Roman"/>
          <w:szCs w:val="24"/>
          <w:shd w:val="clear" w:color="auto" w:fill="FFFFFF"/>
          <w:lang w:val="en-US"/>
        </w:rPr>
        <w:t>.</w:t>
      </w:r>
    </w:p>
    <w:p w14:paraId="01591529" w14:textId="77777777" w:rsidR="000570E3" w:rsidRPr="007156DD" w:rsidRDefault="000570E3" w:rsidP="00DC2148">
      <w:pPr>
        <w:spacing w:after="0" w:line="240" w:lineRule="auto"/>
        <w:jc w:val="both"/>
        <w:rPr>
          <w:rFonts w:cs="Times New Roman"/>
          <w:szCs w:val="24"/>
          <w:shd w:val="clear" w:color="auto" w:fill="FFFFFF"/>
          <w:lang w:val="en-US"/>
        </w:rPr>
      </w:pPr>
    </w:p>
    <w:p w14:paraId="0A4F2984" w14:textId="6F7B2802" w:rsidR="00441093" w:rsidRPr="007156DD" w:rsidRDefault="007156DD" w:rsidP="00DC2148">
      <w:pPr>
        <w:spacing w:after="0" w:line="240" w:lineRule="auto"/>
        <w:jc w:val="both"/>
        <w:rPr>
          <w:rFonts w:cs="Times New Roman"/>
          <w:szCs w:val="24"/>
          <w:shd w:val="clear" w:color="auto" w:fill="FFFFFF"/>
          <w:lang w:val="en-US"/>
        </w:rPr>
      </w:pPr>
      <w:r w:rsidRPr="007156DD">
        <w:rPr>
          <w:rFonts w:cs="Times New Roman"/>
          <w:szCs w:val="24"/>
          <w:shd w:val="clear" w:color="auto" w:fill="FFFFFF"/>
          <w:lang w:val="en-US"/>
        </w:rPr>
        <w:t>SELZNICK, P.; NONET, P.; VOLLMER, H. M</w:t>
      </w:r>
      <w:r w:rsidR="00441093" w:rsidRPr="007156DD">
        <w:rPr>
          <w:rFonts w:cs="Times New Roman"/>
          <w:szCs w:val="24"/>
          <w:shd w:val="clear" w:color="auto" w:fill="FFFFFF"/>
          <w:lang w:val="en-US"/>
        </w:rPr>
        <w:t>. </w:t>
      </w:r>
      <w:r w:rsidR="00441093" w:rsidRPr="007156DD">
        <w:rPr>
          <w:rFonts w:cs="Times New Roman"/>
          <w:b/>
          <w:bCs/>
          <w:szCs w:val="24"/>
          <w:shd w:val="clear" w:color="auto" w:fill="FFFFFF"/>
          <w:lang w:val="en-US"/>
        </w:rPr>
        <w:t>Law, society, and industrial justice</w:t>
      </w:r>
      <w:r w:rsidR="00441093" w:rsidRPr="007156DD">
        <w:rPr>
          <w:rFonts w:cs="Times New Roman"/>
          <w:szCs w:val="24"/>
          <w:shd w:val="clear" w:color="auto" w:fill="FFFFFF"/>
          <w:lang w:val="en-US"/>
        </w:rPr>
        <w:t>.</w:t>
      </w:r>
      <w:r w:rsidRPr="007156DD">
        <w:rPr>
          <w:rFonts w:cs="Times New Roman"/>
          <w:szCs w:val="24"/>
          <w:shd w:val="clear" w:color="auto" w:fill="FFFFFF"/>
          <w:lang w:val="en-US"/>
        </w:rPr>
        <w:t xml:space="preserve"> New York:</w:t>
      </w:r>
      <w:r w:rsidR="00441093" w:rsidRPr="007156DD">
        <w:rPr>
          <w:rFonts w:cs="Times New Roman"/>
          <w:szCs w:val="24"/>
          <w:shd w:val="clear" w:color="auto" w:fill="FFFFFF"/>
          <w:lang w:val="en-US"/>
        </w:rPr>
        <w:t xml:space="preserve"> Russell Sage Foundation</w:t>
      </w:r>
      <w:r w:rsidRPr="007156DD">
        <w:rPr>
          <w:rFonts w:cs="Times New Roman"/>
          <w:szCs w:val="24"/>
          <w:shd w:val="clear" w:color="auto" w:fill="FFFFFF"/>
          <w:lang w:val="en-US"/>
        </w:rPr>
        <w:t>, 1969</w:t>
      </w:r>
      <w:r w:rsidR="00441093" w:rsidRPr="007156DD">
        <w:rPr>
          <w:rFonts w:cs="Times New Roman"/>
          <w:szCs w:val="24"/>
          <w:shd w:val="clear" w:color="auto" w:fill="FFFFFF"/>
          <w:lang w:val="en-US"/>
        </w:rPr>
        <w:t>.</w:t>
      </w:r>
    </w:p>
    <w:p w14:paraId="30086E90" w14:textId="77777777" w:rsidR="00DC2148" w:rsidRPr="007156DD" w:rsidRDefault="00DC2148" w:rsidP="00DC2148">
      <w:pPr>
        <w:spacing w:after="0" w:line="240" w:lineRule="auto"/>
        <w:jc w:val="both"/>
        <w:rPr>
          <w:rFonts w:cs="Times New Roman"/>
          <w:szCs w:val="24"/>
          <w:shd w:val="clear" w:color="auto" w:fill="FFFFFF"/>
          <w:lang w:val="en-US"/>
        </w:rPr>
      </w:pPr>
    </w:p>
    <w:p w14:paraId="17772828" w14:textId="517111A6" w:rsidR="00C63020" w:rsidRPr="007156DD" w:rsidRDefault="007156DD" w:rsidP="00DC2148">
      <w:pPr>
        <w:spacing w:after="0" w:line="240" w:lineRule="auto"/>
        <w:jc w:val="both"/>
        <w:rPr>
          <w:rFonts w:cs="Times New Roman"/>
          <w:szCs w:val="24"/>
          <w:shd w:val="clear" w:color="auto" w:fill="FFFFFF"/>
        </w:rPr>
      </w:pPr>
      <w:r w:rsidRPr="007156DD">
        <w:rPr>
          <w:rFonts w:cs="Times New Roman"/>
          <w:szCs w:val="24"/>
          <w:shd w:val="clear" w:color="auto" w:fill="FFFFFF"/>
        </w:rPr>
        <w:t>SILVA, C. A. T.; FELIPE, E</w:t>
      </w:r>
      <w:r w:rsidR="00C63020" w:rsidRPr="007156DD">
        <w:rPr>
          <w:rFonts w:cs="Times New Roman"/>
          <w:szCs w:val="24"/>
          <w:shd w:val="clear" w:color="auto" w:fill="FFFFFF"/>
        </w:rPr>
        <w:t>.</w:t>
      </w:r>
      <w:r w:rsidRPr="007156DD">
        <w:rPr>
          <w:rFonts w:cs="Times New Roman"/>
          <w:szCs w:val="24"/>
          <w:shd w:val="clear" w:color="auto" w:fill="FFFFFF"/>
        </w:rPr>
        <w:t xml:space="preserve"> S.</w:t>
      </w:r>
      <w:r w:rsidR="00C63020" w:rsidRPr="007156DD">
        <w:rPr>
          <w:rFonts w:cs="Times New Roman"/>
          <w:szCs w:val="24"/>
          <w:shd w:val="clear" w:color="auto" w:fill="FFFFFF"/>
        </w:rPr>
        <w:t xml:space="preserve"> Avaliação da influência de textos narrativos de fatos relevantes no preço das ações de empresas brasileiras. </w:t>
      </w:r>
      <w:r w:rsidR="00C63020" w:rsidRPr="007156DD">
        <w:rPr>
          <w:rFonts w:cs="Times New Roman"/>
          <w:b/>
          <w:bCs/>
          <w:szCs w:val="24"/>
          <w:shd w:val="clear" w:color="auto" w:fill="FFFFFF"/>
        </w:rPr>
        <w:t>Revista Contabilidade e Controladoria</w:t>
      </w:r>
      <w:r w:rsidR="00C63020" w:rsidRPr="007156DD">
        <w:rPr>
          <w:rFonts w:cs="Times New Roman"/>
          <w:szCs w:val="24"/>
          <w:shd w:val="clear" w:color="auto" w:fill="FFFFFF"/>
        </w:rPr>
        <w:t>, </w:t>
      </w:r>
      <w:r w:rsidRPr="007156DD">
        <w:rPr>
          <w:rFonts w:cs="Times New Roman"/>
          <w:szCs w:val="24"/>
          <w:shd w:val="clear" w:color="auto" w:fill="FFFFFF"/>
        </w:rPr>
        <w:t xml:space="preserve">v. </w:t>
      </w:r>
      <w:r w:rsidR="00C63020" w:rsidRPr="007156DD">
        <w:rPr>
          <w:rFonts w:cs="Times New Roman"/>
          <w:szCs w:val="24"/>
          <w:shd w:val="clear" w:color="auto" w:fill="FFFFFF"/>
        </w:rPr>
        <w:t>2</w:t>
      </w:r>
      <w:r w:rsidRPr="007156DD">
        <w:rPr>
          <w:rFonts w:cs="Times New Roman"/>
          <w:szCs w:val="24"/>
          <w:shd w:val="clear" w:color="auto" w:fill="FFFFFF"/>
        </w:rPr>
        <w:t xml:space="preserve">, n. </w:t>
      </w:r>
      <w:r w:rsidR="00C63020" w:rsidRPr="007156DD">
        <w:rPr>
          <w:rFonts w:cs="Times New Roman"/>
          <w:szCs w:val="24"/>
          <w:shd w:val="clear" w:color="auto" w:fill="FFFFFF"/>
        </w:rPr>
        <w:t xml:space="preserve">2, </w:t>
      </w:r>
      <w:r w:rsidRPr="007156DD">
        <w:rPr>
          <w:rFonts w:cs="Times New Roman"/>
          <w:szCs w:val="24"/>
          <w:shd w:val="clear" w:color="auto" w:fill="FFFFFF"/>
        </w:rPr>
        <w:t xml:space="preserve">p. </w:t>
      </w:r>
      <w:r w:rsidR="00C63020" w:rsidRPr="007156DD">
        <w:rPr>
          <w:rFonts w:cs="Times New Roman"/>
          <w:szCs w:val="24"/>
          <w:shd w:val="clear" w:color="auto" w:fill="FFFFFF"/>
        </w:rPr>
        <w:t>61-80</w:t>
      </w:r>
      <w:r w:rsidRPr="007156DD">
        <w:rPr>
          <w:rFonts w:cs="Times New Roman"/>
          <w:szCs w:val="24"/>
          <w:shd w:val="clear" w:color="auto" w:fill="FFFFFF"/>
        </w:rPr>
        <w:t>, 2010</w:t>
      </w:r>
      <w:r w:rsidR="00C63020" w:rsidRPr="007156DD">
        <w:rPr>
          <w:rFonts w:cs="Times New Roman"/>
          <w:szCs w:val="24"/>
          <w:shd w:val="clear" w:color="auto" w:fill="FFFFFF"/>
        </w:rPr>
        <w:t xml:space="preserve">. </w:t>
      </w:r>
      <w:proofErr w:type="spellStart"/>
      <w:r w:rsidR="00C63020" w:rsidRPr="007156DD">
        <w:rPr>
          <w:rFonts w:cs="Times New Roman"/>
          <w:szCs w:val="24"/>
          <w:shd w:val="clear" w:color="auto" w:fill="FFFFFF"/>
        </w:rPr>
        <w:t>doi</w:t>
      </w:r>
      <w:proofErr w:type="spellEnd"/>
      <w:r w:rsidR="00C63020" w:rsidRPr="007156DD">
        <w:rPr>
          <w:rFonts w:cs="Times New Roman"/>
          <w:szCs w:val="24"/>
          <w:shd w:val="clear" w:color="auto" w:fill="FFFFFF"/>
        </w:rPr>
        <w:t>: 10.5380/</w:t>
      </w:r>
      <w:proofErr w:type="gramStart"/>
      <w:r w:rsidR="00C63020" w:rsidRPr="007156DD">
        <w:rPr>
          <w:rFonts w:cs="Times New Roman"/>
          <w:szCs w:val="24"/>
          <w:shd w:val="clear" w:color="auto" w:fill="FFFFFF"/>
        </w:rPr>
        <w:t>rcc.v</w:t>
      </w:r>
      <w:proofErr w:type="gramEnd"/>
      <w:r w:rsidR="00C63020" w:rsidRPr="007156DD">
        <w:rPr>
          <w:rFonts w:cs="Times New Roman"/>
          <w:szCs w:val="24"/>
          <w:shd w:val="clear" w:color="auto" w:fill="FFFFFF"/>
        </w:rPr>
        <w:t>2i2.19460</w:t>
      </w:r>
      <w:r w:rsidR="00C63020" w:rsidRPr="007156DD">
        <w:rPr>
          <w:rFonts w:cs="Times New Roman"/>
          <w:szCs w:val="24"/>
          <w:shd w:val="clear" w:color="auto" w:fill="FFFFFF"/>
        </w:rPr>
        <w:tab/>
      </w:r>
    </w:p>
    <w:p w14:paraId="1494D6A8" w14:textId="77777777" w:rsidR="00DC2148" w:rsidRPr="007156DD" w:rsidRDefault="00DC2148" w:rsidP="00DC2148">
      <w:pPr>
        <w:spacing w:after="0" w:line="240" w:lineRule="auto"/>
        <w:jc w:val="both"/>
        <w:rPr>
          <w:rFonts w:cs="Times New Roman"/>
          <w:szCs w:val="24"/>
          <w:shd w:val="clear" w:color="auto" w:fill="FFFFFF"/>
        </w:rPr>
      </w:pPr>
    </w:p>
    <w:p w14:paraId="514C4AF1" w14:textId="179AABF1" w:rsidR="00C63020" w:rsidRPr="007156DD" w:rsidRDefault="00482F91" w:rsidP="00DC2148">
      <w:pPr>
        <w:spacing w:after="0" w:line="240" w:lineRule="auto"/>
        <w:jc w:val="both"/>
        <w:rPr>
          <w:rFonts w:cs="Times New Roman"/>
          <w:szCs w:val="24"/>
          <w:shd w:val="clear" w:color="auto" w:fill="FFFFFF"/>
        </w:rPr>
      </w:pPr>
      <w:r w:rsidRPr="007156DD">
        <w:rPr>
          <w:rFonts w:cs="Times New Roman"/>
          <w:szCs w:val="24"/>
          <w:shd w:val="clear" w:color="auto" w:fill="FFFFFF"/>
        </w:rPr>
        <w:t>SUASSUNA</w:t>
      </w:r>
      <w:r w:rsidR="00C63020" w:rsidRPr="007156DD">
        <w:rPr>
          <w:rFonts w:cs="Times New Roman"/>
          <w:szCs w:val="24"/>
          <w:shd w:val="clear" w:color="auto" w:fill="FFFFFF"/>
        </w:rPr>
        <w:t xml:space="preserve">, L. </w:t>
      </w:r>
      <w:r w:rsidR="00C63020" w:rsidRPr="007156DD">
        <w:rPr>
          <w:rFonts w:cs="Times New Roman"/>
          <w:b/>
          <w:bCs/>
          <w:szCs w:val="24"/>
          <w:shd w:val="clear" w:color="auto" w:fill="FFFFFF"/>
        </w:rPr>
        <w:t>Linguagem como Discurso: Implicações para as Práticas de Avaliação</w:t>
      </w:r>
      <w:r w:rsidR="00C63020" w:rsidRPr="007156DD">
        <w:rPr>
          <w:rFonts w:cs="Times New Roman"/>
          <w:szCs w:val="24"/>
          <w:shd w:val="clear" w:color="auto" w:fill="FFFFFF"/>
        </w:rPr>
        <w:t xml:space="preserve">. </w:t>
      </w:r>
      <w:r w:rsidR="006E7059" w:rsidRPr="007156DD">
        <w:rPr>
          <w:rFonts w:cs="Times New Roman"/>
          <w:szCs w:val="24"/>
          <w:shd w:val="clear" w:color="auto" w:fill="FFFFFF"/>
        </w:rPr>
        <w:t xml:space="preserve">2004. </w:t>
      </w:r>
      <w:r w:rsidR="00C63020" w:rsidRPr="007156DD">
        <w:rPr>
          <w:rFonts w:cs="Times New Roman"/>
          <w:szCs w:val="24"/>
          <w:shd w:val="clear" w:color="auto" w:fill="FFFFFF"/>
        </w:rPr>
        <w:t xml:space="preserve">376p. Tese </w:t>
      </w:r>
      <w:r w:rsidR="006E7059" w:rsidRPr="007156DD">
        <w:rPr>
          <w:rFonts w:cs="Times New Roman"/>
          <w:szCs w:val="24"/>
          <w:shd w:val="clear" w:color="auto" w:fill="FFFFFF"/>
        </w:rPr>
        <w:t>(D</w:t>
      </w:r>
      <w:r w:rsidR="00C63020" w:rsidRPr="007156DD">
        <w:rPr>
          <w:rFonts w:cs="Times New Roman"/>
          <w:szCs w:val="24"/>
          <w:shd w:val="clear" w:color="auto" w:fill="FFFFFF"/>
        </w:rPr>
        <w:t>outorado em Linguística</w:t>
      </w:r>
      <w:r w:rsidR="006E7059" w:rsidRPr="007156DD">
        <w:rPr>
          <w:rFonts w:cs="Times New Roman"/>
          <w:szCs w:val="24"/>
          <w:shd w:val="clear" w:color="auto" w:fill="FFFFFF"/>
        </w:rPr>
        <w:t xml:space="preserve">) – </w:t>
      </w:r>
      <w:r w:rsidR="00C63020" w:rsidRPr="007156DD">
        <w:rPr>
          <w:rFonts w:cs="Times New Roman"/>
          <w:szCs w:val="24"/>
          <w:shd w:val="clear" w:color="auto" w:fill="FFFFFF"/>
        </w:rPr>
        <w:t>Instituto de Estudos da Linguagem,</w:t>
      </w:r>
      <w:r w:rsidR="006E7059" w:rsidRPr="007156DD">
        <w:rPr>
          <w:rFonts w:cs="Times New Roman"/>
          <w:szCs w:val="24"/>
          <w:shd w:val="clear" w:color="auto" w:fill="FFFFFF"/>
        </w:rPr>
        <w:t xml:space="preserve"> Universidade Estadual de Campinas,</w:t>
      </w:r>
      <w:r w:rsidR="00C63020" w:rsidRPr="007156DD">
        <w:rPr>
          <w:rFonts w:cs="Times New Roman"/>
          <w:szCs w:val="24"/>
          <w:shd w:val="clear" w:color="auto" w:fill="FFFFFF"/>
        </w:rPr>
        <w:t xml:space="preserve"> Campinas.</w:t>
      </w:r>
      <w:r w:rsidR="006E7059" w:rsidRPr="007156DD">
        <w:rPr>
          <w:rFonts w:cs="Times New Roman"/>
          <w:szCs w:val="24"/>
          <w:shd w:val="clear" w:color="auto" w:fill="FFFFFF"/>
        </w:rPr>
        <w:t xml:space="preserve"> Disponível em:</w:t>
      </w:r>
      <w:r w:rsidR="00C63020" w:rsidRPr="007156DD">
        <w:rPr>
          <w:rFonts w:cs="Times New Roman"/>
          <w:szCs w:val="24"/>
          <w:shd w:val="clear" w:color="auto" w:fill="FFFFFF"/>
        </w:rPr>
        <w:t xml:space="preserve"> </w:t>
      </w:r>
      <w:r w:rsidR="006E7059" w:rsidRPr="007156DD">
        <w:rPr>
          <w:rFonts w:cs="Times New Roman"/>
          <w:szCs w:val="24"/>
          <w:shd w:val="clear" w:color="auto" w:fill="FFFFFF"/>
        </w:rPr>
        <w:t>&lt;</w:t>
      </w:r>
      <w:r w:rsidR="00C63020" w:rsidRPr="007156DD">
        <w:rPr>
          <w:rFonts w:cs="Times New Roman"/>
          <w:szCs w:val="24"/>
          <w:shd w:val="clear" w:color="auto" w:fill="FFFFFF"/>
        </w:rPr>
        <w:t>http://libdigi.unicamp.br/</w:t>
      </w:r>
      <w:proofErr w:type="spellStart"/>
      <w:r w:rsidR="00C63020" w:rsidRPr="007156DD">
        <w:rPr>
          <w:rFonts w:cs="Times New Roman"/>
          <w:szCs w:val="24"/>
          <w:shd w:val="clear" w:color="auto" w:fill="FFFFFF"/>
        </w:rPr>
        <w:t>document</w:t>
      </w:r>
      <w:proofErr w:type="spellEnd"/>
      <w:r w:rsidR="00C63020" w:rsidRPr="007156DD">
        <w:rPr>
          <w:rFonts w:cs="Times New Roman"/>
          <w:szCs w:val="24"/>
          <w:shd w:val="clear" w:color="auto" w:fill="FFFFFF"/>
        </w:rPr>
        <w:t>/?</w:t>
      </w:r>
      <w:proofErr w:type="spellStart"/>
      <w:r w:rsidR="00C63020" w:rsidRPr="007156DD">
        <w:rPr>
          <w:rFonts w:cs="Times New Roman"/>
          <w:szCs w:val="24"/>
          <w:shd w:val="clear" w:color="auto" w:fill="FFFFFF"/>
        </w:rPr>
        <w:t>code</w:t>
      </w:r>
      <w:proofErr w:type="spellEnd"/>
      <w:r w:rsidR="00C63020" w:rsidRPr="007156DD">
        <w:rPr>
          <w:rFonts w:cs="Times New Roman"/>
          <w:szCs w:val="24"/>
          <w:shd w:val="clear" w:color="auto" w:fill="FFFFFF"/>
        </w:rPr>
        <w:t>=vtls000316825</w:t>
      </w:r>
      <w:r w:rsidR="006E7059" w:rsidRPr="007156DD">
        <w:rPr>
          <w:rFonts w:cs="Times New Roman"/>
          <w:szCs w:val="24"/>
          <w:shd w:val="clear" w:color="auto" w:fill="FFFFFF"/>
        </w:rPr>
        <w:t>&gt;</w:t>
      </w:r>
      <w:r w:rsidR="00C63020" w:rsidRPr="007156DD">
        <w:rPr>
          <w:rFonts w:cs="Times New Roman"/>
          <w:szCs w:val="24"/>
          <w:shd w:val="clear" w:color="auto" w:fill="FFFFFF"/>
        </w:rPr>
        <w:t xml:space="preserve">, </w:t>
      </w:r>
      <w:r w:rsidR="006E7059" w:rsidRPr="007156DD">
        <w:rPr>
          <w:rFonts w:cs="Times New Roman"/>
          <w:szCs w:val="24"/>
          <w:shd w:val="clear" w:color="auto" w:fill="FFFFFF"/>
        </w:rPr>
        <w:t xml:space="preserve">acesso </w:t>
      </w:r>
      <w:r w:rsidR="00C63020" w:rsidRPr="007156DD">
        <w:rPr>
          <w:rFonts w:cs="Times New Roman"/>
          <w:szCs w:val="24"/>
          <w:shd w:val="clear" w:color="auto" w:fill="FFFFFF"/>
        </w:rPr>
        <w:t>em 08 de janeiro de 2018.</w:t>
      </w:r>
    </w:p>
    <w:p w14:paraId="4D7541F5" w14:textId="77777777" w:rsidR="00DC2148" w:rsidRPr="007156DD" w:rsidRDefault="00DC2148" w:rsidP="00DC2148">
      <w:pPr>
        <w:spacing w:after="0" w:line="240" w:lineRule="auto"/>
        <w:jc w:val="both"/>
        <w:rPr>
          <w:rFonts w:cs="Times New Roman"/>
          <w:szCs w:val="24"/>
          <w:shd w:val="clear" w:color="auto" w:fill="FFFFFF"/>
        </w:rPr>
      </w:pPr>
    </w:p>
    <w:p w14:paraId="76E3D32B" w14:textId="2AE2EAA1" w:rsidR="00C63020" w:rsidRPr="00A8004B" w:rsidRDefault="006E7059" w:rsidP="00DC2148">
      <w:pPr>
        <w:spacing w:after="0" w:line="240" w:lineRule="auto"/>
        <w:jc w:val="both"/>
        <w:rPr>
          <w:rFonts w:cs="Times New Roman"/>
          <w:szCs w:val="24"/>
          <w:shd w:val="clear" w:color="auto" w:fill="FFFFFF"/>
          <w:lang w:val="en-US"/>
        </w:rPr>
      </w:pPr>
      <w:r w:rsidRPr="007156DD">
        <w:rPr>
          <w:rFonts w:cs="Times New Roman"/>
          <w:szCs w:val="24"/>
          <w:shd w:val="clear" w:color="auto" w:fill="FFFFFF"/>
        </w:rPr>
        <w:t>THOMAZ, J. C.; BRITO, E. P. Z.</w:t>
      </w:r>
      <w:r w:rsidR="00C63020" w:rsidRPr="007156DD">
        <w:rPr>
          <w:rFonts w:cs="Times New Roman"/>
          <w:szCs w:val="24"/>
          <w:shd w:val="clear" w:color="auto" w:fill="FFFFFF"/>
        </w:rPr>
        <w:t xml:space="preserve"> Reputação corporativa: construtos formativos e implicações para a gestão. </w:t>
      </w:r>
      <w:proofErr w:type="spellStart"/>
      <w:r w:rsidR="00C63020" w:rsidRPr="00A8004B">
        <w:rPr>
          <w:rFonts w:cs="Times New Roman"/>
          <w:b/>
          <w:bCs/>
          <w:iCs/>
          <w:szCs w:val="24"/>
          <w:shd w:val="clear" w:color="auto" w:fill="FFFFFF"/>
          <w:lang w:val="en-US"/>
        </w:rPr>
        <w:t>Revista</w:t>
      </w:r>
      <w:proofErr w:type="spellEnd"/>
      <w:r w:rsidR="00C63020" w:rsidRPr="00A8004B">
        <w:rPr>
          <w:rFonts w:cs="Times New Roman"/>
          <w:b/>
          <w:bCs/>
          <w:iCs/>
          <w:szCs w:val="24"/>
          <w:shd w:val="clear" w:color="auto" w:fill="FFFFFF"/>
          <w:lang w:val="en-US"/>
        </w:rPr>
        <w:t xml:space="preserve"> de </w:t>
      </w:r>
      <w:proofErr w:type="spellStart"/>
      <w:r w:rsidR="00C63020" w:rsidRPr="00A8004B">
        <w:rPr>
          <w:rFonts w:cs="Times New Roman"/>
          <w:b/>
          <w:bCs/>
          <w:iCs/>
          <w:szCs w:val="24"/>
          <w:shd w:val="clear" w:color="auto" w:fill="FFFFFF"/>
          <w:lang w:val="en-US"/>
        </w:rPr>
        <w:t>Administração</w:t>
      </w:r>
      <w:proofErr w:type="spellEnd"/>
      <w:r w:rsidR="00C63020" w:rsidRPr="00A8004B">
        <w:rPr>
          <w:rFonts w:cs="Times New Roman"/>
          <w:b/>
          <w:bCs/>
          <w:iCs/>
          <w:szCs w:val="24"/>
          <w:shd w:val="clear" w:color="auto" w:fill="FFFFFF"/>
          <w:lang w:val="en-US"/>
        </w:rPr>
        <w:t xml:space="preserve"> </w:t>
      </w:r>
      <w:proofErr w:type="spellStart"/>
      <w:r w:rsidR="00C63020" w:rsidRPr="00A8004B">
        <w:rPr>
          <w:rFonts w:cs="Times New Roman"/>
          <w:b/>
          <w:bCs/>
          <w:iCs/>
          <w:szCs w:val="24"/>
          <w:shd w:val="clear" w:color="auto" w:fill="FFFFFF"/>
          <w:lang w:val="en-US"/>
        </w:rPr>
        <w:t>Contemporânea</w:t>
      </w:r>
      <w:proofErr w:type="spellEnd"/>
      <w:r w:rsidR="00C63020" w:rsidRPr="00A8004B">
        <w:rPr>
          <w:rFonts w:cs="Times New Roman"/>
          <w:szCs w:val="24"/>
          <w:shd w:val="clear" w:color="auto" w:fill="FFFFFF"/>
          <w:lang w:val="en-US"/>
        </w:rPr>
        <w:t xml:space="preserve">, </w:t>
      </w:r>
      <w:r w:rsidRPr="00A8004B">
        <w:rPr>
          <w:rFonts w:cs="Times New Roman"/>
          <w:szCs w:val="24"/>
          <w:shd w:val="clear" w:color="auto" w:fill="FFFFFF"/>
          <w:lang w:val="en-US"/>
        </w:rPr>
        <w:t xml:space="preserve">v. </w:t>
      </w:r>
      <w:r w:rsidR="00C63020" w:rsidRPr="00A8004B">
        <w:rPr>
          <w:rFonts w:cs="Times New Roman"/>
          <w:szCs w:val="24"/>
          <w:shd w:val="clear" w:color="auto" w:fill="FFFFFF"/>
          <w:lang w:val="en-US"/>
        </w:rPr>
        <w:t>14</w:t>
      </w:r>
      <w:r w:rsidRPr="00A8004B">
        <w:rPr>
          <w:rFonts w:cs="Times New Roman"/>
          <w:szCs w:val="24"/>
          <w:shd w:val="clear" w:color="auto" w:fill="FFFFFF"/>
          <w:lang w:val="en-US"/>
        </w:rPr>
        <w:t xml:space="preserve">, n. </w:t>
      </w:r>
      <w:r w:rsidR="00C63020" w:rsidRPr="00A8004B">
        <w:rPr>
          <w:rFonts w:cs="Times New Roman"/>
          <w:szCs w:val="24"/>
          <w:shd w:val="clear" w:color="auto" w:fill="FFFFFF"/>
          <w:lang w:val="en-US"/>
        </w:rPr>
        <w:t xml:space="preserve">2, </w:t>
      </w:r>
      <w:r w:rsidRPr="00A8004B">
        <w:rPr>
          <w:rFonts w:cs="Times New Roman"/>
          <w:szCs w:val="24"/>
          <w:shd w:val="clear" w:color="auto" w:fill="FFFFFF"/>
          <w:lang w:val="en-US"/>
        </w:rPr>
        <w:t xml:space="preserve">p. </w:t>
      </w:r>
      <w:r w:rsidR="00C63020" w:rsidRPr="00A8004B">
        <w:rPr>
          <w:rFonts w:cs="Times New Roman"/>
          <w:szCs w:val="24"/>
          <w:shd w:val="clear" w:color="auto" w:fill="FFFFFF"/>
          <w:lang w:val="en-US"/>
        </w:rPr>
        <w:t>229-250</w:t>
      </w:r>
      <w:r w:rsidRPr="00A8004B">
        <w:rPr>
          <w:rFonts w:cs="Times New Roman"/>
          <w:szCs w:val="24"/>
          <w:shd w:val="clear" w:color="auto" w:fill="FFFFFF"/>
          <w:lang w:val="en-US"/>
        </w:rPr>
        <w:t>, 2010</w:t>
      </w:r>
      <w:r w:rsidR="00C63020" w:rsidRPr="00A8004B">
        <w:rPr>
          <w:rFonts w:cs="Times New Roman"/>
          <w:szCs w:val="24"/>
          <w:shd w:val="clear" w:color="auto" w:fill="FFFFFF"/>
          <w:lang w:val="en-US"/>
        </w:rPr>
        <w:t xml:space="preserve">. </w:t>
      </w:r>
      <w:proofErr w:type="spellStart"/>
      <w:r w:rsidR="00C63020" w:rsidRPr="00A8004B">
        <w:rPr>
          <w:rFonts w:cs="Times New Roman"/>
          <w:szCs w:val="24"/>
          <w:shd w:val="clear" w:color="auto" w:fill="FFFFFF"/>
          <w:lang w:val="en-US"/>
        </w:rPr>
        <w:t>doi</w:t>
      </w:r>
      <w:proofErr w:type="spellEnd"/>
      <w:r w:rsidR="00C63020" w:rsidRPr="00A8004B">
        <w:rPr>
          <w:rFonts w:cs="Times New Roman"/>
          <w:szCs w:val="24"/>
          <w:shd w:val="clear" w:color="auto" w:fill="FFFFFF"/>
          <w:lang w:val="en-US"/>
        </w:rPr>
        <w:t>: 10.1590/S1415-65552010000200004</w:t>
      </w:r>
    </w:p>
    <w:p w14:paraId="43E2D40E" w14:textId="77777777" w:rsidR="000570E3" w:rsidRPr="00A8004B" w:rsidRDefault="000570E3" w:rsidP="00DC2148">
      <w:pPr>
        <w:spacing w:after="0" w:line="240" w:lineRule="auto"/>
        <w:jc w:val="both"/>
        <w:rPr>
          <w:rFonts w:cs="Times New Roman"/>
          <w:szCs w:val="24"/>
          <w:shd w:val="clear" w:color="auto" w:fill="FFFFFF"/>
          <w:lang w:val="en-US"/>
        </w:rPr>
      </w:pPr>
    </w:p>
    <w:p w14:paraId="69ABEA7B" w14:textId="72E4E1D0" w:rsidR="00FA6C27" w:rsidRPr="007156DD" w:rsidRDefault="00E12002" w:rsidP="00DC2148">
      <w:pPr>
        <w:spacing w:after="0" w:line="240" w:lineRule="auto"/>
        <w:jc w:val="both"/>
        <w:rPr>
          <w:rFonts w:cs="Times New Roman"/>
          <w:szCs w:val="24"/>
          <w:shd w:val="clear" w:color="auto" w:fill="FFFFFF"/>
          <w:lang w:val="en-US"/>
        </w:rPr>
      </w:pPr>
      <w:r w:rsidRPr="007156DD">
        <w:rPr>
          <w:rFonts w:cs="Times New Roman"/>
          <w:szCs w:val="24"/>
          <w:shd w:val="clear" w:color="auto" w:fill="FFFFFF"/>
          <w:lang w:val="en-US"/>
        </w:rPr>
        <w:t>VAN SCHOOTEN, H.; VERSCHUUREN</w:t>
      </w:r>
      <w:r w:rsidR="00FA6C27" w:rsidRPr="007156DD">
        <w:rPr>
          <w:rFonts w:cs="Times New Roman"/>
          <w:szCs w:val="24"/>
          <w:shd w:val="clear" w:color="auto" w:fill="FFFFFF"/>
          <w:lang w:val="en-US"/>
        </w:rPr>
        <w:t>, J. </w:t>
      </w:r>
      <w:r w:rsidR="00FA6C27" w:rsidRPr="007156DD">
        <w:rPr>
          <w:rFonts w:cs="Times New Roman"/>
          <w:b/>
          <w:bCs/>
          <w:iCs/>
          <w:szCs w:val="24"/>
          <w:shd w:val="clear" w:color="auto" w:fill="FFFFFF"/>
          <w:lang w:val="en-US"/>
        </w:rPr>
        <w:t>International governance and law: state regulation and non-state law</w:t>
      </w:r>
      <w:r w:rsidR="00FA6C27" w:rsidRPr="007156DD">
        <w:rPr>
          <w:rFonts w:cs="Times New Roman"/>
          <w:i/>
          <w:szCs w:val="24"/>
          <w:shd w:val="clear" w:color="auto" w:fill="FFFFFF"/>
          <w:lang w:val="en-US"/>
        </w:rPr>
        <w:t>.</w:t>
      </w:r>
      <w:r w:rsidRPr="007156DD">
        <w:rPr>
          <w:rFonts w:cs="Times New Roman"/>
          <w:iCs/>
          <w:szCs w:val="24"/>
          <w:shd w:val="clear" w:color="auto" w:fill="FFFFFF"/>
          <w:lang w:val="en-US"/>
        </w:rPr>
        <w:t xml:space="preserve"> Cheltenham:</w:t>
      </w:r>
      <w:r w:rsidR="00FA6C27" w:rsidRPr="007156DD">
        <w:rPr>
          <w:rFonts w:cs="Times New Roman"/>
          <w:szCs w:val="24"/>
          <w:shd w:val="clear" w:color="auto" w:fill="FFFFFF"/>
          <w:lang w:val="en-US"/>
        </w:rPr>
        <w:t xml:space="preserve"> Edward Elgar Publishing</w:t>
      </w:r>
      <w:r w:rsidRPr="007156DD">
        <w:rPr>
          <w:rFonts w:cs="Times New Roman"/>
          <w:szCs w:val="24"/>
          <w:shd w:val="clear" w:color="auto" w:fill="FFFFFF"/>
          <w:lang w:val="en-US"/>
        </w:rPr>
        <w:t>, 2008</w:t>
      </w:r>
      <w:r w:rsidR="00FA6C27" w:rsidRPr="007156DD">
        <w:rPr>
          <w:rFonts w:cs="Times New Roman"/>
          <w:szCs w:val="24"/>
          <w:shd w:val="clear" w:color="auto" w:fill="FFFFFF"/>
          <w:lang w:val="en-US"/>
        </w:rPr>
        <w:t>.</w:t>
      </w:r>
    </w:p>
    <w:p w14:paraId="778A0B6C" w14:textId="77777777" w:rsidR="000570E3" w:rsidRPr="007156DD" w:rsidRDefault="000570E3" w:rsidP="00DC2148">
      <w:pPr>
        <w:spacing w:after="0" w:line="240" w:lineRule="auto"/>
        <w:jc w:val="both"/>
        <w:rPr>
          <w:rFonts w:cs="Times New Roman"/>
          <w:szCs w:val="24"/>
          <w:shd w:val="clear" w:color="auto" w:fill="FFFFFF"/>
          <w:lang w:val="en-US"/>
        </w:rPr>
      </w:pPr>
    </w:p>
    <w:p w14:paraId="1D290DBD" w14:textId="1E4464CD" w:rsidR="00C63020" w:rsidRPr="007156DD" w:rsidRDefault="00DD693A" w:rsidP="00DC2148">
      <w:pPr>
        <w:spacing w:after="0" w:line="240" w:lineRule="auto"/>
        <w:jc w:val="both"/>
        <w:rPr>
          <w:rFonts w:cs="Times New Roman"/>
          <w:szCs w:val="24"/>
          <w:shd w:val="clear" w:color="auto" w:fill="FFFFFF"/>
          <w:lang w:val="en-US"/>
        </w:rPr>
      </w:pPr>
      <w:r w:rsidRPr="007156DD">
        <w:rPr>
          <w:rFonts w:cs="Times New Roman"/>
          <w:szCs w:val="24"/>
          <w:shd w:val="clear" w:color="auto" w:fill="FFFFFF"/>
          <w:lang w:val="en-US"/>
        </w:rPr>
        <w:t xml:space="preserve">VERRECCHIA, R. E. Discretionary disclosure. </w:t>
      </w:r>
      <w:r w:rsidRPr="007156DD">
        <w:rPr>
          <w:rFonts w:cs="Times New Roman"/>
          <w:b/>
          <w:bCs/>
          <w:szCs w:val="24"/>
          <w:shd w:val="clear" w:color="auto" w:fill="FFFFFF"/>
          <w:lang w:val="en-US"/>
        </w:rPr>
        <w:t xml:space="preserve">Journal of </w:t>
      </w:r>
      <w:r w:rsidR="00E12002" w:rsidRPr="007156DD">
        <w:rPr>
          <w:rFonts w:cs="Times New Roman"/>
          <w:b/>
          <w:bCs/>
          <w:szCs w:val="24"/>
          <w:shd w:val="clear" w:color="auto" w:fill="FFFFFF"/>
          <w:lang w:val="en-US"/>
        </w:rPr>
        <w:t>A</w:t>
      </w:r>
      <w:r w:rsidRPr="007156DD">
        <w:rPr>
          <w:rFonts w:cs="Times New Roman"/>
          <w:b/>
          <w:bCs/>
          <w:szCs w:val="24"/>
          <w:shd w:val="clear" w:color="auto" w:fill="FFFFFF"/>
          <w:lang w:val="en-US"/>
        </w:rPr>
        <w:t>ccounting and</w:t>
      </w:r>
      <w:r w:rsidR="00E12002" w:rsidRPr="007156DD">
        <w:rPr>
          <w:rFonts w:cs="Times New Roman"/>
          <w:b/>
          <w:bCs/>
          <w:szCs w:val="24"/>
          <w:shd w:val="clear" w:color="auto" w:fill="FFFFFF"/>
          <w:lang w:val="en-US"/>
        </w:rPr>
        <w:t xml:space="preserve"> E</w:t>
      </w:r>
      <w:r w:rsidRPr="007156DD">
        <w:rPr>
          <w:rFonts w:cs="Times New Roman"/>
          <w:b/>
          <w:bCs/>
          <w:szCs w:val="24"/>
          <w:shd w:val="clear" w:color="auto" w:fill="FFFFFF"/>
          <w:lang w:val="en-US"/>
        </w:rPr>
        <w:t>conomics</w:t>
      </w:r>
      <w:r w:rsidRPr="007156DD">
        <w:rPr>
          <w:rFonts w:cs="Times New Roman"/>
          <w:szCs w:val="24"/>
          <w:shd w:val="clear" w:color="auto" w:fill="FFFFFF"/>
          <w:lang w:val="en-US"/>
        </w:rPr>
        <w:t>, v. 5, p. 179-194, 1983</w:t>
      </w:r>
      <w:r w:rsidR="00C63020" w:rsidRPr="007156DD">
        <w:rPr>
          <w:rFonts w:cs="Times New Roman"/>
          <w:szCs w:val="24"/>
          <w:shd w:val="clear" w:color="auto" w:fill="FFFFFF"/>
          <w:lang w:val="en-US"/>
        </w:rPr>
        <w:t xml:space="preserve">. </w:t>
      </w:r>
      <w:proofErr w:type="spellStart"/>
      <w:r w:rsidR="00C63020" w:rsidRPr="007156DD">
        <w:rPr>
          <w:rFonts w:cs="Times New Roman"/>
          <w:szCs w:val="24"/>
          <w:shd w:val="clear" w:color="auto" w:fill="FFFFFF"/>
          <w:lang w:val="en-US"/>
        </w:rPr>
        <w:t>doi</w:t>
      </w:r>
      <w:proofErr w:type="spellEnd"/>
      <w:r w:rsidR="00C63020" w:rsidRPr="007156DD">
        <w:rPr>
          <w:rFonts w:cs="Times New Roman"/>
          <w:szCs w:val="24"/>
          <w:shd w:val="clear" w:color="auto" w:fill="FFFFFF"/>
          <w:lang w:val="en-US"/>
        </w:rPr>
        <w:t>: 10.1016/0165-4101(83)90011-3</w:t>
      </w:r>
    </w:p>
    <w:p w14:paraId="4E27FA4D" w14:textId="77777777" w:rsidR="000570E3" w:rsidRPr="007156DD" w:rsidRDefault="000570E3" w:rsidP="00DC2148">
      <w:pPr>
        <w:spacing w:after="0" w:line="240" w:lineRule="auto"/>
        <w:jc w:val="both"/>
        <w:rPr>
          <w:rFonts w:cs="Times New Roman"/>
          <w:szCs w:val="24"/>
          <w:shd w:val="clear" w:color="auto" w:fill="FFFFFF"/>
          <w:lang w:val="en-US"/>
        </w:rPr>
      </w:pPr>
    </w:p>
    <w:p w14:paraId="7366991E" w14:textId="1BCAF612" w:rsidR="00455C3B" w:rsidRPr="00DD693A" w:rsidRDefault="00190695" w:rsidP="00DC2148">
      <w:pPr>
        <w:spacing w:after="0" w:line="240" w:lineRule="auto"/>
        <w:jc w:val="both"/>
        <w:rPr>
          <w:rFonts w:cs="Times New Roman"/>
          <w:szCs w:val="24"/>
          <w:shd w:val="clear" w:color="auto" w:fill="FFFFFF"/>
          <w:lang w:val="en-US"/>
        </w:rPr>
      </w:pPr>
      <w:r w:rsidRPr="007156DD">
        <w:rPr>
          <w:rFonts w:cs="Times New Roman"/>
          <w:szCs w:val="24"/>
          <w:shd w:val="clear" w:color="auto" w:fill="FFFFFF"/>
          <w:lang w:val="en-US"/>
        </w:rPr>
        <w:t>ZUCKERMAN</w:t>
      </w:r>
      <w:r w:rsidR="00455C3B" w:rsidRPr="007156DD">
        <w:rPr>
          <w:rFonts w:cs="Times New Roman"/>
          <w:szCs w:val="24"/>
          <w:shd w:val="clear" w:color="auto" w:fill="FFFFFF"/>
          <w:lang w:val="en-US"/>
        </w:rPr>
        <w:t>, H. Deviant behavior and social control in science. </w:t>
      </w:r>
      <w:r w:rsidR="00455C3B" w:rsidRPr="007156DD">
        <w:rPr>
          <w:rFonts w:cs="Times New Roman"/>
          <w:b/>
          <w:bCs/>
          <w:iCs/>
          <w:szCs w:val="24"/>
          <w:shd w:val="clear" w:color="auto" w:fill="FFFFFF"/>
          <w:lang w:val="en-US"/>
        </w:rPr>
        <w:t xml:space="preserve">Deviance and </w:t>
      </w:r>
      <w:r w:rsidR="00DD693A" w:rsidRPr="007156DD">
        <w:rPr>
          <w:rFonts w:cs="Times New Roman"/>
          <w:b/>
          <w:bCs/>
          <w:iCs/>
          <w:szCs w:val="24"/>
          <w:shd w:val="clear" w:color="auto" w:fill="FFFFFF"/>
          <w:lang w:val="en-US"/>
        </w:rPr>
        <w:t>S</w:t>
      </w:r>
      <w:r w:rsidR="00455C3B" w:rsidRPr="007156DD">
        <w:rPr>
          <w:rFonts w:cs="Times New Roman"/>
          <w:b/>
          <w:bCs/>
          <w:iCs/>
          <w:szCs w:val="24"/>
          <w:shd w:val="clear" w:color="auto" w:fill="FFFFFF"/>
          <w:lang w:val="en-US"/>
        </w:rPr>
        <w:t xml:space="preserve">ocial </w:t>
      </w:r>
      <w:r w:rsidR="00DD693A" w:rsidRPr="007156DD">
        <w:rPr>
          <w:rFonts w:cs="Times New Roman"/>
          <w:b/>
          <w:bCs/>
          <w:iCs/>
          <w:szCs w:val="24"/>
          <w:shd w:val="clear" w:color="auto" w:fill="FFFFFF"/>
          <w:lang w:val="en-US"/>
        </w:rPr>
        <w:t>C</w:t>
      </w:r>
      <w:r w:rsidR="00455C3B" w:rsidRPr="007156DD">
        <w:rPr>
          <w:rFonts w:cs="Times New Roman"/>
          <w:b/>
          <w:bCs/>
          <w:iCs/>
          <w:szCs w:val="24"/>
          <w:shd w:val="clear" w:color="auto" w:fill="FFFFFF"/>
          <w:lang w:val="en-US"/>
        </w:rPr>
        <w:t>hange</w:t>
      </w:r>
      <w:r w:rsidR="00455C3B" w:rsidRPr="007156DD">
        <w:rPr>
          <w:rFonts w:cs="Times New Roman"/>
          <w:szCs w:val="24"/>
          <w:shd w:val="clear" w:color="auto" w:fill="FFFFFF"/>
          <w:lang w:val="en-US"/>
        </w:rPr>
        <w:t>, </w:t>
      </w:r>
      <w:r w:rsidRPr="007156DD">
        <w:rPr>
          <w:rFonts w:cs="Times New Roman"/>
          <w:szCs w:val="24"/>
          <w:shd w:val="clear" w:color="auto" w:fill="FFFFFF"/>
          <w:lang w:val="en-US"/>
        </w:rPr>
        <w:t xml:space="preserve">v. </w:t>
      </w:r>
      <w:r w:rsidR="00455C3B" w:rsidRPr="007156DD">
        <w:rPr>
          <w:rFonts w:cs="Times New Roman"/>
          <w:szCs w:val="24"/>
          <w:shd w:val="clear" w:color="auto" w:fill="FFFFFF"/>
          <w:lang w:val="en-US"/>
        </w:rPr>
        <w:t>1, 87-138</w:t>
      </w:r>
      <w:r w:rsidRPr="007156DD">
        <w:rPr>
          <w:rFonts w:cs="Times New Roman"/>
          <w:szCs w:val="24"/>
          <w:shd w:val="clear" w:color="auto" w:fill="FFFFFF"/>
          <w:lang w:val="en-US"/>
        </w:rPr>
        <w:t>, 1977</w:t>
      </w:r>
      <w:r w:rsidR="00455C3B" w:rsidRPr="007156DD">
        <w:rPr>
          <w:rFonts w:cs="Times New Roman"/>
          <w:szCs w:val="24"/>
          <w:shd w:val="clear" w:color="auto" w:fill="FFFFFF"/>
          <w:lang w:val="en-US"/>
        </w:rPr>
        <w:t>.</w:t>
      </w:r>
    </w:p>
    <w:sectPr w:rsidR="00455C3B" w:rsidRPr="00DD693A" w:rsidSect="0040148E"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3C1FD" w14:textId="77777777" w:rsidR="00CD1D80" w:rsidRDefault="00CD1D80" w:rsidP="00E9363D">
      <w:pPr>
        <w:spacing w:after="0" w:line="240" w:lineRule="auto"/>
      </w:pPr>
      <w:r>
        <w:separator/>
      </w:r>
    </w:p>
  </w:endnote>
  <w:endnote w:type="continuationSeparator" w:id="0">
    <w:p w14:paraId="0F0CD9A1" w14:textId="77777777" w:rsidR="00CD1D80" w:rsidRDefault="00CD1D80" w:rsidP="00E93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Times New Roman"/>
        <w:sz w:val="20"/>
        <w:szCs w:val="20"/>
      </w:rPr>
      <w:id w:val="1630437588"/>
      <w:docPartObj>
        <w:docPartGallery w:val="Page Numbers (Bottom of Page)"/>
        <w:docPartUnique/>
      </w:docPartObj>
    </w:sdtPr>
    <w:sdtEndPr/>
    <w:sdtContent>
      <w:p w14:paraId="733030DE" w14:textId="190A7290" w:rsidR="005129FF" w:rsidRPr="00D810F6" w:rsidRDefault="005129FF" w:rsidP="00C74F97">
        <w:pPr>
          <w:pStyle w:val="Rodap"/>
          <w:jc w:val="right"/>
          <w:rPr>
            <w:rFonts w:cs="Times New Roman"/>
            <w:sz w:val="20"/>
            <w:szCs w:val="20"/>
          </w:rPr>
        </w:pPr>
        <w:r w:rsidRPr="00D810F6">
          <w:rPr>
            <w:rFonts w:cs="Times New Roman"/>
            <w:sz w:val="20"/>
            <w:szCs w:val="20"/>
          </w:rPr>
          <w:fldChar w:fldCharType="begin"/>
        </w:r>
        <w:r w:rsidRPr="00D810F6">
          <w:rPr>
            <w:rFonts w:cs="Times New Roman"/>
            <w:sz w:val="20"/>
            <w:szCs w:val="20"/>
          </w:rPr>
          <w:instrText>PAGE   \* MERGEFORMAT</w:instrText>
        </w:r>
        <w:r w:rsidRPr="00D810F6">
          <w:rPr>
            <w:rFonts w:cs="Times New Roman"/>
            <w:sz w:val="20"/>
            <w:szCs w:val="20"/>
          </w:rPr>
          <w:fldChar w:fldCharType="separate"/>
        </w:r>
        <w:r w:rsidRPr="00D810F6">
          <w:rPr>
            <w:rFonts w:cs="Times New Roman"/>
            <w:noProof/>
            <w:sz w:val="20"/>
            <w:szCs w:val="20"/>
          </w:rPr>
          <w:t>1</w:t>
        </w:r>
        <w:r w:rsidRPr="00D810F6">
          <w:rPr>
            <w:rFonts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DC875" w14:textId="77777777" w:rsidR="00CD1D80" w:rsidRDefault="00CD1D80" w:rsidP="00E9363D">
      <w:pPr>
        <w:spacing w:after="0" w:line="240" w:lineRule="auto"/>
      </w:pPr>
      <w:r>
        <w:separator/>
      </w:r>
    </w:p>
  </w:footnote>
  <w:footnote w:type="continuationSeparator" w:id="0">
    <w:p w14:paraId="19752D87" w14:textId="77777777" w:rsidR="00CD1D80" w:rsidRDefault="00CD1D80" w:rsidP="00E93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35713"/>
    <w:multiLevelType w:val="multilevel"/>
    <w:tmpl w:val="EA6E45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1F241D1"/>
    <w:multiLevelType w:val="hybridMultilevel"/>
    <w:tmpl w:val="D170323E"/>
    <w:lvl w:ilvl="0" w:tplc="9D9A9B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B8"/>
    <w:rsid w:val="00000011"/>
    <w:rsid w:val="00001508"/>
    <w:rsid w:val="000021B0"/>
    <w:rsid w:val="00004AC5"/>
    <w:rsid w:val="00006826"/>
    <w:rsid w:val="000106A8"/>
    <w:rsid w:val="00011A16"/>
    <w:rsid w:val="00014069"/>
    <w:rsid w:val="00015F5A"/>
    <w:rsid w:val="00017DF4"/>
    <w:rsid w:val="00022E3A"/>
    <w:rsid w:val="00024A0B"/>
    <w:rsid w:val="00024E67"/>
    <w:rsid w:val="000250AD"/>
    <w:rsid w:val="000262AC"/>
    <w:rsid w:val="000346D8"/>
    <w:rsid w:val="00034D45"/>
    <w:rsid w:val="00036158"/>
    <w:rsid w:val="00036C67"/>
    <w:rsid w:val="000373EB"/>
    <w:rsid w:val="00037E2C"/>
    <w:rsid w:val="0004109A"/>
    <w:rsid w:val="000467DA"/>
    <w:rsid w:val="00046BD6"/>
    <w:rsid w:val="0005105E"/>
    <w:rsid w:val="0005597B"/>
    <w:rsid w:val="000570E3"/>
    <w:rsid w:val="0005737D"/>
    <w:rsid w:val="00060B11"/>
    <w:rsid w:val="00062139"/>
    <w:rsid w:val="00064267"/>
    <w:rsid w:val="00065C34"/>
    <w:rsid w:val="00066374"/>
    <w:rsid w:val="0006654D"/>
    <w:rsid w:val="0006669A"/>
    <w:rsid w:val="00066E2F"/>
    <w:rsid w:val="00067CE0"/>
    <w:rsid w:val="00071002"/>
    <w:rsid w:val="00074DF9"/>
    <w:rsid w:val="00076743"/>
    <w:rsid w:val="00081CF0"/>
    <w:rsid w:val="000823BC"/>
    <w:rsid w:val="000835E6"/>
    <w:rsid w:val="00086BA6"/>
    <w:rsid w:val="00095C48"/>
    <w:rsid w:val="00097383"/>
    <w:rsid w:val="00097D8D"/>
    <w:rsid w:val="000A053D"/>
    <w:rsid w:val="000A5D1B"/>
    <w:rsid w:val="000A7D1E"/>
    <w:rsid w:val="000B1708"/>
    <w:rsid w:val="000B1F11"/>
    <w:rsid w:val="000B208A"/>
    <w:rsid w:val="000B5454"/>
    <w:rsid w:val="000B63FD"/>
    <w:rsid w:val="000B64D5"/>
    <w:rsid w:val="000B7AA7"/>
    <w:rsid w:val="000C1C30"/>
    <w:rsid w:val="000C43F8"/>
    <w:rsid w:val="000C66E9"/>
    <w:rsid w:val="000C6B53"/>
    <w:rsid w:val="000D2E1B"/>
    <w:rsid w:val="000D2FC4"/>
    <w:rsid w:val="000D5EBA"/>
    <w:rsid w:val="000E0141"/>
    <w:rsid w:val="000E3FEF"/>
    <w:rsid w:val="000F333B"/>
    <w:rsid w:val="000F4D23"/>
    <w:rsid w:val="00101D2B"/>
    <w:rsid w:val="00102AAB"/>
    <w:rsid w:val="00104660"/>
    <w:rsid w:val="001048E1"/>
    <w:rsid w:val="00113408"/>
    <w:rsid w:val="00113AF1"/>
    <w:rsid w:val="0012005E"/>
    <w:rsid w:val="00122164"/>
    <w:rsid w:val="00124F33"/>
    <w:rsid w:val="00126373"/>
    <w:rsid w:val="00127160"/>
    <w:rsid w:val="0013028E"/>
    <w:rsid w:val="00135A02"/>
    <w:rsid w:val="001376C8"/>
    <w:rsid w:val="0014375F"/>
    <w:rsid w:val="00145103"/>
    <w:rsid w:val="001452DD"/>
    <w:rsid w:val="001501E7"/>
    <w:rsid w:val="00154EEF"/>
    <w:rsid w:val="00154F93"/>
    <w:rsid w:val="00156067"/>
    <w:rsid w:val="00161B20"/>
    <w:rsid w:val="001709DF"/>
    <w:rsid w:val="0018143D"/>
    <w:rsid w:val="001831B9"/>
    <w:rsid w:val="0018608B"/>
    <w:rsid w:val="00186DFB"/>
    <w:rsid w:val="00190057"/>
    <w:rsid w:val="00190695"/>
    <w:rsid w:val="0019129D"/>
    <w:rsid w:val="001931A5"/>
    <w:rsid w:val="0019526E"/>
    <w:rsid w:val="00197EA1"/>
    <w:rsid w:val="001A2849"/>
    <w:rsid w:val="001A71BB"/>
    <w:rsid w:val="001A71D4"/>
    <w:rsid w:val="001B36B7"/>
    <w:rsid w:val="001B3F1F"/>
    <w:rsid w:val="001B421A"/>
    <w:rsid w:val="001C682E"/>
    <w:rsid w:val="001D2FF8"/>
    <w:rsid w:val="001D3940"/>
    <w:rsid w:val="001E1A51"/>
    <w:rsid w:val="001E459E"/>
    <w:rsid w:val="001E5119"/>
    <w:rsid w:val="001E53B3"/>
    <w:rsid w:val="001F7AB0"/>
    <w:rsid w:val="0020161C"/>
    <w:rsid w:val="00216545"/>
    <w:rsid w:val="002208E4"/>
    <w:rsid w:val="00221A79"/>
    <w:rsid w:val="00227710"/>
    <w:rsid w:val="00227990"/>
    <w:rsid w:val="00231996"/>
    <w:rsid w:val="00233880"/>
    <w:rsid w:val="0023522F"/>
    <w:rsid w:val="00244623"/>
    <w:rsid w:val="002545A3"/>
    <w:rsid w:val="00257FC1"/>
    <w:rsid w:val="002649F3"/>
    <w:rsid w:val="00265296"/>
    <w:rsid w:val="0026767D"/>
    <w:rsid w:val="00270255"/>
    <w:rsid w:val="0027248F"/>
    <w:rsid w:val="00272A68"/>
    <w:rsid w:val="002761FA"/>
    <w:rsid w:val="00280922"/>
    <w:rsid w:val="002868F2"/>
    <w:rsid w:val="00286A24"/>
    <w:rsid w:val="00291366"/>
    <w:rsid w:val="0029754F"/>
    <w:rsid w:val="002A27FA"/>
    <w:rsid w:val="002A4596"/>
    <w:rsid w:val="002A7251"/>
    <w:rsid w:val="002B12FC"/>
    <w:rsid w:val="002B5838"/>
    <w:rsid w:val="002B6B48"/>
    <w:rsid w:val="002C5718"/>
    <w:rsid w:val="002D4D28"/>
    <w:rsid w:val="002D64FE"/>
    <w:rsid w:val="002D681B"/>
    <w:rsid w:val="002D7387"/>
    <w:rsid w:val="002E2617"/>
    <w:rsid w:val="002E2E05"/>
    <w:rsid w:val="002E4D13"/>
    <w:rsid w:val="002F08E6"/>
    <w:rsid w:val="002F18B6"/>
    <w:rsid w:val="002F2874"/>
    <w:rsid w:val="002F6046"/>
    <w:rsid w:val="002F6D74"/>
    <w:rsid w:val="002F7CB0"/>
    <w:rsid w:val="00304BA9"/>
    <w:rsid w:val="00306DBE"/>
    <w:rsid w:val="003112B1"/>
    <w:rsid w:val="00314EB6"/>
    <w:rsid w:val="00320966"/>
    <w:rsid w:val="003213F1"/>
    <w:rsid w:val="00323D60"/>
    <w:rsid w:val="00327E29"/>
    <w:rsid w:val="00330C8F"/>
    <w:rsid w:val="00335238"/>
    <w:rsid w:val="0033720D"/>
    <w:rsid w:val="00337A2B"/>
    <w:rsid w:val="003404B5"/>
    <w:rsid w:val="00340CEA"/>
    <w:rsid w:val="00350F04"/>
    <w:rsid w:val="00361D72"/>
    <w:rsid w:val="003674F2"/>
    <w:rsid w:val="00367D32"/>
    <w:rsid w:val="00370F4E"/>
    <w:rsid w:val="00374606"/>
    <w:rsid w:val="00390483"/>
    <w:rsid w:val="003A0B31"/>
    <w:rsid w:val="003B384E"/>
    <w:rsid w:val="003B3EB0"/>
    <w:rsid w:val="003C0BDC"/>
    <w:rsid w:val="003C24CD"/>
    <w:rsid w:val="003C4CDF"/>
    <w:rsid w:val="003C713C"/>
    <w:rsid w:val="003C73A4"/>
    <w:rsid w:val="003D1421"/>
    <w:rsid w:val="003D1603"/>
    <w:rsid w:val="003D368E"/>
    <w:rsid w:val="003D4E3D"/>
    <w:rsid w:val="003D6155"/>
    <w:rsid w:val="003D7A31"/>
    <w:rsid w:val="003E2300"/>
    <w:rsid w:val="003E2C49"/>
    <w:rsid w:val="003E441F"/>
    <w:rsid w:val="003E5CB9"/>
    <w:rsid w:val="003E6EAE"/>
    <w:rsid w:val="003F2197"/>
    <w:rsid w:val="003F660E"/>
    <w:rsid w:val="0040148E"/>
    <w:rsid w:val="00403FF0"/>
    <w:rsid w:val="00405D91"/>
    <w:rsid w:val="00406BB3"/>
    <w:rsid w:val="00426BCC"/>
    <w:rsid w:val="0042731C"/>
    <w:rsid w:val="0043083B"/>
    <w:rsid w:val="00432376"/>
    <w:rsid w:val="00437434"/>
    <w:rsid w:val="00441093"/>
    <w:rsid w:val="00444044"/>
    <w:rsid w:val="004456CE"/>
    <w:rsid w:val="00453F81"/>
    <w:rsid w:val="0045555E"/>
    <w:rsid w:val="00455C3B"/>
    <w:rsid w:val="00455D5A"/>
    <w:rsid w:val="00457325"/>
    <w:rsid w:val="0045789E"/>
    <w:rsid w:val="00464A7F"/>
    <w:rsid w:val="00467DBC"/>
    <w:rsid w:val="00471A37"/>
    <w:rsid w:val="00473EE3"/>
    <w:rsid w:val="00475B4D"/>
    <w:rsid w:val="00482A5E"/>
    <w:rsid w:val="00482F91"/>
    <w:rsid w:val="0048407C"/>
    <w:rsid w:val="004875D8"/>
    <w:rsid w:val="004959B5"/>
    <w:rsid w:val="00497578"/>
    <w:rsid w:val="004A0B73"/>
    <w:rsid w:val="004A147B"/>
    <w:rsid w:val="004A2F27"/>
    <w:rsid w:val="004A3818"/>
    <w:rsid w:val="004A468B"/>
    <w:rsid w:val="004A6B62"/>
    <w:rsid w:val="004A752F"/>
    <w:rsid w:val="004A7BE8"/>
    <w:rsid w:val="004A7C25"/>
    <w:rsid w:val="004B0C52"/>
    <w:rsid w:val="004B4B94"/>
    <w:rsid w:val="004B66FA"/>
    <w:rsid w:val="004C5136"/>
    <w:rsid w:val="004C6A69"/>
    <w:rsid w:val="004D14C3"/>
    <w:rsid w:val="004D26F9"/>
    <w:rsid w:val="004D5A7D"/>
    <w:rsid w:val="004E0E05"/>
    <w:rsid w:val="004E4EEC"/>
    <w:rsid w:val="004F0E0C"/>
    <w:rsid w:val="004F18C2"/>
    <w:rsid w:val="004F2716"/>
    <w:rsid w:val="004F2CF7"/>
    <w:rsid w:val="004F4027"/>
    <w:rsid w:val="004F502A"/>
    <w:rsid w:val="00500F56"/>
    <w:rsid w:val="0050106C"/>
    <w:rsid w:val="00502819"/>
    <w:rsid w:val="00503992"/>
    <w:rsid w:val="00503CA6"/>
    <w:rsid w:val="00503DE7"/>
    <w:rsid w:val="0050687B"/>
    <w:rsid w:val="005103EC"/>
    <w:rsid w:val="005129FF"/>
    <w:rsid w:val="00514A48"/>
    <w:rsid w:val="00520447"/>
    <w:rsid w:val="005210DC"/>
    <w:rsid w:val="005226B8"/>
    <w:rsid w:val="005269D0"/>
    <w:rsid w:val="00531D97"/>
    <w:rsid w:val="00542AFA"/>
    <w:rsid w:val="00543544"/>
    <w:rsid w:val="005455A6"/>
    <w:rsid w:val="00547D7C"/>
    <w:rsid w:val="00551B44"/>
    <w:rsid w:val="0055697B"/>
    <w:rsid w:val="005637E1"/>
    <w:rsid w:val="00570A5A"/>
    <w:rsid w:val="00570E72"/>
    <w:rsid w:val="0057534A"/>
    <w:rsid w:val="005773C4"/>
    <w:rsid w:val="00582235"/>
    <w:rsid w:val="00583BBA"/>
    <w:rsid w:val="00583EE6"/>
    <w:rsid w:val="0059121B"/>
    <w:rsid w:val="00591A26"/>
    <w:rsid w:val="00594442"/>
    <w:rsid w:val="00597E89"/>
    <w:rsid w:val="005A23AC"/>
    <w:rsid w:val="005A7C02"/>
    <w:rsid w:val="005B0897"/>
    <w:rsid w:val="005B41AF"/>
    <w:rsid w:val="005B4E7F"/>
    <w:rsid w:val="005B6E6E"/>
    <w:rsid w:val="005B74BF"/>
    <w:rsid w:val="005C62B7"/>
    <w:rsid w:val="005C7D46"/>
    <w:rsid w:val="005D480D"/>
    <w:rsid w:val="005D509A"/>
    <w:rsid w:val="005D6679"/>
    <w:rsid w:val="005D74B2"/>
    <w:rsid w:val="005E6B87"/>
    <w:rsid w:val="005F065C"/>
    <w:rsid w:val="00603C9A"/>
    <w:rsid w:val="006105DE"/>
    <w:rsid w:val="006114E3"/>
    <w:rsid w:val="00614807"/>
    <w:rsid w:val="006159FB"/>
    <w:rsid w:val="00624CB6"/>
    <w:rsid w:val="00626A0F"/>
    <w:rsid w:val="00627B97"/>
    <w:rsid w:val="00632F8B"/>
    <w:rsid w:val="00633697"/>
    <w:rsid w:val="0064196C"/>
    <w:rsid w:val="006506A0"/>
    <w:rsid w:val="006636D7"/>
    <w:rsid w:val="0066793E"/>
    <w:rsid w:val="00676857"/>
    <w:rsid w:val="00676DBF"/>
    <w:rsid w:val="00677B9F"/>
    <w:rsid w:val="00684ECF"/>
    <w:rsid w:val="00685BBE"/>
    <w:rsid w:val="00687B34"/>
    <w:rsid w:val="006926BE"/>
    <w:rsid w:val="006950A4"/>
    <w:rsid w:val="006A4954"/>
    <w:rsid w:val="006A5869"/>
    <w:rsid w:val="006B2E6D"/>
    <w:rsid w:val="006B69A8"/>
    <w:rsid w:val="006C70B2"/>
    <w:rsid w:val="006D0D5F"/>
    <w:rsid w:val="006D1AD7"/>
    <w:rsid w:val="006E0AAA"/>
    <w:rsid w:val="006E154E"/>
    <w:rsid w:val="006E163D"/>
    <w:rsid w:val="006E2A06"/>
    <w:rsid w:val="006E31DE"/>
    <w:rsid w:val="006E4016"/>
    <w:rsid w:val="006E6EC5"/>
    <w:rsid w:val="006E7059"/>
    <w:rsid w:val="006E718A"/>
    <w:rsid w:val="006F3055"/>
    <w:rsid w:val="006F4D3D"/>
    <w:rsid w:val="00703629"/>
    <w:rsid w:val="007053A8"/>
    <w:rsid w:val="00706590"/>
    <w:rsid w:val="00711A35"/>
    <w:rsid w:val="007156DD"/>
    <w:rsid w:val="00716F68"/>
    <w:rsid w:val="00723F57"/>
    <w:rsid w:val="00731E27"/>
    <w:rsid w:val="0073348F"/>
    <w:rsid w:val="00734483"/>
    <w:rsid w:val="00735CC0"/>
    <w:rsid w:val="00736A38"/>
    <w:rsid w:val="00737843"/>
    <w:rsid w:val="007411A1"/>
    <w:rsid w:val="0074127D"/>
    <w:rsid w:val="007412E3"/>
    <w:rsid w:val="007436BF"/>
    <w:rsid w:val="00745C76"/>
    <w:rsid w:val="00746B2A"/>
    <w:rsid w:val="00750628"/>
    <w:rsid w:val="007506F5"/>
    <w:rsid w:val="00753122"/>
    <w:rsid w:val="00755BBA"/>
    <w:rsid w:val="007630A4"/>
    <w:rsid w:val="00770E8B"/>
    <w:rsid w:val="00771979"/>
    <w:rsid w:val="007770EF"/>
    <w:rsid w:val="0079111F"/>
    <w:rsid w:val="0079694E"/>
    <w:rsid w:val="007A07EA"/>
    <w:rsid w:val="007B0EB9"/>
    <w:rsid w:val="007B1E1F"/>
    <w:rsid w:val="007B2270"/>
    <w:rsid w:val="007B4ED4"/>
    <w:rsid w:val="007B50E7"/>
    <w:rsid w:val="007B6C32"/>
    <w:rsid w:val="007D0009"/>
    <w:rsid w:val="007D268F"/>
    <w:rsid w:val="007D52BA"/>
    <w:rsid w:val="007D5CB5"/>
    <w:rsid w:val="007D63BC"/>
    <w:rsid w:val="007D7807"/>
    <w:rsid w:val="007D7DA9"/>
    <w:rsid w:val="007E1B18"/>
    <w:rsid w:val="007E514C"/>
    <w:rsid w:val="007E54BB"/>
    <w:rsid w:val="007E6735"/>
    <w:rsid w:val="007F425A"/>
    <w:rsid w:val="007F56D6"/>
    <w:rsid w:val="00801B30"/>
    <w:rsid w:val="00803E63"/>
    <w:rsid w:val="00805CD5"/>
    <w:rsid w:val="00805EB7"/>
    <w:rsid w:val="00806DF0"/>
    <w:rsid w:val="00806FFA"/>
    <w:rsid w:val="00816BE2"/>
    <w:rsid w:val="00821A01"/>
    <w:rsid w:val="00825E96"/>
    <w:rsid w:val="00827A10"/>
    <w:rsid w:val="00840A7C"/>
    <w:rsid w:val="00840B5A"/>
    <w:rsid w:val="008411BD"/>
    <w:rsid w:val="00841514"/>
    <w:rsid w:val="00844BB9"/>
    <w:rsid w:val="008458EA"/>
    <w:rsid w:val="00847FA7"/>
    <w:rsid w:val="0085793D"/>
    <w:rsid w:val="008619A5"/>
    <w:rsid w:val="00862C01"/>
    <w:rsid w:val="00862FD9"/>
    <w:rsid w:val="008659E8"/>
    <w:rsid w:val="00866ED3"/>
    <w:rsid w:val="0087351E"/>
    <w:rsid w:val="00876620"/>
    <w:rsid w:val="00876A97"/>
    <w:rsid w:val="008846C1"/>
    <w:rsid w:val="008A1168"/>
    <w:rsid w:val="008A3474"/>
    <w:rsid w:val="008B1BC4"/>
    <w:rsid w:val="008B454B"/>
    <w:rsid w:val="008C0139"/>
    <w:rsid w:val="008C214E"/>
    <w:rsid w:val="008C4888"/>
    <w:rsid w:val="008C7B7B"/>
    <w:rsid w:val="008D4AAE"/>
    <w:rsid w:val="008D79A3"/>
    <w:rsid w:val="008E51D4"/>
    <w:rsid w:val="008F282C"/>
    <w:rsid w:val="008F67B7"/>
    <w:rsid w:val="00900268"/>
    <w:rsid w:val="009006C3"/>
    <w:rsid w:val="00903A6E"/>
    <w:rsid w:val="009052B6"/>
    <w:rsid w:val="00906ADE"/>
    <w:rsid w:val="00907531"/>
    <w:rsid w:val="00911BBF"/>
    <w:rsid w:val="00917F98"/>
    <w:rsid w:val="00920668"/>
    <w:rsid w:val="009209BB"/>
    <w:rsid w:val="00923873"/>
    <w:rsid w:val="00924D25"/>
    <w:rsid w:val="00926129"/>
    <w:rsid w:val="00930E71"/>
    <w:rsid w:val="00932AEE"/>
    <w:rsid w:val="00934179"/>
    <w:rsid w:val="00934411"/>
    <w:rsid w:val="0093512A"/>
    <w:rsid w:val="009355D8"/>
    <w:rsid w:val="00942A26"/>
    <w:rsid w:val="0094396F"/>
    <w:rsid w:val="00945022"/>
    <w:rsid w:val="00946598"/>
    <w:rsid w:val="00950B37"/>
    <w:rsid w:val="009536D6"/>
    <w:rsid w:val="00955590"/>
    <w:rsid w:val="0096003B"/>
    <w:rsid w:val="0096553F"/>
    <w:rsid w:val="0096751B"/>
    <w:rsid w:val="009702A4"/>
    <w:rsid w:val="009706C0"/>
    <w:rsid w:val="00971C80"/>
    <w:rsid w:val="00974F60"/>
    <w:rsid w:val="009760D9"/>
    <w:rsid w:val="0098476B"/>
    <w:rsid w:val="00987BB8"/>
    <w:rsid w:val="00996693"/>
    <w:rsid w:val="009A0647"/>
    <w:rsid w:val="009A1A14"/>
    <w:rsid w:val="009A1BE5"/>
    <w:rsid w:val="009A37C1"/>
    <w:rsid w:val="009A4594"/>
    <w:rsid w:val="009A66AD"/>
    <w:rsid w:val="009B1BF4"/>
    <w:rsid w:val="009B1FD6"/>
    <w:rsid w:val="009B5D44"/>
    <w:rsid w:val="009B7D52"/>
    <w:rsid w:val="009C065A"/>
    <w:rsid w:val="009C3672"/>
    <w:rsid w:val="009D1C64"/>
    <w:rsid w:val="009D1D9F"/>
    <w:rsid w:val="009D425B"/>
    <w:rsid w:val="009D47CB"/>
    <w:rsid w:val="009D7797"/>
    <w:rsid w:val="009E0150"/>
    <w:rsid w:val="009E225C"/>
    <w:rsid w:val="009E709C"/>
    <w:rsid w:val="009F1637"/>
    <w:rsid w:val="009F62E7"/>
    <w:rsid w:val="00A0220E"/>
    <w:rsid w:val="00A11C99"/>
    <w:rsid w:val="00A135C3"/>
    <w:rsid w:val="00A13C2F"/>
    <w:rsid w:val="00A1432C"/>
    <w:rsid w:val="00A24B62"/>
    <w:rsid w:val="00A256EA"/>
    <w:rsid w:val="00A27E74"/>
    <w:rsid w:val="00A300D6"/>
    <w:rsid w:val="00A33876"/>
    <w:rsid w:val="00A36E3A"/>
    <w:rsid w:val="00A40F1E"/>
    <w:rsid w:val="00A4119B"/>
    <w:rsid w:val="00A46323"/>
    <w:rsid w:val="00A500E7"/>
    <w:rsid w:val="00A514ED"/>
    <w:rsid w:val="00A52E15"/>
    <w:rsid w:val="00A53396"/>
    <w:rsid w:val="00A5354D"/>
    <w:rsid w:val="00A54232"/>
    <w:rsid w:val="00A552D8"/>
    <w:rsid w:val="00A6313D"/>
    <w:rsid w:val="00A7131C"/>
    <w:rsid w:val="00A7287F"/>
    <w:rsid w:val="00A72F66"/>
    <w:rsid w:val="00A74068"/>
    <w:rsid w:val="00A74C55"/>
    <w:rsid w:val="00A771B4"/>
    <w:rsid w:val="00A77330"/>
    <w:rsid w:val="00A8004B"/>
    <w:rsid w:val="00A8352D"/>
    <w:rsid w:val="00A843F5"/>
    <w:rsid w:val="00A86CD4"/>
    <w:rsid w:val="00A8743A"/>
    <w:rsid w:val="00A91364"/>
    <w:rsid w:val="00A927E6"/>
    <w:rsid w:val="00A9344B"/>
    <w:rsid w:val="00AA02D1"/>
    <w:rsid w:val="00AA5049"/>
    <w:rsid w:val="00AB0597"/>
    <w:rsid w:val="00AB2898"/>
    <w:rsid w:val="00AC4B3B"/>
    <w:rsid w:val="00AD4930"/>
    <w:rsid w:val="00AD5BD2"/>
    <w:rsid w:val="00AD5C31"/>
    <w:rsid w:val="00AE0077"/>
    <w:rsid w:val="00AE01CD"/>
    <w:rsid w:val="00AE09FE"/>
    <w:rsid w:val="00AE1972"/>
    <w:rsid w:val="00AE2503"/>
    <w:rsid w:val="00AE2C1C"/>
    <w:rsid w:val="00AE4E83"/>
    <w:rsid w:val="00AF296D"/>
    <w:rsid w:val="00AF2AE3"/>
    <w:rsid w:val="00AF2C52"/>
    <w:rsid w:val="00AF4239"/>
    <w:rsid w:val="00AF5D64"/>
    <w:rsid w:val="00AF7AB0"/>
    <w:rsid w:val="00B012FF"/>
    <w:rsid w:val="00B0523F"/>
    <w:rsid w:val="00B114D5"/>
    <w:rsid w:val="00B116E0"/>
    <w:rsid w:val="00B13937"/>
    <w:rsid w:val="00B22B9C"/>
    <w:rsid w:val="00B248FB"/>
    <w:rsid w:val="00B2511E"/>
    <w:rsid w:val="00B26386"/>
    <w:rsid w:val="00B26CDF"/>
    <w:rsid w:val="00B31CE3"/>
    <w:rsid w:val="00B444BF"/>
    <w:rsid w:val="00B448A7"/>
    <w:rsid w:val="00B467EA"/>
    <w:rsid w:val="00B543AE"/>
    <w:rsid w:val="00B54DA2"/>
    <w:rsid w:val="00B6028B"/>
    <w:rsid w:val="00B60B4C"/>
    <w:rsid w:val="00B6565D"/>
    <w:rsid w:val="00B662B2"/>
    <w:rsid w:val="00B70062"/>
    <w:rsid w:val="00B728B0"/>
    <w:rsid w:val="00B84965"/>
    <w:rsid w:val="00B858F0"/>
    <w:rsid w:val="00B86FA1"/>
    <w:rsid w:val="00BA11F9"/>
    <w:rsid w:val="00BA3676"/>
    <w:rsid w:val="00BA37D8"/>
    <w:rsid w:val="00BB3C29"/>
    <w:rsid w:val="00BB3F94"/>
    <w:rsid w:val="00BB5AC5"/>
    <w:rsid w:val="00BB6B31"/>
    <w:rsid w:val="00BB76AD"/>
    <w:rsid w:val="00BC05A0"/>
    <w:rsid w:val="00BC13EA"/>
    <w:rsid w:val="00BC3DBA"/>
    <w:rsid w:val="00BC4379"/>
    <w:rsid w:val="00BD0B3E"/>
    <w:rsid w:val="00BD3804"/>
    <w:rsid w:val="00BD4AA3"/>
    <w:rsid w:val="00BD6B78"/>
    <w:rsid w:val="00BD6C6B"/>
    <w:rsid w:val="00BD789A"/>
    <w:rsid w:val="00BE4133"/>
    <w:rsid w:val="00BE496B"/>
    <w:rsid w:val="00BF29A2"/>
    <w:rsid w:val="00BF56A2"/>
    <w:rsid w:val="00C123F9"/>
    <w:rsid w:val="00C13399"/>
    <w:rsid w:val="00C16EE0"/>
    <w:rsid w:val="00C24810"/>
    <w:rsid w:val="00C26ABE"/>
    <w:rsid w:val="00C27AE1"/>
    <w:rsid w:val="00C30C80"/>
    <w:rsid w:val="00C32EA5"/>
    <w:rsid w:val="00C3475C"/>
    <w:rsid w:val="00C43CF6"/>
    <w:rsid w:val="00C47E6A"/>
    <w:rsid w:val="00C50300"/>
    <w:rsid w:val="00C5195E"/>
    <w:rsid w:val="00C54AC2"/>
    <w:rsid w:val="00C5523F"/>
    <w:rsid w:val="00C552B7"/>
    <w:rsid w:val="00C55C8F"/>
    <w:rsid w:val="00C609FE"/>
    <w:rsid w:val="00C63020"/>
    <w:rsid w:val="00C64F9F"/>
    <w:rsid w:val="00C65C76"/>
    <w:rsid w:val="00C72EA5"/>
    <w:rsid w:val="00C736E1"/>
    <w:rsid w:val="00C737AD"/>
    <w:rsid w:val="00C74F97"/>
    <w:rsid w:val="00C75C32"/>
    <w:rsid w:val="00C7727E"/>
    <w:rsid w:val="00C81FF0"/>
    <w:rsid w:val="00C82F47"/>
    <w:rsid w:val="00C845B4"/>
    <w:rsid w:val="00C854EE"/>
    <w:rsid w:val="00C87BE8"/>
    <w:rsid w:val="00C92282"/>
    <w:rsid w:val="00C9315D"/>
    <w:rsid w:val="00CA2BE4"/>
    <w:rsid w:val="00CA4D54"/>
    <w:rsid w:val="00CA7056"/>
    <w:rsid w:val="00CB7BA6"/>
    <w:rsid w:val="00CC09A9"/>
    <w:rsid w:val="00CC2B73"/>
    <w:rsid w:val="00CC42C1"/>
    <w:rsid w:val="00CD1D80"/>
    <w:rsid w:val="00CD29F4"/>
    <w:rsid w:val="00CD2B86"/>
    <w:rsid w:val="00CD3BF8"/>
    <w:rsid w:val="00CD4B1F"/>
    <w:rsid w:val="00CD5F56"/>
    <w:rsid w:val="00CD61C2"/>
    <w:rsid w:val="00CE030B"/>
    <w:rsid w:val="00CE450B"/>
    <w:rsid w:val="00CE7E0A"/>
    <w:rsid w:val="00CF22F1"/>
    <w:rsid w:val="00CF4F47"/>
    <w:rsid w:val="00CF67E4"/>
    <w:rsid w:val="00CF6FA3"/>
    <w:rsid w:val="00D03D6C"/>
    <w:rsid w:val="00D16AAA"/>
    <w:rsid w:val="00D175C2"/>
    <w:rsid w:val="00D25E0E"/>
    <w:rsid w:val="00D30A81"/>
    <w:rsid w:val="00D3473E"/>
    <w:rsid w:val="00D37A43"/>
    <w:rsid w:val="00D40192"/>
    <w:rsid w:val="00D45617"/>
    <w:rsid w:val="00D47025"/>
    <w:rsid w:val="00D53724"/>
    <w:rsid w:val="00D56124"/>
    <w:rsid w:val="00D614FE"/>
    <w:rsid w:val="00D627EC"/>
    <w:rsid w:val="00D6411B"/>
    <w:rsid w:val="00D647D1"/>
    <w:rsid w:val="00D664FD"/>
    <w:rsid w:val="00D734FC"/>
    <w:rsid w:val="00D7690D"/>
    <w:rsid w:val="00D77C78"/>
    <w:rsid w:val="00D810F6"/>
    <w:rsid w:val="00D83AF1"/>
    <w:rsid w:val="00D84752"/>
    <w:rsid w:val="00D84D8F"/>
    <w:rsid w:val="00D86A80"/>
    <w:rsid w:val="00D8736C"/>
    <w:rsid w:val="00D91454"/>
    <w:rsid w:val="00D95BB8"/>
    <w:rsid w:val="00D961F4"/>
    <w:rsid w:val="00DA04F3"/>
    <w:rsid w:val="00DA392C"/>
    <w:rsid w:val="00DA42BC"/>
    <w:rsid w:val="00DB5C22"/>
    <w:rsid w:val="00DB6536"/>
    <w:rsid w:val="00DC0A3F"/>
    <w:rsid w:val="00DC2148"/>
    <w:rsid w:val="00DC2649"/>
    <w:rsid w:val="00DC4283"/>
    <w:rsid w:val="00DC762B"/>
    <w:rsid w:val="00DD11B1"/>
    <w:rsid w:val="00DD26FD"/>
    <w:rsid w:val="00DD4343"/>
    <w:rsid w:val="00DD4DE8"/>
    <w:rsid w:val="00DD693A"/>
    <w:rsid w:val="00DE0049"/>
    <w:rsid w:val="00DF314F"/>
    <w:rsid w:val="00DF447F"/>
    <w:rsid w:val="00DF7589"/>
    <w:rsid w:val="00E036B4"/>
    <w:rsid w:val="00E12002"/>
    <w:rsid w:val="00E12A4C"/>
    <w:rsid w:val="00E13F8C"/>
    <w:rsid w:val="00E16576"/>
    <w:rsid w:val="00E20A5E"/>
    <w:rsid w:val="00E236B1"/>
    <w:rsid w:val="00E257E9"/>
    <w:rsid w:val="00E258ED"/>
    <w:rsid w:val="00E32F05"/>
    <w:rsid w:val="00E345EE"/>
    <w:rsid w:val="00E34F93"/>
    <w:rsid w:val="00E40AB3"/>
    <w:rsid w:val="00E42549"/>
    <w:rsid w:val="00E42B13"/>
    <w:rsid w:val="00E462DD"/>
    <w:rsid w:val="00E53E7F"/>
    <w:rsid w:val="00E56E2A"/>
    <w:rsid w:val="00E5706B"/>
    <w:rsid w:val="00E612B0"/>
    <w:rsid w:val="00E70F90"/>
    <w:rsid w:val="00E71C1E"/>
    <w:rsid w:val="00E74371"/>
    <w:rsid w:val="00E75F59"/>
    <w:rsid w:val="00E80C59"/>
    <w:rsid w:val="00E835DA"/>
    <w:rsid w:val="00E83A0A"/>
    <w:rsid w:val="00E83C04"/>
    <w:rsid w:val="00E83FCD"/>
    <w:rsid w:val="00E8586B"/>
    <w:rsid w:val="00E85F61"/>
    <w:rsid w:val="00E87BD9"/>
    <w:rsid w:val="00E908F8"/>
    <w:rsid w:val="00E9363D"/>
    <w:rsid w:val="00E962C1"/>
    <w:rsid w:val="00EA0410"/>
    <w:rsid w:val="00EA2A7A"/>
    <w:rsid w:val="00EA6ADC"/>
    <w:rsid w:val="00EB1963"/>
    <w:rsid w:val="00EB2F7D"/>
    <w:rsid w:val="00EB381D"/>
    <w:rsid w:val="00EC238D"/>
    <w:rsid w:val="00EE1F25"/>
    <w:rsid w:val="00EE4336"/>
    <w:rsid w:val="00EF75A2"/>
    <w:rsid w:val="00EF7EE5"/>
    <w:rsid w:val="00F00DA0"/>
    <w:rsid w:val="00F012D4"/>
    <w:rsid w:val="00F04B44"/>
    <w:rsid w:val="00F067EA"/>
    <w:rsid w:val="00F15FAB"/>
    <w:rsid w:val="00F31199"/>
    <w:rsid w:val="00F42566"/>
    <w:rsid w:val="00F431CF"/>
    <w:rsid w:val="00F4388C"/>
    <w:rsid w:val="00F44DAE"/>
    <w:rsid w:val="00F4699E"/>
    <w:rsid w:val="00F47386"/>
    <w:rsid w:val="00F5342C"/>
    <w:rsid w:val="00F60720"/>
    <w:rsid w:val="00F62FC8"/>
    <w:rsid w:val="00F637F1"/>
    <w:rsid w:val="00F65FBF"/>
    <w:rsid w:val="00F6786D"/>
    <w:rsid w:val="00F70DF8"/>
    <w:rsid w:val="00F7342E"/>
    <w:rsid w:val="00F75670"/>
    <w:rsid w:val="00F84870"/>
    <w:rsid w:val="00F853F9"/>
    <w:rsid w:val="00F85514"/>
    <w:rsid w:val="00F905DB"/>
    <w:rsid w:val="00F93B3F"/>
    <w:rsid w:val="00FA38F7"/>
    <w:rsid w:val="00FA6C27"/>
    <w:rsid w:val="00FA7209"/>
    <w:rsid w:val="00FD1182"/>
    <w:rsid w:val="00FD36A4"/>
    <w:rsid w:val="00FD48E2"/>
    <w:rsid w:val="00FD67AE"/>
    <w:rsid w:val="00FE5539"/>
    <w:rsid w:val="00FE7CBC"/>
    <w:rsid w:val="00FF518B"/>
    <w:rsid w:val="00FF5F26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8E45B"/>
  <w15:docId w15:val="{F5B00350-7845-4373-8D70-676246A3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6AD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BB3F94"/>
    <w:pPr>
      <w:keepNext/>
      <w:pageBreakBefore/>
      <w:tabs>
        <w:tab w:val="num" w:pos="432"/>
        <w:tab w:val="left" w:pos="709"/>
      </w:tabs>
      <w:spacing w:after="480" w:line="360" w:lineRule="auto"/>
      <w:ind w:left="432" w:hanging="432"/>
      <w:outlineLvl w:val="0"/>
    </w:pPr>
    <w:rPr>
      <w:rFonts w:ascii="Arial" w:eastAsia="Batang" w:hAnsi="Arial" w:cs="Times New Roman"/>
      <w:b/>
      <w:bCs/>
      <w:caps/>
      <w:kern w:val="32"/>
      <w:sz w:val="28"/>
      <w:szCs w:val="28"/>
      <w:lang w:val="x-none" w:eastAsia="ko-KR"/>
    </w:rPr>
  </w:style>
  <w:style w:type="paragraph" w:styleId="Ttulo2">
    <w:name w:val="heading 2"/>
    <w:basedOn w:val="Normal"/>
    <w:next w:val="Normal"/>
    <w:link w:val="Ttulo2Char"/>
    <w:qFormat/>
    <w:rsid w:val="00BB3F94"/>
    <w:pPr>
      <w:keepNext/>
      <w:tabs>
        <w:tab w:val="num" w:pos="709"/>
      </w:tabs>
      <w:spacing w:before="360" w:after="120" w:line="360" w:lineRule="auto"/>
      <w:ind w:left="709" w:hanging="709"/>
      <w:jc w:val="both"/>
      <w:outlineLvl w:val="1"/>
    </w:pPr>
    <w:rPr>
      <w:rFonts w:ascii="Arial" w:eastAsia="Batang" w:hAnsi="Arial" w:cs="Times New Roman"/>
      <w:bCs/>
      <w:iCs/>
      <w:caps/>
      <w:szCs w:val="24"/>
      <w:lang w:val="x-none" w:eastAsia="ko-KR"/>
    </w:rPr>
  </w:style>
  <w:style w:type="paragraph" w:styleId="Ttulo3">
    <w:name w:val="heading 3"/>
    <w:basedOn w:val="Normal"/>
    <w:link w:val="Ttulo3Char"/>
    <w:qFormat/>
    <w:rsid w:val="00C123F9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B3F94"/>
    <w:pPr>
      <w:keepNext/>
      <w:tabs>
        <w:tab w:val="num" w:pos="864"/>
      </w:tabs>
      <w:spacing w:before="240" w:after="0" w:line="360" w:lineRule="auto"/>
      <w:ind w:left="862" w:hanging="862"/>
      <w:jc w:val="both"/>
      <w:outlineLvl w:val="3"/>
    </w:pPr>
    <w:rPr>
      <w:rFonts w:ascii="Arial" w:eastAsia="Batang" w:hAnsi="Arial" w:cs="Times New Roman"/>
      <w:bCs/>
      <w:szCs w:val="24"/>
      <w:lang w:val="x-none" w:eastAsia="ko-KR"/>
    </w:rPr>
  </w:style>
  <w:style w:type="paragraph" w:styleId="Ttulo5">
    <w:name w:val="heading 5"/>
    <w:basedOn w:val="Normal"/>
    <w:next w:val="Normal"/>
    <w:link w:val="Ttulo5Char"/>
    <w:qFormat/>
    <w:rsid w:val="00BB3F94"/>
    <w:pPr>
      <w:tabs>
        <w:tab w:val="num" w:pos="1008"/>
      </w:tabs>
      <w:spacing w:before="240" w:after="60" w:line="360" w:lineRule="auto"/>
      <w:ind w:left="1008" w:hanging="1008"/>
      <w:jc w:val="both"/>
      <w:outlineLvl w:val="4"/>
    </w:pPr>
    <w:rPr>
      <w:rFonts w:ascii="Arial" w:eastAsia="Batang" w:hAnsi="Arial" w:cs="Times New Roman"/>
      <w:b/>
      <w:bCs/>
      <w:i/>
      <w:iCs/>
      <w:sz w:val="26"/>
      <w:szCs w:val="26"/>
      <w:lang w:val="x-none" w:eastAsia="ko-KR"/>
    </w:rPr>
  </w:style>
  <w:style w:type="paragraph" w:styleId="Ttulo6">
    <w:name w:val="heading 6"/>
    <w:basedOn w:val="Normal"/>
    <w:next w:val="Normal"/>
    <w:link w:val="Ttulo6Char"/>
    <w:qFormat/>
    <w:rsid w:val="00BB3F94"/>
    <w:pPr>
      <w:tabs>
        <w:tab w:val="num" w:pos="1152"/>
      </w:tabs>
      <w:spacing w:before="240" w:after="60" w:line="360" w:lineRule="auto"/>
      <w:ind w:left="1152" w:hanging="1152"/>
      <w:jc w:val="both"/>
      <w:outlineLvl w:val="5"/>
    </w:pPr>
    <w:rPr>
      <w:rFonts w:eastAsia="Batang" w:cs="Times New Roman"/>
      <w:b/>
      <w:bCs/>
      <w:sz w:val="22"/>
      <w:lang w:val="x-none" w:eastAsia="ko-KR"/>
    </w:rPr>
  </w:style>
  <w:style w:type="paragraph" w:styleId="Ttulo7">
    <w:name w:val="heading 7"/>
    <w:basedOn w:val="Normal"/>
    <w:next w:val="Normal"/>
    <w:link w:val="Ttulo7Char"/>
    <w:uiPriority w:val="99"/>
    <w:qFormat/>
    <w:rsid w:val="00BB3F94"/>
    <w:pPr>
      <w:tabs>
        <w:tab w:val="num" w:pos="1296"/>
      </w:tabs>
      <w:spacing w:before="240" w:after="60" w:line="360" w:lineRule="auto"/>
      <w:ind w:left="1296" w:hanging="1296"/>
      <w:jc w:val="both"/>
      <w:outlineLvl w:val="6"/>
    </w:pPr>
    <w:rPr>
      <w:rFonts w:eastAsia="Batang" w:cs="Times New Roman"/>
      <w:szCs w:val="24"/>
      <w:lang w:val="x-none" w:eastAsia="ko-KR"/>
    </w:rPr>
  </w:style>
  <w:style w:type="paragraph" w:styleId="Ttulo8">
    <w:name w:val="heading 8"/>
    <w:basedOn w:val="Normal"/>
    <w:next w:val="Normal"/>
    <w:link w:val="Ttulo8Char"/>
    <w:uiPriority w:val="99"/>
    <w:qFormat/>
    <w:rsid w:val="00BB3F94"/>
    <w:pPr>
      <w:tabs>
        <w:tab w:val="num" w:pos="1440"/>
      </w:tabs>
      <w:spacing w:before="240" w:after="60" w:line="360" w:lineRule="auto"/>
      <w:ind w:left="1440" w:hanging="1440"/>
      <w:jc w:val="both"/>
      <w:outlineLvl w:val="7"/>
    </w:pPr>
    <w:rPr>
      <w:rFonts w:eastAsia="Batang" w:cs="Times New Roman"/>
      <w:i/>
      <w:iCs/>
      <w:szCs w:val="24"/>
      <w:lang w:val="x-none" w:eastAsia="ko-KR"/>
    </w:rPr>
  </w:style>
  <w:style w:type="paragraph" w:styleId="Ttulo9">
    <w:name w:val="heading 9"/>
    <w:basedOn w:val="Normal"/>
    <w:next w:val="Normal"/>
    <w:link w:val="Ttulo9Char"/>
    <w:uiPriority w:val="99"/>
    <w:qFormat/>
    <w:rsid w:val="00BB3F94"/>
    <w:pPr>
      <w:tabs>
        <w:tab w:val="num" w:pos="1584"/>
      </w:tabs>
      <w:spacing w:before="240" w:after="60" w:line="360" w:lineRule="auto"/>
      <w:ind w:left="1584" w:hanging="1584"/>
      <w:jc w:val="both"/>
      <w:outlineLvl w:val="8"/>
    </w:pPr>
    <w:rPr>
      <w:rFonts w:ascii="Arial" w:eastAsia="Batang" w:hAnsi="Arial" w:cs="Times New Roman"/>
      <w:sz w:val="22"/>
      <w:lang w:val="x-none" w:eastAsia="ko-K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0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9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B089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D36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36A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36A4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36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36A4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0106A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106A8"/>
    <w:rPr>
      <w:color w:val="808080"/>
      <w:shd w:val="clear" w:color="auto" w:fill="E6E6E6"/>
    </w:rPr>
  </w:style>
  <w:style w:type="paragraph" w:styleId="Reviso">
    <w:name w:val="Revision"/>
    <w:hidden/>
    <w:uiPriority w:val="99"/>
    <w:semiHidden/>
    <w:rsid w:val="00A24B6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translate">
    <w:name w:val="notranslate"/>
    <w:basedOn w:val="Fontepargpadro"/>
    <w:rsid w:val="00FF6CB1"/>
  </w:style>
  <w:style w:type="paragraph" w:styleId="Cabealho">
    <w:name w:val="header"/>
    <w:basedOn w:val="Normal"/>
    <w:link w:val="CabealhoChar"/>
    <w:uiPriority w:val="99"/>
    <w:unhideWhenUsed/>
    <w:rsid w:val="00E936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363D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936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363D"/>
    <w:rPr>
      <w:rFonts w:ascii="Times New Roman" w:hAnsi="Times New Roman"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C123F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1Char">
    <w:name w:val="Título 1 Char"/>
    <w:basedOn w:val="Fontepargpadro"/>
    <w:link w:val="Ttulo1"/>
    <w:rsid w:val="00BB3F94"/>
    <w:rPr>
      <w:rFonts w:ascii="Arial" w:eastAsia="Batang" w:hAnsi="Arial" w:cs="Times New Roman"/>
      <w:b/>
      <w:bCs/>
      <w:caps/>
      <w:kern w:val="32"/>
      <w:sz w:val="28"/>
      <w:szCs w:val="28"/>
      <w:lang w:val="x-none" w:eastAsia="ko-KR"/>
    </w:rPr>
  </w:style>
  <w:style w:type="character" w:customStyle="1" w:styleId="Ttulo2Char">
    <w:name w:val="Título 2 Char"/>
    <w:basedOn w:val="Fontepargpadro"/>
    <w:link w:val="Ttulo2"/>
    <w:rsid w:val="00BB3F94"/>
    <w:rPr>
      <w:rFonts w:ascii="Arial" w:eastAsia="Batang" w:hAnsi="Arial" w:cs="Times New Roman"/>
      <w:bCs/>
      <w:iCs/>
      <w:caps/>
      <w:sz w:val="24"/>
      <w:szCs w:val="24"/>
      <w:lang w:val="x-none" w:eastAsia="ko-KR"/>
    </w:rPr>
  </w:style>
  <w:style w:type="character" w:customStyle="1" w:styleId="Ttulo4Char">
    <w:name w:val="Título 4 Char"/>
    <w:basedOn w:val="Fontepargpadro"/>
    <w:link w:val="Ttulo4"/>
    <w:rsid w:val="00BB3F94"/>
    <w:rPr>
      <w:rFonts w:ascii="Arial" w:eastAsia="Batang" w:hAnsi="Arial" w:cs="Times New Roman"/>
      <w:bCs/>
      <w:sz w:val="24"/>
      <w:szCs w:val="24"/>
      <w:lang w:val="x-none" w:eastAsia="ko-KR"/>
    </w:rPr>
  </w:style>
  <w:style w:type="character" w:customStyle="1" w:styleId="Ttulo5Char">
    <w:name w:val="Título 5 Char"/>
    <w:basedOn w:val="Fontepargpadro"/>
    <w:link w:val="Ttulo5"/>
    <w:rsid w:val="00BB3F94"/>
    <w:rPr>
      <w:rFonts w:ascii="Arial" w:eastAsia="Batang" w:hAnsi="Arial" w:cs="Times New Roman"/>
      <w:b/>
      <w:bCs/>
      <w:i/>
      <w:iCs/>
      <w:sz w:val="26"/>
      <w:szCs w:val="26"/>
      <w:lang w:val="x-none" w:eastAsia="ko-KR"/>
    </w:rPr>
  </w:style>
  <w:style w:type="character" w:customStyle="1" w:styleId="Ttulo6Char">
    <w:name w:val="Título 6 Char"/>
    <w:basedOn w:val="Fontepargpadro"/>
    <w:link w:val="Ttulo6"/>
    <w:rsid w:val="00BB3F94"/>
    <w:rPr>
      <w:rFonts w:ascii="Times New Roman" w:eastAsia="Batang" w:hAnsi="Times New Roman" w:cs="Times New Roman"/>
      <w:b/>
      <w:bCs/>
      <w:lang w:val="x-none" w:eastAsia="ko-KR"/>
    </w:rPr>
  </w:style>
  <w:style w:type="character" w:customStyle="1" w:styleId="Ttulo7Char">
    <w:name w:val="Título 7 Char"/>
    <w:basedOn w:val="Fontepargpadro"/>
    <w:link w:val="Ttulo7"/>
    <w:uiPriority w:val="99"/>
    <w:rsid w:val="00BB3F94"/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customStyle="1" w:styleId="Ttulo8Char">
    <w:name w:val="Título 8 Char"/>
    <w:basedOn w:val="Fontepargpadro"/>
    <w:link w:val="Ttulo8"/>
    <w:uiPriority w:val="99"/>
    <w:rsid w:val="00BB3F94"/>
    <w:rPr>
      <w:rFonts w:ascii="Times New Roman" w:eastAsia="Batang" w:hAnsi="Times New Roman" w:cs="Times New Roman"/>
      <w:i/>
      <w:iCs/>
      <w:sz w:val="24"/>
      <w:szCs w:val="24"/>
      <w:lang w:val="x-none" w:eastAsia="ko-KR"/>
    </w:rPr>
  </w:style>
  <w:style w:type="character" w:customStyle="1" w:styleId="Ttulo9Char">
    <w:name w:val="Título 9 Char"/>
    <w:basedOn w:val="Fontepargpadro"/>
    <w:link w:val="Ttulo9"/>
    <w:uiPriority w:val="99"/>
    <w:rsid w:val="00BB3F94"/>
    <w:rPr>
      <w:rFonts w:ascii="Arial" w:eastAsia="Batang" w:hAnsi="Arial" w:cs="Times New Roman"/>
      <w:lang w:val="x-none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1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6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0036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9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7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1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96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0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estidorpetrobras.com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abriela%20Passos\Documents\Mayla\Artigo%20ENE\C&#243;digos%20e%20Data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216097987751528E-2"/>
          <c:y val="5.0925925925925923E-2"/>
          <c:w val="0.92527962850797496"/>
          <c:h val="0.823734324876057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Planilha1!$N$3</c:f>
              <c:strCache>
                <c:ptCount val="1"/>
                <c:pt idx="0">
                  <c:v>CVM</c:v>
                </c:pt>
              </c:strCache>
            </c:strRef>
          </c:tx>
          <c:spPr>
            <a:solidFill>
              <a:srgbClr val="3333CC"/>
            </a:solidFill>
            <a:ln>
              <a:solidFill>
                <a:srgbClr val="3333CC"/>
              </a:solidFill>
            </a:ln>
            <a:effectLst>
              <a:outerShdw blurRad="50800" dist="38100" dir="10800000" algn="r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7A4-4BCB-AF6E-071C970CBD13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7A4-4BCB-AF6E-071C970CBD1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Planilha1!$O$2:$AB$2</c:f>
              <c:numCache>
                <c:formatCode>General</c:formatCode>
                <c:ptCount val="14"/>
                <c:pt idx="0">
                  <c:v>2018</c:v>
                </c:pt>
                <c:pt idx="1">
                  <c:v>2017</c:v>
                </c:pt>
                <c:pt idx="2">
                  <c:v>2016</c:v>
                </c:pt>
                <c:pt idx="3">
                  <c:v>2015</c:v>
                </c:pt>
                <c:pt idx="4">
                  <c:v>2014</c:v>
                </c:pt>
                <c:pt idx="5">
                  <c:v>2013</c:v>
                </c:pt>
                <c:pt idx="6">
                  <c:v>2012</c:v>
                </c:pt>
                <c:pt idx="7">
                  <c:v>2011</c:v>
                </c:pt>
                <c:pt idx="8">
                  <c:v>2010</c:v>
                </c:pt>
                <c:pt idx="9">
                  <c:v>2009</c:v>
                </c:pt>
                <c:pt idx="10">
                  <c:v>2008</c:v>
                </c:pt>
                <c:pt idx="11">
                  <c:v>2007</c:v>
                </c:pt>
                <c:pt idx="12">
                  <c:v>2006</c:v>
                </c:pt>
                <c:pt idx="13">
                  <c:v>2005</c:v>
                </c:pt>
              </c:numCache>
            </c:numRef>
          </c:cat>
          <c:val>
            <c:numRef>
              <c:f>Planilha1!$O$3:$AB$3</c:f>
              <c:numCache>
                <c:formatCode>General</c:formatCode>
                <c:ptCount val="14"/>
                <c:pt idx="0">
                  <c:v>18</c:v>
                </c:pt>
                <c:pt idx="1">
                  <c:v>9</c:v>
                </c:pt>
                <c:pt idx="2">
                  <c:v>8</c:v>
                </c:pt>
                <c:pt idx="3">
                  <c:v>8</c:v>
                </c:pt>
                <c:pt idx="4">
                  <c:v>3</c:v>
                </c:pt>
                <c:pt idx="5">
                  <c:v>4</c:v>
                </c:pt>
                <c:pt idx="6">
                  <c:v>0</c:v>
                </c:pt>
                <c:pt idx="7">
                  <c:v>0</c:v>
                </c:pt>
                <c:pt idx="8">
                  <c:v>4</c:v>
                </c:pt>
                <c:pt idx="9">
                  <c:v>8</c:v>
                </c:pt>
                <c:pt idx="10">
                  <c:v>11</c:v>
                </c:pt>
                <c:pt idx="11">
                  <c:v>1</c:v>
                </c:pt>
                <c:pt idx="12">
                  <c:v>2</c:v>
                </c:pt>
                <c:pt idx="1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7A4-4BCB-AF6E-071C970CBD13}"/>
            </c:ext>
          </c:extLst>
        </c:ser>
        <c:ser>
          <c:idx val="1"/>
          <c:order val="1"/>
          <c:tx>
            <c:strRef>
              <c:f>Planilha1!$N$4</c:f>
              <c:strCache>
                <c:ptCount val="1"/>
                <c:pt idx="0">
                  <c:v>TCU</c:v>
                </c:pt>
              </c:strCache>
            </c:strRef>
          </c:tx>
          <c:spPr>
            <a:solidFill>
              <a:srgbClr val="009900"/>
            </a:solidFill>
            <a:ln>
              <a:solidFill>
                <a:srgbClr val="009900"/>
              </a:solidFill>
            </a:ln>
            <a:effectLst>
              <a:outerShdw blurRad="50800" dist="38100" dir="10800000" algn="r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1"/>
              <c:layout>
                <c:manualLayout>
                  <c:x val="0"/>
                  <c:y val="4.640371229698375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7A4-4BCB-AF6E-071C970CBD13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7A4-4BCB-AF6E-071C970CBD13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7A4-4BCB-AF6E-071C970CBD13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7A4-4BCB-AF6E-071C970CBD13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7A4-4BCB-AF6E-071C970CBD13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7A4-4BCB-AF6E-071C970CBD13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7A4-4BCB-AF6E-071C970CBD13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7A4-4BCB-AF6E-071C970CBD1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Planilha1!$O$2:$AB$2</c:f>
              <c:numCache>
                <c:formatCode>General</c:formatCode>
                <c:ptCount val="14"/>
                <c:pt idx="0">
                  <c:v>2018</c:v>
                </c:pt>
                <c:pt idx="1">
                  <c:v>2017</c:v>
                </c:pt>
                <c:pt idx="2">
                  <c:v>2016</c:v>
                </c:pt>
                <c:pt idx="3">
                  <c:v>2015</c:v>
                </c:pt>
                <c:pt idx="4">
                  <c:v>2014</c:v>
                </c:pt>
                <c:pt idx="5">
                  <c:v>2013</c:v>
                </c:pt>
                <c:pt idx="6">
                  <c:v>2012</c:v>
                </c:pt>
                <c:pt idx="7">
                  <c:v>2011</c:v>
                </c:pt>
                <c:pt idx="8">
                  <c:v>2010</c:v>
                </c:pt>
                <c:pt idx="9">
                  <c:v>2009</c:v>
                </c:pt>
                <c:pt idx="10">
                  <c:v>2008</c:v>
                </c:pt>
                <c:pt idx="11">
                  <c:v>2007</c:v>
                </c:pt>
                <c:pt idx="12">
                  <c:v>2006</c:v>
                </c:pt>
                <c:pt idx="13">
                  <c:v>2005</c:v>
                </c:pt>
              </c:numCache>
            </c:numRef>
          </c:cat>
          <c:val>
            <c:numRef>
              <c:f>Planilha1!$O$4:$AB$4</c:f>
              <c:numCache>
                <c:formatCode>General</c:formatCode>
                <c:ptCount val="14"/>
                <c:pt idx="0">
                  <c:v>16</c:v>
                </c:pt>
                <c:pt idx="1">
                  <c:v>38</c:v>
                </c:pt>
                <c:pt idx="2">
                  <c:v>7</c:v>
                </c:pt>
                <c:pt idx="3">
                  <c:v>6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57A4-4BCB-AF6E-071C970CBD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77869039"/>
        <c:axId val="1675802687"/>
      </c:barChart>
      <c:catAx>
        <c:axId val="167786903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174000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1675802687"/>
        <c:crosses val="autoZero"/>
        <c:auto val="1"/>
        <c:lblAlgn val="ctr"/>
        <c:lblOffset val="100"/>
        <c:noMultiLvlLbl val="0"/>
      </c:catAx>
      <c:valAx>
        <c:axId val="16758026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16778690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6128221953025119"/>
          <c:y val="9.7800379119276762E-2"/>
          <c:w val="9.6705027256208359E-2"/>
          <c:h val="0.16650080198308545"/>
        </c:manualLayout>
      </c:layout>
      <c:overlay val="0"/>
      <c:spPr>
        <a:solidFill>
          <a:schemeClr val="bg1"/>
        </a:solidFill>
        <a:ln>
          <a:solidFill>
            <a:sysClr val="windowText" lastClr="000000"/>
          </a:solidFill>
        </a:ln>
        <a:effectLst>
          <a:outerShdw blurRad="50800" dist="38100" dir="10800000" algn="r" rotWithShape="0">
            <a:prstClr val="black">
              <a:alpha val="40000"/>
            </a:prstClr>
          </a:outerShdw>
        </a:effectLst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FE091-8088-45F7-B241-73757D7E8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7283</Words>
  <Characters>39333</Characters>
  <DocSecurity>0</DocSecurity>
  <Lines>327</Lines>
  <Paragraphs>93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2018-05-16T15:11:00Z</cp:lastPrinted>
  <dcterms:created xsi:type="dcterms:W3CDTF">2019-07-11T19:56:00Z</dcterms:created>
  <dcterms:modified xsi:type="dcterms:W3CDTF">2019-07-11T19:56:00Z</dcterms:modified>
</cp:coreProperties>
</file>