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B1631" w14:textId="75E0E983" w:rsidR="00356C7B" w:rsidRDefault="00356C7B" w:rsidP="00356C7B">
      <w:pPr>
        <w:spacing w:before="0" w:after="0" w:line="240" w:lineRule="auto"/>
        <w:jc w:val="center"/>
        <w:rPr>
          <w:b/>
          <w:lang w:val="pt-BR"/>
        </w:rPr>
      </w:pPr>
      <w:r>
        <w:rPr>
          <w:b/>
          <w:lang w:val="pt-BR"/>
        </w:rPr>
        <w:t xml:space="preserve">Poder </w:t>
      </w:r>
      <w:r w:rsidR="006B0A3C" w:rsidRPr="006B0A3C">
        <w:rPr>
          <w:b/>
          <w:lang w:val="pt-BR"/>
        </w:rPr>
        <w:t>Explicativo</w:t>
      </w:r>
      <w:r w:rsidRPr="006B0A3C">
        <w:rPr>
          <w:b/>
          <w:lang w:val="pt-BR"/>
        </w:rPr>
        <w:t xml:space="preserve"> </w:t>
      </w:r>
      <w:r>
        <w:rPr>
          <w:b/>
          <w:lang w:val="pt-BR"/>
        </w:rPr>
        <w:t>do</w:t>
      </w:r>
      <w:r w:rsidR="00CD524E">
        <w:rPr>
          <w:b/>
          <w:lang w:val="pt-BR"/>
        </w:rPr>
        <w:t>s</w:t>
      </w:r>
      <w:r>
        <w:rPr>
          <w:b/>
          <w:lang w:val="pt-BR"/>
        </w:rPr>
        <w:t xml:space="preserve"> Múltiplos </w:t>
      </w:r>
      <w:r w:rsidR="00CD524E" w:rsidRPr="00A80A77">
        <w:rPr>
          <w:b/>
          <w:lang w:val="pt-BR"/>
        </w:rPr>
        <w:t xml:space="preserve">Fundamentalistas </w:t>
      </w:r>
      <w:r w:rsidRPr="00A80A77">
        <w:rPr>
          <w:b/>
          <w:lang w:val="pt-BR"/>
        </w:rPr>
        <w:t xml:space="preserve">na Análise </w:t>
      </w:r>
      <w:r w:rsidR="00CD524E" w:rsidRPr="00A80A77">
        <w:rPr>
          <w:b/>
          <w:lang w:val="pt-BR"/>
        </w:rPr>
        <w:t>de Bancos</w:t>
      </w:r>
      <w:r w:rsidRPr="00A80A77">
        <w:rPr>
          <w:b/>
          <w:lang w:val="pt-BR"/>
        </w:rPr>
        <w:t xml:space="preserve"> Brasileiro</w:t>
      </w:r>
      <w:r w:rsidR="00A80A77">
        <w:rPr>
          <w:b/>
          <w:lang w:val="pt-BR"/>
        </w:rPr>
        <w:t>s</w:t>
      </w:r>
    </w:p>
    <w:p w14:paraId="3AAADBF9" w14:textId="3ED0F319" w:rsidR="001B1746" w:rsidRDefault="001B1746" w:rsidP="00356C7B">
      <w:pPr>
        <w:spacing w:before="0" w:after="0" w:line="240" w:lineRule="auto"/>
        <w:jc w:val="center"/>
        <w:rPr>
          <w:b/>
          <w:lang w:val="pt-BR"/>
        </w:rPr>
      </w:pPr>
    </w:p>
    <w:p w14:paraId="105E7EFC" w14:textId="77777777" w:rsidR="007E446E" w:rsidRPr="00F749D3" w:rsidRDefault="007E446E" w:rsidP="007E446E">
      <w:pPr>
        <w:spacing w:before="0" w:after="0" w:line="240" w:lineRule="auto"/>
        <w:jc w:val="center"/>
        <w:rPr>
          <w:b/>
        </w:rPr>
      </w:pPr>
      <w:r w:rsidRPr="00F749D3">
        <w:rPr>
          <w:b/>
        </w:rPr>
        <w:t>Explanatory Power of Fundamentalists Multiples in Brazilian Bank Analysis</w:t>
      </w:r>
    </w:p>
    <w:p w14:paraId="3056A897" w14:textId="77777777" w:rsidR="00AB74B0" w:rsidRPr="00AB74B0" w:rsidRDefault="00AB74B0" w:rsidP="00356C7B">
      <w:pPr>
        <w:spacing w:before="0" w:after="0" w:line="240" w:lineRule="auto"/>
        <w:jc w:val="center"/>
        <w:rPr>
          <w:b/>
        </w:rPr>
      </w:pPr>
    </w:p>
    <w:p w14:paraId="46136372" w14:textId="582B7382" w:rsidR="00356C7B" w:rsidRDefault="001D5BE2" w:rsidP="00A7445A">
      <w:pPr>
        <w:spacing w:before="0" w:after="0" w:line="240" w:lineRule="auto"/>
        <w:jc w:val="center"/>
        <w:rPr>
          <w:b/>
          <w:lang w:val="pt-BR"/>
        </w:rPr>
      </w:pPr>
      <w:r>
        <w:rPr>
          <w:b/>
          <w:lang w:val="pt-BR"/>
        </w:rPr>
        <w:t>Joice Garcia de Oliveira</w:t>
      </w:r>
    </w:p>
    <w:p w14:paraId="4AA1E0F6" w14:textId="4559C024" w:rsidR="001D5BE2" w:rsidRDefault="001D5BE2" w:rsidP="00A7445A">
      <w:pPr>
        <w:spacing w:before="0" w:after="0" w:line="240" w:lineRule="auto"/>
        <w:jc w:val="center"/>
        <w:rPr>
          <w:lang w:val="pt-BR"/>
        </w:rPr>
      </w:pPr>
      <w:r>
        <w:rPr>
          <w:lang w:val="pt-BR"/>
        </w:rPr>
        <w:t xml:space="preserve">Mestre em Controladoria e Contabilidade pela Universidade Federal de Minas Gerais </w:t>
      </w:r>
    </w:p>
    <w:p w14:paraId="1CE8CD64" w14:textId="6A04DABE" w:rsidR="00DB325B" w:rsidRDefault="001D5BE2" w:rsidP="00A7445A">
      <w:pPr>
        <w:spacing w:before="0" w:after="0" w:line="240" w:lineRule="auto"/>
        <w:jc w:val="center"/>
        <w:rPr>
          <w:lang w:val="pt-BR"/>
        </w:rPr>
      </w:pPr>
      <w:r>
        <w:rPr>
          <w:lang w:val="pt-BR"/>
        </w:rPr>
        <w:t>Doutoranda em Controladoria e Contabilidade pela Universidade Federal de Minas Gerais</w:t>
      </w:r>
    </w:p>
    <w:p w14:paraId="5748A1A2" w14:textId="0089E5C5" w:rsidR="001D5BE2" w:rsidRDefault="001D5BE2" w:rsidP="00A7445A">
      <w:pPr>
        <w:spacing w:before="0" w:after="0" w:line="240" w:lineRule="auto"/>
        <w:jc w:val="center"/>
        <w:rPr>
          <w:lang w:val="pt-BR"/>
        </w:rPr>
      </w:pPr>
      <w:r w:rsidRPr="001D5BE2">
        <w:rPr>
          <w:lang w:val="pt-BR"/>
        </w:rPr>
        <w:t>Av. Presidente Antônio Carlos, nº 6627, Pampulha – Belo Horizonte/MG. Faculdade de Ciências Econômicas</w:t>
      </w:r>
      <w:r>
        <w:rPr>
          <w:lang w:val="pt-BR"/>
        </w:rPr>
        <w:t>.</w:t>
      </w:r>
    </w:p>
    <w:p w14:paraId="585EA42B" w14:textId="642EC107" w:rsidR="001D5BE2" w:rsidRPr="001D5BE2" w:rsidRDefault="001D5BE2" w:rsidP="00A7445A">
      <w:pPr>
        <w:spacing w:before="0" w:after="0" w:line="240" w:lineRule="auto"/>
        <w:jc w:val="center"/>
        <w:rPr>
          <w:lang w:val="pt-BR"/>
        </w:rPr>
      </w:pPr>
      <w:r>
        <w:rPr>
          <w:lang w:val="pt-BR"/>
        </w:rPr>
        <w:t>joicegarciacco@gmail.com</w:t>
      </w:r>
    </w:p>
    <w:p w14:paraId="7915D611" w14:textId="77777777" w:rsidR="00DB325B" w:rsidRDefault="00DB325B" w:rsidP="00A7445A">
      <w:pPr>
        <w:spacing w:before="0" w:after="0" w:line="240" w:lineRule="auto"/>
        <w:jc w:val="center"/>
        <w:rPr>
          <w:i/>
          <w:lang w:val="pt-BR"/>
        </w:rPr>
      </w:pPr>
    </w:p>
    <w:p w14:paraId="22F3306A" w14:textId="3318554F" w:rsidR="0080143A" w:rsidRDefault="001D5BE2" w:rsidP="00A7445A">
      <w:pPr>
        <w:spacing w:before="0" w:after="0" w:line="240" w:lineRule="auto"/>
        <w:jc w:val="center"/>
        <w:rPr>
          <w:b/>
          <w:lang w:val="pt-BR"/>
        </w:rPr>
      </w:pPr>
      <w:r w:rsidRPr="008D6473">
        <w:rPr>
          <w:b/>
          <w:lang w:val="pt-BR"/>
        </w:rPr>
        <w:t>Juliano Lima Pinheiro</w:t>
      </w:r>
    </w:p>
    <w:p w14:paraId="0C4C8F85" w14:textId="2C1C871C" w:rsidR="001D5BE2" w:rsidRDefault="001D5BE2" w:rsidP="00A7445A">
      <w:pPr>
        <w:spacing w:before="0" w:after="0" w:line="240" w:lineRule="auto"/>
        <w:jc w:val="center"/>
        <w:rPr>
          <w:lang w:val="pt-BR"/>
        </w:rPr>
      </w:pPr>
      <w:r w:rsidRPr="001D5BE2">
        <w:rPr>
          <w:lang w:val="pt-BR"/>
        </w:rPr>
        <w:t xml:space="preserve">Doutor em Contabilidade e Finanças pela </w:t>
      </w:r>
      <w:proofErr w:type="spellStart"/>
      <w:r w:rsidRPr="001D5BE2">
        <w:rPr>
          <w:lang w:val="pt-BR"/>
        </w:rPr>
        <w:t>Universidad</w:t>
      </w:r>
      <w:proofErr w:type="spellEnd"/>
      <w:r w:rsidRPr="001D5BE2">
        <w:rPr>
          <w:lang w:val="pt-BR"/>
        </w:rPr>
        <w:t xml:space="preserve"> de Zaragoza</w:t>
      </w:r>
    </w:p>
    <w:p w14:paraId="179B54C9" w14:textId="43F3D441" w:rsidR="00DB325B" w:rsidRDefault="001D5BE2" w:rsidP="00A7445A">
      <w:pPr>
        <w:spacing w:before="0" w:after="0" w:line="240" w:lineRule="auto"/>
        <w:jc w:val="center"/>
        <w:rPr>
          <w:lang w:val="pt-BR"/>
        </w:rPr>
      </w:pPr>
      <w:r>
        <w:rPr>
          <w:lang w:val="pt-BR"/>
        </w:rPr>
        <w:t>Professor Adjunto do Departamento de Ciências Contábeis da Universidade Federal de Minas Gerais</w:t>
      </w:r>
    </w:p>
    <w:p w14:paraId="5792B8B9" w14:textId="1F1DB283" w:rsidR="001D5BE2" w:rsidRDefault="001D5BE2" w:rsidP="001D5BE2">
      <w:pPr>
        <w:spacing w:before="0" w:after="0" w:line="240" w:lineRule="auto"/>
        <w:jc w:val="center"/>
        <w:rPr>
          <w:lang w:val="pt-BR"/>
        </w:rPr>
      </w:pPr>
      <w:r w:rsidRPr="001D5BE2">
        <w:rPr>
          <w:lang w:val="pt-BR"/>
        </w:rPr>
        <w:t>Av. Presidente Antônio Carlos, nº 6627, Pampulha – Belo Horizonte/MG. Faculdade de Ciências Econômicas</w:t>
      </w:r>
      <w:r w:rsidR="005618FE">
        <w:rPr>
          <w:lang w:val="pt-BR"/>
        </w:rPr>
        <w:t>.</w:t>
      </w:r>
    </w:p>
    <w:p w14:paraId="4E90D7B4" w14:textId="5135C63F" w:rsidR="001D5BE2" w:rsidRDefault="001D5BE2" w:rsidP="001D5BE2">
      <w:pPr>
        <w:spacing w:before="0" w:after="0" w:line="240" w:lineRule="auto"/>
        <w:jc w:val="center"/>
        <w:rPr>
          <w:lang w:val="pt-BR"/>
        </w:rPr>
      </w:pPr>
      <w:r>
        <w:rPr>
          <w:lang w:val="pt-BR"/>
        </w:rPr>
        <w:t>jlp@gold.com.br</w:t>
      </w:r>
    </w:p>
    <w:p w14:paraId="53EBD143" w14:textId="77777777" w:rsidR="001D5BE2" w:rsidRDefault="001D5BE2" w:rsidP="00A7445A">
      <w:pPr>
        <w:spacing w:before="0" w:after="0" w:line="240" w:lineRule="auto"/>
        <w:jc w:val="center"/>
        <w:rPr>
          <w:i/>
          <w:lang w:val="pt-BR"/>
        </w:rPr>
      </w:pPr>
    </w:p>
    <w:p w14:paraId="689439EC" w14:textId="71C0D369" w:rsidR="0080143A" w:rsidRPr="008D6473" w:rsidRDefault="001D5BE2" w:rsidP="00A7445A">
      <w:pPr>
        <w:spacing w:before="0" w:after="0" w:line="240" w:lineRule="auto"/>
        <w:jc w:val="center"/>
        <w:rPr>
          <w:rFonts w:cs="Times New Roman"/>
          <w:szCs w:val="24"/>
          <w:lang w:val="pt-BR"/>
        </w:rPr>
      </w:pPr>
      <w:r w:rsidRPr="008D6473">
        <w:rPr>
          <w:rStyle w:val="Forte"/>
          <w:rFonts w:cs="Times New Roman"/>
          <w:color w:val="333333"/>
          <w:szCs w:val="24"/>
          <w:shd w:val="clear" w:color="auto" w:fill="FFFFFF"/>
          <w:lang w:val="pt-BR"/>
        </w:rPr>
        <w:t xml:space="preserve">Laura Edith </w:t>
      </w:r>
      <w:proofErr w:type="spellStart"/>
      <w:r w:rsidRPr="008D6473">
        <w:rPr>
          <w:rStyle w:val="Forte"/>
          <w:rFonts w:cs="Times New Roman"/>
          <w:color w:val="333333"/>
          <w:szCs w:val="24"/>
          <w:shd w:val="clear" w:color="auto" w:fill="FFFFFF"/>
          <w:lang w:val="pt-BR"/>
        </w:rPr>
        <w:t>Taboada</w:t>
      </w:r>
      <w:proofErr w:type="spellEnd"/>
      <w:r w:rsidRPr="008D6473">
        <w:rPr>
          <w:rStyle w:val="Forte"/>
          <w:rFonts w:cs="Times New Roman"/>
          <w:color w:val="333333"/>
          <w:szCs w:val="24"/>
          <w:shd w:val="clear" w:color="auto" w:fill="FFFFFF"/>
          <w:lang w:val="pt-BR"/>
        </w:rPr>
        <w:t xml:space="preserve"> Pinheiro</w:t>
      </w:r>
    </w:p>
    <w:p w14:paraId="1B8B65B9" w14:textId="49E06C06" w:rsidR="001D5BE2" w:rsidRDefault="001D5BE2" w:rsidP="001D5BE2">
      <w:pPr>
        <w:spacing w:before="0" w:after="0" w:line="240" w:lineRule="auto"/>
        <w:jc w:val="center"/>
        <w:rPr>
          <w:lang w:val="pt-BR"/>
        </w:rPr>
      </w:pPr>
      <w:r w:rsidRPr="001D5BE2">
        <w:rPr>
          <w:lang w:val="pt-BR"/>
        </w:rPr>
        <w:t>Doutor</w:t>
      </w:r>
      <w:r>
        <w:rPr>
          <w:lang w:val="pt-BR"/>
        </w:rPr>
        <w:t>a</w:t>
      </w:r>
      <w:r w:rsidRPr="001D5BE2">
        <w:rPr>
          <w:lang w:val="pt-BR"/>
        </w:rPr>
        <w:t xml:space="preserve"> em Contabilidade e Finanças pela </w:t>
      </w:r>
      <w:proofErr w:type="spellStart"/>
      <w:r w:rsidRPr="001D5BE2">
        <w:rPr>
          <w:lang w:val="pt-BR"/>
        </w:rPr>
        <w:t>Universidad</w:t>
      </w:r>
      <w:proofErr w:type="spellEnd"/>
      <w:r w:rsidRPr="001D5BE2">
        <w:rPr>
          <w:lang w:val="pt-BR"/>
        </w:rPr>
        <w:t xml:space="preserve"> de Zaragoza</w:t>
      </w:r>
    </w:p>
    <w:p w14:paraId="4DCA30A4" w14:textId="21260026" w:rsidR="001D5BE2" w:rsidRDefault="001D5BE2" w:rsidP="001D5BE2">
      <w:pPr>
        <w:spacing w:before="0" w:after="0" w:line="240" w:lineRule="auto"/>
        <w:jc w:val="center"/>
        <w:rPr>
          <w:lang w:val="pt-BR"/>
        </w:rPr>
      </w:pPr>
      <w:r>
        <w:rPr>
          <w:lang w:val="pt-BR"/>
        </w:rPr>
        <w:t>Professora Associada do Departamento de Ciências Contábeis da Universidade Federal de Minas Gerais</w:t>
      </w:r>
    </w:p>
    <w:p w14:paraId="60B8D386" w14:textId="02F0E7AF" w:rsidR="001D5BE2" w:rsidRDefault="001D5BE2" w:rsidP="001D5BE2">
      <w:pPr>
        <w:spacing w:before="0" w:after="0" w:line="240" w:lineRule="auto"/>
        <w:jc w:val="center"/>
        <w:rPr>
          <w:lang w:val="pt-BR"/>
        </w:rPr>
      </w:pPr>
      <w:r w:rsidRPr="001D5BE2">
        <w:rPr>
          <w:lang w:val="pt-BR"/>
        </w:rPr>
        <w:t>Av. Presidente Antônio Carlos, nº 6627, Pampulha – Belo Horizonte/MG. Faculdade de Ciências Econômicas</w:t>
      </w:r>
    </w:p>
    <w:p w14:paraId="36743C14" w14:textId="7961FAFC" w:rsidR="00DB325B" w:rsidRPr="00A37434" w:rsidRDefault="00A37434" w:rsidP="00A7445A">
      <w:pPr>
        <w:spacing w:before="0" w:after="0" w:line="240" w:lineRule="auto"/>
        <w:jc w:val="center"/>
        <w:rPr>
          <w:lang w:val="pt-BR"/>
        </w:rPr>
      </w:pPr>
      <w:r>
        <w:rPr>
          <w:lang w:val="pt-BR"/>
        </w:rPr>
        <w:t>ltaboada@face.ufmg.br</w:t>
      </w:r>
    </w:p>
    <w:p w14:paraId="16E409DA" w14:textId="77777777" w:rsidR="00A37434" w:rsidRDefault="00A37434" w:rsidP="00A7445A">
      <w:pPr>
        <w:spacing w:before="0" w:after="0" w:line="240" w:lineRule="auto"/>
        <w:jc w:val="center"/>
        <w:rPr>
          <w:i/>
          <w:lang w:val="pt-BR"/>
        </w:rPr>
      </w:pPr>
    </w:p>
    <w:p w14:paraId="4648947E" w14:textId="54842158" w:rsidR="000A4173" w:rsidRPr="003F3A94" w:rsidRDefault="00836E44" w:rsidP="00A7445A">
      <w:pPr>
        <w:spacing w:before="0" w:after="0" w:line="240" w:lineRule="auto"/>
        <w:jc w:val="center"/>
        <w:rPr>
          <w:b/>
          <w:lang w:val="pt-BR"/>
        </w:rPr>
      </w:pPr>
      <w:r w:rsidRPr="003F3A94">
        <w:rPr>
          <w:b/>
          <w:lang w:val="pt-BR"/>
        </w:rPr>
        <w:t>Evandro Alves Machado Júnior</w:t>
      </w:r>
    </w:p>
    <w:p w14:paraId="76E7F435" w14:textId="77777777" w:rsidR="007E446E" w:rsidRPr="00AA7A6F" w:rsidRDefault="007E446E" w:rsidP="007E446E">
      <w:pPr>
        <w:spacing w:before="0" w:after="0" w:line="240" w:lineRule="auto"/>
        <w:jc w:val="center"/>
        <w:rPr>
          <w:lang w:val="pt-BR"/>
        </w:rPr>
      </w:pPr>
      <w:r w:rsidRPr="002E74E6">
        <w:rPr>
          <w:lang w:val="pt-BR"/>
        </w:rPr>
        <w:t xml:space="preserve">Graduado em Ciências Contábeis </w:t>
      </w:r>
      <w:r w:rsidRPr="00AA7A6F">
        <w:rPr>
          <w:lang w:val="pt-BR"/>
        </w:rPr>
        <w:t>pela Universidade Federal de Minas Gerais</w:t>
      </w:r>
    </w:p>
    <w:p w14:paraId="0795B424" w14:textId="7647F546" w:rsidR="00FB77EF" w:rsidRDefault="00FB77EF" w:rsidP="00FB77EF">
      <w:pPr>
        <w:spacing w:before="0" w:after="0" w:line="240" w:lineRule="auto"/>
        <w:jc w:val="center"/>
        <w:rPr>
          <w:lang w:val="pt-BR"/>
        </w:rPr>
      </w:pPr>
      <w:r w:rsidRPr="001D5BE2">
        <w:rPr>
          <w:lang w:val="pt-BR"/>
        </w:rPr>
        <w:t>Av. Presidente Antônio Carlos, nº 6627, Pampulha – Belo Horizonte/MG. Faculdade de Ciências Econômicas</w:t>
      </w:r>
      <w:r>
        <w:rPr>
          <w:lang w:val="pt-BR"/>
        </w:rPr>
        <w:t>.</w:t>
      </w:r>
    </w:p>
    <w:p w14:paraId="210C1DDE" w14:textId="77777777" w:rsidR="007E446E" w:rsidRDefault="007E446E" w:rsidP="007E446E">
      <w:pPr>
        <w:spacing w:before="0" w:after="0" w:line="240" w:lineRule="auto"/>
        <w:jc w:val="center"/>
        <w:rPr>
          <w:i/>
          <w:lang w:val="pt-BR"/>
        </w:rPr>
      </w:pPr>
      <w:r w:rsidRPr="00AF731C">
        <w:rPr>
          <w:lang w:val="pt-BR"/>
        </w:rPr>
        <w:t>evandroamachado@gmail.com</w:t>
      </w:r>
    </w:p>
    <w:p w14:paraId="01EE225F" w14:textId="77777777" w:rsidR="000A4173" w:rsidRDefault="000A4173" w:rsidP="008D6473">
      <w:pPr>
        <w:spacing w:before="0" w:after="0" w:line="240" w:lineRule="auto"/>
        <w:jc w:val="right"/>
        <w:rPr>
          <w:i/>
          <w:lang w:val="pt-BR"/>
        </w:rPr>
      </w:pPr>
    </w:p>
    <w:p w14:paraId="17FCA615" w14:textId="77777777" w:rsidR="00356C7B" w:rsidRPr="00E029A5" w:rsidRDefault="00356C7B" w:rsidP="00356C7B">
      <w:pPr>
        <w:spacing w:before="0" w:after="0" w:line="240" w:lineRule="auto"/>
        <w:jc w:val="right"/>
        <w:rPr>
          <w:i/>
          <w:lang w:val="pt-BR"/>
        </w:rPr>
      </w:pPr>
    </w:p>
    <w:p w14:paraId="0087BD19" w14:textId="77777777" w:rsidR="00BB7827" w:rsidRDefault="00BB7827" w:rsidP="00356C7B">
      <w:pPr>
        <w:pStyle w:val="Ttulo2"/>
        <w:spacing w:before="0" w:line="240" w:lineRule="auto"/>
        <w:rPr>
          <w:rFonts w:cs="Times New Roman"/>
          <w:szCs w:val="24"/>
          <w:lang w:val="pt-BR"/>
        </w:rPr>
      </w:pPr>
      <w:r>
        <w:rPr>
          <w:rFonts w:cs="Times New Roman"/>
          <w:szCs w:val="24"/>
          <w:lang w:val="pt-BR"/>
        </w:rPr>
        <w:t>Resumo</w:t>
      </w:r>
    </w:p>
    <w:p w14:paraId="21620391" w14:textId="036AA682" w:rsidR="004A1514" w:rsidRPr="006D0B1F" w:rsidRDefault="00D74689" w:rsidP="00D74689">
      <w:pPr>
        <w:pStyle w:val="SemEspaamento"/>
        <w:ind w:firstLine="0"/>
        <w:rPr>
          <w:rFonts w:eastAsia="Times New Roman" w:cs="Times New Roman"/>
          <w:szCs w:val="24"/>
          <w:lang w:val="pt-BR" w:eastAsia="pt-BR" w:bidi="ar-SA"/>
        </w:rPr>
      </w:pPr>
      <w:r>
        <w:rPr>
          <w:rFonts w:cs="Times New Roman"/>
          <w:szCs w:val="24"/>
          <w:lang w:val="pt-BR"/>
        </w:rPr>
        <w:t xml:space="preserve">A determinação do </w:t>
      </w:r>
      <w:proofErr w:type="spellStart"/>
      <w:r w:rsidRPr="00D74689">
        <w:rPr>
          <w:rFonts w:cs="Times New Roman"/>
          <w:i/>
          <w:szCs w:val="24"/>
          <w:lang w:val="pt-BR"/>
        </w:rPr>
        <w:t>valuation</w:t>
      </w:r>
      <w:proofErr w:type="spellEnd"/>
      <w:r>
        <w:rPr>
          <w:rFonts w:cs="Times New Roman"/>
          <w:szCs w:val="24"/>
          <w:lang w:val="pt-BR"/>
        </w:rPr>
        <w:t xml:space="preserve"> de uma firma</w:t>
      </w:r>
      <w:r w:rsidR="00C16539">
        <w:rPr>
          <w:rFonts w:cs="Times New Roman"/>
          <w:szCs w:val="24"/>
          <w:lang w:val="pt-BR"/>
        </w:rPr>
        <w:t xml:space="preserve"> é essencial para a tomada de decisão d</w:t>
      </w:r>
      <w:r w:rsidR="005762BE">
        <w:rPr>
          <w:rFonts w:cs="Times New Roman"/>
          <w:szCs w:val="24"/>
          <w:lang w:val="pt-BR"/>
        </w:rPr>
        <w:t>os gestores e dos investidores. Tendo em vista que o modelo de múltiplos fundamentalistas é uma das principais técnicas utilizadas pelos analistas, o</w:t>
      </w:r>
      <w:r w:rsidR="00366640" w:rsidRPr="006D0B1F">
        <w:rPr>
          <w:rFonts w:cs="Times New Roman"/>
          <w:szCs w:val="24"/>
          <w:lang w:val="pt-BR"/>
        </w:rPr>
        <w:t xml:space="preserve"> estudo teve como objetivo </w:t>
      </w:r>
      <w:r w:rsidR="00366640" w:rsidRPr="006D0B1F">
        <w:rPr>
          <w:rFonts w:eastAsia="Times New Roman" w:cs="Times New Roman"/>
          <w:szCs w:val="24"/>
          <w:lang w:val="pt-BR" w:eastAsia="pt-BR" w:bidi="ar-SA"/>
        </w:rPr>
        <w:t xml:space="preserve">identificar o poder </w:t>
      </w:r>
      <w:r w:rsidR="00366640" w:rsidRPr="006D0B1F">
        <w:rPr>
          <w:lang w:val="pt-BR"/>
        </w:rPr>
        <w:t>explicativo</w:t>
      </w:r>
      <w:r w:rsidR="00366640" w:rsidRPr="006D0B1F">
        <w:rPr>
          <w:rFonts w:eastAsia="Times New Roman" w:cs="Times New Roman"/>
          <w:szCs w:val="24"/>
          <w:lang w:val="pt-BR" w:eastAsia="pt-BR" w:bidi="ar-SA"/>
        </w:rPr>
        <w:t xml:space="preserve"> dos múltiplos </w:t>
      </w:r>
      <w:r w:rsidR="00FB77EF">
        <w:rPr>
          <w:rFonts w:eastAsia="Times New Roman" w:cs="Times New Roman"/>
          <w:szCs w:val="24"/>
          <w:lang w:val="pt-BR" w:eastAsia="pt-BR" w:bidi="ar-SA"/>
        </w:rPr>
        <w:t xml:space="preserve">fundamentalistas </w:t>
      </w:r>
      <w:r w:rsidR="00366640" w:rsidRPr="006D0B1F">
        <w:rPr>
          <w:rFonts w:eastAsia="Times New Roman" w:cs="Times New Roman"/>
          <w:szCs w:val="24"/>
          <w:lang w:val="pt-BR" w:eastAsia="pt-BR" w:bidi="ar-SA"/>
        </w:rPr>
        <w:t>na avaliação de instituições bancárias brasileiras</w:t>
      </w:r>
      <w:r w:rsidR="004A1514" w:rsidRPr="006D0B1F">
        <w:rPr>
          <w:rFonts w:eastAsia="Times New Roman" w:cs="Times New Roman"/>
          <w:szCs w:val="24"/>
          <w:lang w:val="pt-BR" w:eastAsia="pt-BR" w:bidi="ar-SA"/>
        </w:rPr>
        <w:t xml:space="preserve">. </w:t>
      </w:r>
      <w:r w:rsidR="006D0B1F" w:rsidRPr="006D0B1F">
        <w:rPr>
          <w:rFonts w:eastAsia="Times New Roman" w:cs="Times New Roman"/>
          <w:szCs w:val="24"/>
          <w:lang w:val="pt-BR" w:eastAsia="pt-BR" w:bidi="ar-SA"/>
        </w:rPr>
        <w:t>Além disso, buscou-se indicar os fatores que influenciam os resultados estimados pelos múltiplos.</w:t>
      </w:r>
      <w:r w:rsidR="005762BE">
        <w:rPr>
          <w:rFonts w:eastAsia="Times New Roman" w:cs="Times New Roman"/>
          <w:szCs w:val="24"/>
          <w:lang w:val="pt-BR" w:eastAsia="pt-BR" w:bidi="ar-SA"/>
        </w:rPr>
        <w:t xml:space="preserve"> </w:t>
      </w:r>
      <w:r w:rsidR="005762BE" w:rsidRPr="006D0B1F">
        <w:rPr>
          <w:rFonts w:eastAsia="Times New Roman" w:cs="Times New Roman"/>
          <w:szCs w:val="24"/>
          <w:lang w:val="pt-BR" w:eastAsia="pt-BR" w:bidi="ar-SA"/>
        </w:rPr>
        <w:t>Os múltiplos fundamentalistas analisados foram o preço-lucro (P/L), preço-valor contábil (P/B) e preço-lucro operacional (P/LO)</w:t>
      </w:r>
      <w:r w:rsidR="005762BE">
        <w:rPr>
          <w:rFonts w:eastAsia="Times New Roman" w:cs="Times New Roman"/>
          <w:szCs w:val="24"/>
          <w:lang w:val="pt-BR" w:eastAsia="pt-BR" w:bidi="ar-SA"/>
        </w:rPr>
        <w:t xml:space="preserve"> e a</w:t>
      </w:r>
      <w:r w:rsidR="004A1514" w:rsidRPr="006D0B1F">
        <w:rPr>
          <w:rFonts w:eastAsia="Times New Roman" w:cs="Times New Roman"/>
          <w:szCs w:val="24"/>
          <w:lang w:val="pt-BR" w:eastAsia="pt-BR" w:bidi="ar-SA"/>
        </w:rPr>
        <w:t xml:space="preserve"> amostra foi formada pelos bancos brasileiros com capital aberto </w:t>
      </w:r>
      <w:r w:rsidR="005762BE">
        <w:rPr>
          <w:rFonts w:eastAsia="Times New Roman" w:cs="Times New Roman"/>
          <w:szCs w:val="24"/>
          <w:lang w:val="pt-BR" w:eastAsia="pt-BR" w:bidi="ar-SA"/>
        </w:rPr>
        <w:t>com dados</w:t>
      </w:r>
      <w:r w:rsidR="004A1514" w:rsidRPr="006D0B1F">
        <w:rPr>
          <w:rFonts w:eastAsia="Times New Roman" w:cs="Times New Roman"/>
          <w:szCs w:val="24"/>
          <w:lang w:val="pt-BR" w:eastAsia="pt-BR" w:bidi="ar-SA"/>
        </w:rPr>
        <w:t xml:space="preserve"> trimestrais abrangendo o primeiro trimestre de 2016 até o primeiro trimestre de 2019. </w:t>
      </w:r>
      <w:r w:rsidR="00FB77EF">
        <w:rPr>
          <w:rFonts w:eastAsia="Times New Roman" w:cs="Times New Roman"/>
          <w:szCs w:val="24"/>
          <w:lang w:val="pt-BR" w:eastAsia="pt-BR" w:bidi="ar-SA"/>
        </w:rPr>
        <w:t xml:space="preserve">Para avaliar o múltiplo com melhor poder preditivo foi considerado o Erro Percentual Absoluto Médio (MAPE) e para identificar os determinantes dos múltiplos realizou-se regressão múltipla com dados em painel considerando como possíveis fatores a rentabilidade sobre o patrimônio líquido, o tamanho da empresa, seu crescimento e o controle de </w:t>
      </w:r>
      <w:r w:rsidR="00D338BB">
        <w:rPr>
          <w:rFonts w:eastAsia="Times New Roman" w:cs="Times New Roman"/>
          <w:szCs w:val="24"/>
          <w:lang w:val="pt-BR" w:eastAsia="pt-BR" w:bidi="ar-SA"/>
        </w:rPr>
        <w:t>propriedade.</w:t>
      </w:r>
      <w:r w:rsidR="00FB77EF">
        <w:rPr>
          <w:rFonts w:eastAsia="Times New Roman" w:cs="Times New Roman"/>
          <w:szCs w:val="24"/>
          <w:lang w:val="pt-BR" w:eastAsia="pt-BR" w:bidi="ar-SA"/>
        </w:rPr>
        <w:t xml:space="preserve"> </w:t>
      </w:r>
      <w:r w:rsidR="004A1514" w:rsidRPr="006D0B1F">
        <w:rPr>
          <w:rFonts w:eastAsia="Times New Roman" w:cs="Times New Roman"/>
          <w:szCs w:val="24"/>
          <w:lang w:val="pt-BR" w:eastAsia="pt-BR" w:bidi="ar-SA"/>
        </w:rPr>
        <w:t xml:space="preserve">Os resultados indicaram que o múltiplo P/L tem melhor poder preditivo sobre o valor dos bancos brasileiros. Esse resultado pode ser explicado pela natureza das operações dos bancos, já que estes detêm maior volume de ativos e passivos financeiros, </w:t>
      </w:r>
      <w:r w:rsidR="004A1514" w:rsidRPr="006D0B1F">
        <w:rPr>
          <w:rFonts w:eastAsia="Times New Roman" w:cs="Times New Roman"/>
          <w:szCs w:val="24"/>
          <w:lang w:val="pt-BR" w:eastAsia="pt-BR" w:bidi="ar-SA"/>
        </w:rPr>
        <w:lastRenderedPageBreak/>
        <w:t>enquanto que as empresas, em geral, dispõem de alta imobilização dos ativos</w:t>
      </w:r>
      <w:r w:rsidR="006E2F46">
        <w:rPr>
          <w:rFonts w:eastAsia="Times New Roman" w:cs="Times New Roman"/>
          <w:szCs w:val="24"/>
          <w:lang w:val="pt-BR" w:eastAsia="pt-BR" w:bidi="ar-SA"/>
        </w:rPr>
        <w:t xml:space="preserve"> e depreciação</w:t>
      </w:r>
      <w:r w:rsidR="004A1514" w:rsidRPr="006D0B1F">
        <w:rPr>
          <w:rFonts w:eastAsia="Times New Roman" w:cs="Times New Roman"/>
          <w:szCs w:val="24"/>
          <w:lang w:val="pt-BR" w:eastAsia="pt-BR" w:bidi="ar-SA"/>
        </w:rPr>
        <w:t xml:space="preserve">. </w:t>
      </w:r>
      <w:r w:rsidR="006E2F46">
        <w:rPr>
          <w:rFonts w:eastAsia="Times New Roman" w:cs="Times New Roman"/>
          <w:szCs w:val="24"/>
          <w:lang w:val="pt-BR" w:eastAsia="pt-BR" w:bidi="ar-SA"/>
        </w:rPr>
        <w:t>Sobre os determinantes dos múltiplos, houve divergência entre as variáveis significativas para cada múltiplo</w:t>
      </w:r>
      <w:r w:rsidR="00D338BB">
        <w:rPr>
          <w:rFonts w:eastAsia="Times New Roman" w:cs="Times New Roman"/>
          <w:szCs w:val="24"/>
          <w:lang w:val="pt-BR" w:eastAsia="pt-BR" w:bidi="ar-SA"/>
        </w:rPr>
        <w:t xml:space="preserve">, </w:t>
      </w:r>
      <w:r w:rsidR="00D338BB" w:rsidRPr="00D338BB">
        <w:rPr>
          <w:rFonts w:eastAsia="Times New Roman" w:cs="Times New Roman"/>
          <w:szCs w:val="24"/>
          <w:lang w:val="pt-BR" w:eastAsia="pt-BR" w:bidi="ar-SA"/>
        </w:rPr>
        <w:t xml:space="preserve">sendo o controle de propriedade o único fator significante para os três múltiplos. Entretanto, para o P/L e o P/LO o coeficiente foi positivo, enquanto que para o P/B </w:t>
      </w:r>
      <w:r w:rsidR="00D338BB">
        <w:rPr>
          <w:rFonts w:eastAsia="Times New Roman" w:cs="Times New Roman"/>
          <w:szCs w:val="24"/>
          <w:lang w:val="pt-BR" w:eastAsia="pt-BR" w:bidi="ar-SA"/>
        </w:rPr>
        <w:t>a relação</w:t>
      </w:r>
      <w:r w:rsidR="00D338BB" w:rsidRPr="00D338BB">
        <w:rPr>
          <w:rFonts w:eastAsia="Times New Roman" w:cs="Times New Roman"/>
          <w:szCs w:val="24"/>
          <w:lang w:val="pt-BR" w:eastAsia="pt-BR" w:bidi="ar-SA"/>
        </w:rPr>
        <w:t xml:space="preserve"> foi negativ</w:t>
      </w:r>
      <w:r w:rsidR="00D338BB">
        <w:rPr>
          <w:rFonts w:eastAsia="Times New Roman" w:cs="Times New Roman"/>
          <w:szCs w:val="24"/>
          <w:lang w:val="pt-BR" w:eastAsia="pt-BR" w:bidi="ar-SA"/>
        </w:rPr>
        <w:t>a</w:t>
      </w:r>
      <w:r w:rsidR="00D338BB" w:rsidRPr="00D338BB">
        <w:rPr>
          <w:rFonts w:eastAsia="Times New Roman" w:cs="Times New Roman"/>
          <w:szCs w:val="24"/>
          <w:lang w:val="pt-BR" w:eastAsia="pt-BR" w:bidi="ar-SA"/>
        </w:rPr>
        <w:t>. Além do controle de propriedade, o risco do negócio foi positivamente significativo para o P/L e a rentabilidade sobre o patrimônio líquido e o tamanho do banco apresentaram significância positiva sobre o P/B.</w:t>
      </w:r>
    </w:p>
    <w:p w14:paraId="45BFA7C5" w14:textId="77777777" w:rsidR="00256978" w:rsidRDefault="00256978" w:rsidP="00356C7B">
      <w:pPr>
        <w:pStyle w:val="Ttulo2"/>
        <w:spacing w:before="0" w:line="240" w:lineRule="auto"/>
        <w:rPr>
          <w:rFonts w:cs="Times New Roman"/>
          <w:szCs w:val="24"/>
          <w:lang w:val="pt-BR"/>
        </w:rPr>
      </w:pPr>
    </w:p>
    <w:p w14:paraId="497F5375" w14:textId="6763333B" w:rsidR="00BB7827" w:rsidRDefault="00BB7827" w:rsidP="00356C7B">
      <w:pPr>
        <w:pStyle w:val="Ttulo2"/>
        <w:spacing w:before="0" w:line="240" w:lineRule="auto"/>
        <w:rPr>
          <w:rFonts w:cs="Times New Roman"/>
          <w:szCs w:val="24"/>
          <w:lang w:val="pt-BR"/>
        </w:rPr>
      </w:pPr>
      <w:r>
        <w:rPr>
          <w:rFonts w:cs="Times New Roman"/>
          <w:szCs w:val="24"/>
          <w:lang w:val="pt-BR"/>
        </w:rPr>
        <w:t xml:space="preserve">Palavras-chave: </w:t>
      </w:r>
      <w:r w:rsidR="00A80A77" w:rsidRPr="00A80A77">
        <w:rPr>
          <w:rFonts w:cs="Times New Roman"/>
          <w:b w:val="0"/>
          <w:szCs w:val="24"/>
          <w:lang w:val="pt-BR"/>
        </w:rPr>
        <w:t xml:space="preserve">Avaliação por </w:t>
      </w:r>
      <w:r w:rsidR="008D6473">
        <w:rPr>
          <w:rFonts w:cs="Times New Roman"/>
          <w:b w:val="0"/>
          <w:szCs w:val="24"/>
          <w:lang w:val="pt-BR"/>
        </w:rPr>
        <w:t>m</w:t>
      </w:r>
      <w:r w:rsidR="00A80A77" w:rsidRPr="00A80A77">
        <w:rPr>
          <w:rFonts w:cs="Times New Roman"/>
          <w:b w:val="0"/>
          <w:szCs w:val="24"/>
          <w:lang w:val="pt-BR"/>
        </w:rPr>
        <w:t>últiplos</w:t>
      </w:r>
      <w:r w:rsidR="008D6473">
        <w:rPr>
          <w:rFonts w:cs="Times New Roman"/>
          <w:b w:val="0"/>
          <w:szCs w:val="24"/>
          <w:lang w:val="pt-BR"/>
        </w:rPr>
        <w:t xml:space="preserve"> fundamentalistas</w:t>
      </w:r>
      <w:r w:rsidR="00A80A77" w:rsidRPr="00A80A77">
        <w:rPr>
          <w:rFonts w:cs="Times New Roman"/>
          <w:b w:val="0"/>
          <w:szCs w:val="24"/>
          <w:lang w:val="pt-BR"/>
        </w:rPr>
        <w:t xml:space="preserve">, </w:t>
      </w:r>
      <w:proofErr w:type="spellStart"/>
      <w:r w:rsidR="00A80A77" w:rsidRPr="00A80A77">
        <w:rPr>
          <w:rFonts w:cs="Times New Roman"/>
          <w:b w:val="0"/>
          <w:i/>
          <w:szCs w:val="24"/>
          <w:lang w:val="pt-BR"/>
        </w:rPr>
        <w:t>valuation</w:t>
      </w:r>
      <w:proofErr w:type="spellEnd"/>
      <w:r w:rsidR="00A80A77" w:rsidRPr="00A80A77">
        <w:rPr>
          <w:rFonts w:cs="Times New Roman"/>
          <w:b w:val="0"/>
          <w:szCs w:val="24"/>
          <w:lang w:val="pt-BR"/>
        </w:rPr>
        <w:t>, bancos</w:t>
      </w:r>
      <w:r w:rsidR="00AF4BCC">
        <w:rPr>
          <w:rFonts w:cs="Times New Roman"/>
          <w:b w:val="0"/>
          <w:szCs w:val="24"/>
          <w:lang w:val="pt-BR"/>
        </w:rPr>
        <w:t>, análise fundamentalista</w:t>
      </w:r>
      <w:r w:rsidR="00A80A77">
        <w:rPr>
          <w:rFonts w:cs="Times New Roman"/>
          <w:szCs w:val="24"/>
          <w:lang w:val="pt-BR"/>
        </w:rPr>
        <w:t>.</w:t>
      </w:r>
    </w:p>
    <w:p w14:paraId="63B14575" w14:textId="77777777" w:rsidR="00E46FBC" w:rsidRPr="00E46FBC" w:rsidRDefault="00E46FBC" w:rsidP="00E46FBC">
      <w:pPr>
        <w:spacing w:before="0" w:after="0" w:line="240" w:lineRule="auto"/>
        <w:rPr>
          <w:lang w:val="pt-BR"/>
        </w:rPr>
      </w:pPr>
    </w:p>
    <w:p w14:paraId="39B9DF8F" w14:textId="26AA096C" w:rsidR="00E46FBC" w:rsidRPr="00F749D3" w:rsidRDefault="00E46FBC" w:rsidP="007E446E">
      <w:pPr>
        <w:spacing w:before="0" w:after="0" w:line="240" w:lineRule="auto"/>
        <w:rPr>
          <w:b/>
        </w:rPr>
      </w:pPr>
      <w:r w:rsidRPr="00F749D3">
        <w:rPr>
          <w:b/>
        </w:rPr>
        <w:t>Abstract</w:t>
      </w:r>
    </w:p>
    <w:p w14:paraId="3BBA34DD" w14:textId="032CF3DC" w:rsidR="007E446E" w:rsidRPr="00F749D3" w:rsidRDefault="007E446E" w:rsidP="007E446E">
      <w:pPr>
        <w:spacing w:before="0" w:after="0" w:line="240" w:lineRule="auto"/>
        <w:rPr>
          <w:iCs/>
        </w:rPr>
      </w:pPr>
      <w:r w:rsidRPr="00F749D3">
        <w:rPr>
          <w:iCs/>
          <w:lang w:val="en-GB"/>
        </w:rPr>
        <w:t xml:space="preserve">Determining the valuation of a firm is essential for decision making by managers and investors. </w:t>
      </w:r>
      <w:r w:rsidRPr="00F749D3">
        <w:rPr>
          <w:iCs/>
        </w:rPr>
        <w:t>Given that the fundamentalist multiples model is one of the main techniques used by analysts, the study aimed to identify the explanatory power of fundamentalist multiples in the evaluation of Brazilian banking institutions. In addition, we sought to indicate the factors that influence the results estimated by the multiples. The fundamentalist multiples analyzed were the earns price (P/E), book value price (P/B) and operating earns price (P/ OE) and the sample consisted of Brazilian publicly traded banks with quarterly data covering the 2016 to the first quarter of 2019. To evaluate the multiple with the best predictive power, we considered the Mean Absolute Percentage Error (MAPE) and to identify the determinants of multiples, we performed multiple regression with panel data considering as possible factors return on equity, company size, growth and ownership control. The results indicated that the P/</w:t>
      </w:r>
      <w:r w:rsidR="00F749D3">
        <w:rPr>
          <w:iCs/>
        </w:rPr>
        <w:t>E</w:t>
      </w:r>
      <w:r w:rsidRPr="00F749D3">
        <w:rPr>
          <w:iCs/>
        </w:rPr>
        <w:t xml:space="preserve"> multiple has better predictive power over the value of Brazilian banks. This result can be explained by the nature of the banks' operations, since they hold a higher volume of financial assets and liabilities, while companies generally have a high fixed assets and depreciation. Regarding the determinants of multiples, there was divergence between the significant variables for each multiple, with property control being the only significant factor for the three multiples. However, for P/E and P/OE the coefficient was positive, while for P/B the ratio was negative. In addition to ownership control, business risk was positively significant for P/E, and return on equity and bank size were positively significant over P/B.</w:t>
      </w:r>
    </w:p>
    <w:p w14:paraId="6CEE43D2" w14:textId="77777777" w:rsidR="007E446E" w:rsidRPr="00F749D3" w:rsidRDefault="007E446E" w:rsidP="007E446E">
      <w:pPr>
        <w:spacing w:before="0" w:after="0" w:line="240" w:lineRule="auto"/>
        <w:rPr>
          <w:iCs/>
        </w:rPr>
      </w:pPr>
    </w:p>
    <w:p w14:paraId="718AD0A8" w14:textId="77777777" w:rsidR="007E446E" w:rsidRPr="00F749D3" w:rsidRDefault="007E446E" w:rsidP="007E446E">
      <w:pPr>
        <w:spacing w:before="0" w:after="0" w:line="240" w:lineRule="auto"/>
      </w:pPr>
      <w:r w:rsidRPr="00F749D3">
        <w:rPr>
          <w:b/>
        </w:rPr>
        <w:t>Keywords:</w:t>
      </w:r>
      <w:r w:rsidRPr="00F749D3">
        <w:t xml:space="preserve"> Fundamental multiples valuation, valuation, banks, fundamentalist analysis.</w:t>
      </w:r>
    </w:p>
    <w:p w14:paraId="6A2E8F08" w14:textId="77777777" w:rsidR="00175B40" w:rsidRPr="00F749D3" w:rsidRDefault="00175B40" w:rsidP="007E446E">
      <w:pPr>
        <w:spacing w:before="0" w:after="0" w:line="240" w:lineRule="auto"/>
      </w:pPr>
    </w:p>
    <w:p w14:paraId="527C327E" w14:textId="34B18705" w:rsidR="00356C7B" w:rsidRPr="00691E73" w:rsidRDefault="00356C7B" w:rsidP="002E04DA">
      <w:pPr>
        <w:pStyle w:val="Ttulo2"/>
        <w:spacing w:before="0" w:after="120" w:line="240" w:lineRule="auto"/>
        <w:rPr>
          <w:rFonts w:cs="Times New Roman"/>
          <w:szCs w:val="24"/>
          <w:lang w:val="pt-BR"/>
        </w:rPr>
      </w:pPr>
      <w:r w:rsidRPr="00691E73">
        <w:rPr>
          <w:rFonts w:cs="Times New Roman"/>
          <w:szCs w:val="24"/>
          <w:lang w:val="pt-BR"/>
        </w:rPr>
        <w:t xml:space="preserve">1 </w:t>
      </w:r>
      <w:r>
        <w:rPr>
          <w:rFonts w:cs="Times New Roman"/>
          <w:szCs w:val="24"/>
          <w:lang w:val="pt-BR"/>
        </w:rPr>
        <w:t>Introdução</w:t>
      </w:r>
    </w:p>
    <w:p w14:paraId="01A9F4D4" w14:textId="64ED310E" w:rsidR="00356C7B" w:rsidRDefault="00356C7B" w:rsidP="00356C7B">
      <w:pPr>
        <w:pStyle w:val="SemEspaamento"/>
        <w:rPr>
          <w:rFonts w:eastAsia="Times New Roman"/>
          <w:lang w:val="pt-BR" w:eastAsia="pt-BR" w:bidi="ar-SA"/>
        </w:rPr>
      </w:pPr>
      <w:r>
        <w:rPr>
          <w:rFonts w:eastAsia="Times New Roman"/>
          <w:lang w:val="pt-BR" w:eastAsia="pt-BR" w:bidi="ar-SA"/>
        </w:rPr>
        <w:t>A avaliação de empresas é uma técnica que auxilia na definição do valor dos ativos com base nas expectativas do mercado quanto à empresa, ao seu setor, ao país e ao mercado internacional (</w:t>
      </w:r>
      <w:r w:rsidR="00C3198E" w:rsidRPr="000A6790">
        <w:rPr>
          <w:rFonts w:eastAsia="Times New Roman"/>
          <w:lang w:val="pt-BR" w:eastAsia="pt-BR" w:bidi="ar-SA"/>
        </w:rPr>
        <w:t>LEMES</w:t>
      </w:r>
      <w:r w:rsidR="000A6790" w:rsidRPr="000A6790">
        <w:rPr>
          <w:rFonts w:eastAsia="Times New Roman"/>
          <w:lang w:val="pt-BR" w:eastAsia="pt-BR" w:bidi="ar-SA"/>
        </w:rPr>
        <w:t xml:space="preserve"> JÚNIOR</w:t>
      </w:r>
      <w:r w:rsidR="00C3198E" w:rsidRPr="000A6790">
        <w:rPr>
          <w:rFonts w:eastAsia="Times New Roman"/>
          <w:lang w:val="pt-BR" w:eastAsia="pt-BR" w:bidi="ar-SA"/>
        </w:rPr>
        <w:t>; RIGO; CHEROBIM</w:t>
      </w:r>
      <w:r w:rsidRPr="000A6790">
        <w:rPr>
          <w:rFonts w:eastAsia="Times New Roman"/>
          <w:lang w:val="pt-BR" w:eastAsia="pt-BR" w:bidi="ar-SA"/>
        </w:rPr>
        <w:t>, 2010).</w:t>
      </w:r>
      <w:r>
        <w:rPr>
          <w:rFonts w:eastAsia="Times New Roman"/>
          <w:lang w:val="pt-BR" w:eastAsia="pt-BR" w:bidi="ar-SA"/>
        </w:rPr>
        <w:t xml:space="preserve"> Sua realização torna-se necessária para se conhecer o valor de um ativo e o que determina esse valor para a tomada de decisão de um investidor, seja na escolha de uma carteira de investimentos, na definição do preço justo a se pagar ou a se receber em uma aquisição, e na opção por investimentos, financiamentos e dividendos ao se administrar uma empresa (</w:t>
      </w:r>
      <w:r w:rsidR="00C3198E">
        <w:rPr>
          <w:rFonts w:eastAsia="Times New Roman"/>
          <w:lang w:val="pt-BR" w:eastAsia="pt-BR" w:bidi="ar-SA"/>
        </w:rPr>
        <w:t>DAMODARAN</w:t>
      </w:r>
      <w:r>
        <w:rPr>
          <w:rFonts w:eastAsia="Times New Roman"/>
          <w:lang w:val="pt-BR" w:eastAsia="pt-BR" w:bidi="ar-SA"/>
        </w:rPr>
        <w:t>, 2007).</w:t>
      </w:r>
    </w:p>
    <w:p w14:paraId="70220F74" w14:textId="760F796E" w:rsidR="00356C7B" w:rsidRDefault="00356C7B" w:rsidP="00356C7B">
      <w:pPr>
        <w:pStyle w:val="SemEspaamento"/>
        <w:rPr>
          <w:rFonts w:eastAsia="Times New Roman"/>
          <w:lang w:val="pt-BR" w:eastAsia="pt-BR" w:bidi="ar-SA"/>
        </w:rPr>
      </w:pPr>
      <w:r>
        <w:rPr>
          <w:rFonts w:eastAsia="Times New Roman"/>
          <w:lang w:val="pt-BR" w:eastAsia="pt-BR" w:bidi="ar-SA"/>
        </w:rPr>
        <w:t xml:space="preserve">Para determinar o </w:t>
      </w:r>
      <w:proofErr w:type="spellStart"/>
      <w:r w:rsidRPr="007A6861">
        <w:rPr>
          <w:rFonts w:eastAsia="Times New Roman"/>
          <w:i/>
          <w:lang w:val="pt-BR" w:eastAsia="pt-BR" w:bidi="ar-SA"/>
        </w:rPr>
        <w:t>valuation</w:t>
      </w:r>
      <w:proofErr w:type="spellEnd"/>
      <w:r>
        <w:rPr>
          <w:rFonts w:eastAsia="Times New Roman"/>
          <w:lang w:val="pt-BR" w:eastAsia="pt-BR" w:bidi="ar-SA"/>
        </w:rPr>
        <w:t xml:space="preserve"> de um ativo, utiliza-se de métricas que realcem os </w:t>
      </w:r>
      <w:r w:rsidRPr="007A6861">
        <w:rPr>
          <w:rFonts w:eastAsia="Times New Roman"/>
          <w:lang w:val="pt-BR" w:eastAsia="pt-BR" w:bidi="ar-SA"/>
        </w:rPr>
        <w:t>benefícios líquidos que se poderá extrair no presente e no futuro</w:t>
      </w:r>
      <w:r>
        <w:rPr>
          <w:rFonts w:eastAsia="Times New Roman"/>
          <w:lang w:val="pt-BR" w:eastAsia="pt-BR" w:bidi="ar-SA"/>
        </w:rPr>
        <w:t xml:space="preserve"> (</w:t>
      </w:r>
      <w:r w:rsidR="00C3198E">
        <w:rPr>
          <w:rFonts w:eastAsia="Times New Roman"/>
          <w:lang w:val="pt-BR" w:eastAsia="pt-BR" w:bidi="ar-SA"/>
        </w:rPr>
        <w:t>MARTINEZ</w:t>
      </w:r>
      <w:r>
        <w:rPr>
          <w:rFonts w:eastAsia="Times New Roman"/>
          <w:lang w:val="pt-BR" w:eastAsia="pt-BR" w:bidi="ar-SA"/>
        </w:rPr>
        <w:t xml:space="preserve">, 1999). Entre as principais métricas adotadas têm-se o </w:t>
      </w:r>
      <w:r w:rsidRPr="00F22287">
        <w:rPr>
          <w:rFonts w:eastAsia="Times New Roman"/>
          <w:lang w:val="pt-BR" w:eastAsia="pt-BR" w:bidi="ar-SA"/>
        </w:rPr>
        <w:t>método de desconto do fluxo</w:t>
      </w:r>
      <w:r>
        <w:rPr>
          <w:rFonts w:eastAsia="Times New Roman"/>
          <w:lang w:val="pt-BR" w:eastAsia="pt-BR" w:bidi="ar-SA"/>
        </w:rPr>
        <w:t xml:space="preserve"> </w:t>
      </w:r>
      <w:r w:rsidRPr="00F22287">
        <w:rPr>
          <w:rFonts w:eastAsia="Times New Roman"/>
          <w:lang w:val="pt-BR" w:eastAsia="pt-BR" w:bidi="ar-SA"/>
        </w:rPr>
        <w:t>de dividendos, os modelos de fl</w:t>
      </w:r>
      <w:r>
        <w:rPr>
          <w:rFonts w:eastAsia="Times New Roman"/>
          <w:lang w:val="pt-BR" w:eastAsia="pt-BR" w:bidi="ar-SA"/>
        </w:rPr>
        <w:t>u</w:t>
      </w:r>
      <w:r w:rsidRPr="00F22287">
        <w:rPr>
          <w:rFonts w:eastAsia="Times New Roman"/>
          <w:lang w:val="pt-BR" w:eastAsia="pt-BR" w:bidi="ar-SA"/>
        </w:rPr>
        <w:t>xos de</w:t>
      </w:r>
      <w:r>
        <w:rPr>
          <w:rFonts w:eastAsia="Times New Roman"/>
          <w:lang w:val="pt-BR" w:eastAsia="pt-BR" w:bidi="ar-SA"/>
        </w:rPr>
        <w:t xml:space="preserve"> </w:t>
      </w:r>
      <w:r w:rsidRPr="00F22287">
        <w:rPr>
          <w:rFonts w:eastAsia="Times New Roman"/>
          <w:lang w:val="pt-BR" w:eastAsia="pt-BR" w:bidi="ar-SA"/>
        </w:rPr>
        <w:t>caixa descontados, modelos de avaliação por múltiplos e modelos de lucros residuais.</w:t>
      </w:r>
      <w:r>
        <w:rPr>
          <w:rFonts w:eastAsia="Times New Roman"/>
          <w:lang w:val="pt-BR" w:eastAsia="pt-BR" w:bidi="ar-SA"/>
        </w:rPr>
        <w:t xml:space="preserve"> A escolha da metodologia que melhor se adequa ao ativo que será valorado deve pautar-se dos custos e benefícios daquela métrica, ponderando simplicidade em relação ao custo de ignorar complexidades (</w:t>
      </w:r>
      <w:r w:rsidR="00C3198E">
        <w:rPr>
          <w:rFonts w:eastAsia="Times New Roman"/>
          <w:lang w:val="pt-BR" w:eastAsia="pt-BR" w:bidi="ar-SA"/>
        </w:rPr>
        <w:t>PENMAN</w:t>
      </w:r>
      <w:r>
        <w:rPr>
          <w:rFonts w:eastAsia="Times New Roman"/>
          <w:lang w:val="pt-BR" w:eastAsia="pt-BR" w:bidi="ar-SA"/>
        </w:rPr>
        <w:t xml:space="preserve">, 2013). </w:t>
      </w:r>
    </w:p>
    <w:p w14:paraId="65B7B5F2" w14:textId="1B79FF43" w:rsidR="00356C7B" w:rsidRDefault="00C36FC7" w:rsidP="00356C7B">
      <w:pPr>
        <w:pStyle w:val="SemEspaamento"/>
        <w:rPr>
          <w:rFonts w:eastAsia="Times New Roman" w:cs="Times New Roman"/>
          <w:szCs w:val="24"/>
          <w:lang w:val="pt-BR" w:eastAsia="pt-BR" w:bidi="ar-SA"/>
        </w:rPr>
      </w:pPr>
      <w:r>
        <w:rPr>
          <w:rFonts w:eastAsia="Times New Roman" w:cs="Times New Roman"/>
          <w:szCs w:val="24"/>
          <w:lang w:val="pt-BR" w:eastAsia="pt-BR" w:bidi="ar-SA"/>
        </w:rPr>
        <w:lastRenderedPageBreak/>
        <w:t xml:space="preserve">Apesar do modelo de fluxos de caixa descontados ser o mais empregado no ambiente acadêmico, em geral, </w:t>
      </w:r>
      <w:r w:rsidR="00426EA4">
        <w:rPr>
          <w:rFonts w:eastAsia="Times New Roman" w:cs="Times New Roman"/>
          <w:szCs w:val="24"/>
          <w:lang w:val="pt-BR" w:eastAsia="pt-BR" w:bidi="ar-SA"/>
        </w:rPr>
        <w:t>é pelo modelo de múltiplos que</w:t>
      </w:r>
      <w:r w:rsidR="00356C7B">
        <w:rPr>
          <w:rFonts w:eastAsia="Times New Roman" w:cs="Times New Roman"/>
          <w:szCs w:val="24"/>
          <w:lang w:val="pt-BR" w:eastAsia="pt-BR" w:bidi="ar-SA"/>
        </w:rPr>
        <w:t xml:space="preserve"> o mercado precifica os ativos (</w:t>
      </w:r>
      <w:r w:rsidR="00C3198E">
        <w:rPr>
          <w:rFonts w:eastAsia="Times New Roman" w:cs="Times New Roman"/>
          <w:szCs w:val="24"/>
          <w:lang w:val="pt-BR" w:eastAsia="pt-BR" w:bidi="ar-SA"/>
        </w:rPr>
        <w:t>DAMODARAN</w:t>
      </w:r>
      <w:r w:rsidR="00356C7B">
        <w:rPr>
          <w:rFonts w:eastAsia="Times New Roman" w:cs="Times New Roman"/>
          <w:szCs w:val="24"/>
          <w:lang w:val="pt-BR" w:eastAsia="pt-BR" w:bidi="ar-SA"/>
        </w:rPr>
        <w:t xml:space="preserve">, 2007). </w:t>
      </w:r>
      <w:proofErr w:type="gramStart"/>
      <w:r w:rsidR="00CD524E" w:rsidRPr="00962262">
        <w:rPr>
          <w:rFonts w:eastAsia="Times New Roman" w:cs="Times New Roman"/>
          <w:szCs w:val="24"/>
          <w:lang w:val="pt-BR" w:eastAsia="pt-BR" w:bidi="ar-SA"/>
        </w:rPr>
        <w:t>Est</w:t>
      </w:r>
      <w:r w:rsidR="00854A6A" w:rsidRPr="00962262">
        <w:rPr>
          <w:rFonts w:eastAsia="Times New Roman" w:cs="Times New Roman"/>
          <w:szCs w:val="24"/>
          <w:lang w:val="pt-BR" w:eastAsia="pt-BR" w:bidi="ar-SA"/>
        </w:rPr>
        <w:t>a</w:t>
      </w:r>
      <w:proofErr w:type="gramEnd"/>
      <w:r w:rsidR="00356C7B" w:rsidRPr="00962262">
        <w:rPr>
          <w:rFonts w:eastAsia="Times New Roman" w:cs="Times New Roman"/>
          <w:szCs w:val="24"/>
          <w:lang w:val="pt-BR" w:eastAsia="pt-BR" w:bidi="ar-SA"/>
        </w:rPr>
        <w:t xml:space="preserve"> métrica, que também é conhecida como modelo de avaliação relativa, se propõe a avaliar ativos com base na forma como ativos similares são atualmente precificados no mercado (</w:t>
      </w:r>
      <w:r w:rsidR="00C3198E" w:rsidRPr="00962262">
        <w:rPr>
          <w:rFonts w:eastAsia="Times New Roman" w:cs="Times New Roman"/>
          <w:szCs w:val="24"/>
          <w:lang w:val="pt-BR" w:eastAsia="pt-BR" w:bidi="ar-SA"/>
        </w:rPr>
        <w:t>COUTO</w:t>
      </w:r>
      <w:r w:rsidR="00962262" w:rsidRPr="00962262">
        <w:rPr>
          <w:rFonts w:eastAsia="Times New Roman" w:cs="Times New Roman"/>
          <w:szCs w:val="24"/>
          <w:lang w:val="pt-BR" w:eastAsia="pt-BR" w:bidi="ar-SA"/>
        </w:rPr>
        <w:t xml:space="preserve"> JÚNIOR</w:t>
      </w:r>
      <w:r w:rsidR="00C3198E" w:rsidRPr="00962262">
        <w:rPr>
          <w:rFonts w:eastAsia="Times New Roman" w:cs="Times New Roman"/>
          <w:szCs w:val="24"/>
          <w:lang w:val="pt-BR" w:eastAsia="pt-BR" w:bidi="ar-SA"/>
        </w:rPr>
        <w:t>; GALDI</w:t>
      </w:r>
      <w:r w:rsidR="00356C7B" w:rsidRPr="00962262">
        <w:rPr>
          <w:rFonts w:eastAsia="Times New Roman" w:cs="Times New Roman"/>
          <w:szCs w:val="24"/>
          <w:lang w:val="pt-BR" w:eastAsia="pt-BR" w:bidi="ar-SA"/>
        </w:rPr>
        <w:t>, 2012).</w:t>
      </w:r>
      <w:r w:rsidR="00356C7B">
        <w:rPr>
          <w:rFonts w:eastAsia="Times New Roman" w:cs="Times New Roman"/>
          <w:szCs w:val="24"/>
          <w:lang w:val="pt-BR" w:eastAsia="pt-BR" w:bidi="ar-SA"/>
        </w:rPr>
        <w:t xml:space="preserve"> </w:t>
      </w:r>
    </w:p>
    <w:p w14:paraId="53CC045E" w14:textId="1490D457" w:rsidR="00356C7B" w:rsidRPr="00885D3E" w:rsidRDefault="00356C7B" w:rsidP="00356C7B">
      <w:pPr>
        <w:pStyle w:val="SemEspaamento"/>
        <w:rPr>
          <w:rFonts w:eastAsia="Times New Roman" w:cs="Times New Roman"/>
          <w:szCs w:val="24"/>
          <w:lang w:val="pt-BR" w:eastAsia="pt-BR" w:bidi="ar-SA"/>
        </w:rPr>
      </w:pPr>
      <w:r>
        <w:rPr>
          <w:rFonts w:eastAsia="Times New Roman" w:cs="Times New Roman"/>
          <w:szCs w:val="24"/>
          <w:lang w:val="pt-BR" w:eastAsia="pt-BR" w:bidi="ar-SA"/>
        </w:rPr>
        <w:t xml:space="preserve">Devido às firmas possuírem diferentes quantidades de ações, a comparação do valor da ação da firma alvo com as empresas semelhantes não seria possível, pois aquela empresa que </w:t>
      </w:r>
      <w:r w:rsidRPr="006D56D5">
        <w:rPr>
          <w:rFonts w:eastAsia="Times New Roman" w:cs="Times New Roman"/>
          <w:szCs w:val="24"/>
          <w:lang w:val="pt-BR" w:eastAsia="pt-BR" w:bidi="ar-SA"/>
        </w:rPr>
        <w:t>obtivesse maior número de ações provavelmente encontraria valor menor para cada ação. Dessa forma, torna-se essencial a padronização dos valores através de índices financeiros ou econômicos, podendo ser o lucro gerado, o valor contábil da firma, receita das operações ou indicadores específicos de um setor. Entre os múltiplos mais utilizados encontram-se o preço/lucro (</w:t>
      </w:r>
      <w:proofErr w:type="spellStart"/>
      <w:r w:rsidRPr="006D56D5">
        <w:rPr>
          <w:rFonts w:eastAsia="Times New Roman" w:cs="Times New Roman"/>
          <w:i/>
          <w:szCs w:val="24"/>
          <w:lang w:val="pt-BR" w:eastAsia="pt-BR" w:bidi="ar-SA"/>
        </w:rPr>
        <w:t>price-to-earnings</w:t>
      </w:r>
      <w:proofErr w:type="spellEnd"/>
      <w:r w:rsidRPr="006D56D5">
        <w:rPr>
          <w:rFonts w:eastAsia="Times New Roman" w:cs="Times New Roman"/>
          <w:szCs w:val="24"/>
          <w:lang w:val="pt-BR" w:eastAsia="pt-BR" w:bidi="ar-SA"/>
        </w:rPr>
        <w:t xml:space="preserve"> ou P/L), preço/valor contábil (</w:t>
      </w:r>
      <w:proofErr w:type="spellStart"/>
      <w:r w:rsidRPr="006D56D5">
        <w:rPr>
          <w:rFonts w:eastAsia="Times New Roman" w:cs="Times New Roman"/>
          <w:i/>
          <w:szCs w:val="24"/>
          <w:lang w:val="pt-BR" w:eastAsia="pt-BR" w:bidi="ar-SA"/>
        </w:rPr>
        <w:t>price</w:t>
      </w:r>
      <w:proofErr w:type="spellEnd"/>
      <w:r w:rsidRPr="006D56D5">
        <w:rPr>
          <w:rFonts w:eastAsia="Times New Roman" w:cs="Times New Roman"/>
          <w:i/>
          <w:szCs w:val="24"/>
          <w:lang w:val="pt-BR" w:eastAsia="pt-BR" w:bidi="ar-SA"/>
        </w:rPr>
        <w:t>-</w:t>
      </w:r>
      <w:proofErr w:type="spellStart"/>
      <w:r w:rsidRPr="006D56D5">
        <w:rPr>
          <w:rFonts w:eastAsia="Times New Roman" w:cs="Times New Roman"/>
          <w:i/>
          <w:szCs w:val="24"/>
          <w:lang w:val="pt-BR" w:eastAsia="pt-BR" w:bidi="ar-SA"/>
        </w:rPr>
        <w:t>to</w:t>
      </w:r>
      <w:proofErr w:type="spellEnd"/>
      <w:r w:rsidRPr="006D56D5">
        <w:rPr>
          <w:rFonts w:eastAsia="Times New Roman" w:cs="Times New Roman"/>
          <w:i/>
          <w:szCs w:val="24"/>
          <w:lang w:val="pt-BR" w:eastAsia="pt-BR" w:bidi="ar-SA"/>
        </w:rPr>
        <w:t>-book</w:t>
      </w:r>
      <w:r w:rsidRPr="006D56D5">
        <w:rPr>
          <w:rFonts w:eastAsia="Times New Roman" w:cs="Times New Roman"/>
          <w:szCs w:val="24"/>
          <w:lang w:val="pt-BR" w:eastAsia="pt-BR" w:bidi="ar-SA"/>
        </w:rPr>
        <w:t xml:space="preserve"> ou P/B) e preço-EBITDA (</w:t>
      </w:r>
      <w:proofErr w:type="spellStart"/>
      <w:r w:rsidRPr="006D56D5">
        <w:rPr>
          <w:rFonts w:eastAsia="Times New Roman" w:cs="Times New Roman"/>
          <w:i/>
          <w:szCs w:val="24"/>
          <w:lang w:val="pt-BR" w:eastAsia="pt-BR" w:bidi="ar-SA"/>
        </w:rPr>
        <w:t>enterprise</w:t>
      </w:r>
      <w:proofErr w:type="spellEnd"/>
      <w:r w:rsidRPr="006D56D5">
        <w:rPr>
          <w:rFonts w:eastAsia="Times New Roman" w:cs="Times New Roman"/>
          <w:i/>
          <w:szCs w:val="24"/>
          <w:lang w:val="pt-BR" w:eastAsia="pt-BR" w:bidi="ar-SA"/>
        </w:rPr>
        <w:t xml:space="preserve"> </w:t>
      </w:r>
      <w:proofErr w:type="spellStart"/>
      <w:r w:rsidRPr="006D56D5">
        <w:rPr>
          <w:rFonts w:eastAsia="Times New Roman" w:cs="Times New Roman"/>
          <w:i/>
          <w:szCs w:val="24"/>
          <w:lang w:val="pt-BR" w:eastAsia="pt-BR" w:bidi="ar-SA"/>
        </w:rPr>
        <w:t>value</w:t>
      </w:r>
      <w:proofErr w:type="spellEnd"/>
      <w:r w:rsidRPr="006D56D5">
        <w:rPr>
          <w:rFonts w:eastAsia="Times New Roman" w:cs="Times New Roman"/>
          <w:szCs w:val="24"/>
          <w:lang w:val="pt-BR" w:eastAsia="pt-BR" w:bidi="ar-SA"/>
        </w:rPr>
        <w:t xml:space="preserve">/EBITDA ou </w:t>
      </w:r>
      <w:r>
        <w:rPr>
          <w:rFonts w:eastAsia="Times New Roman" w:cs="Times New Roman"/>
          <w:szCs w:val="24"/>
          <w:lang w:val="pt-BR" w:eastAsia="pt-BR" w:bidi="ar-SA"/>
        </w:rPr>
        <w:t>P</w:t>
      </w:r>
      <w:r w:rsidRPr="006D56D5">
        <w:rPr>
          <w:rFonts w:eastAsia="Times New Roman" w:cs="Times New Roman"/>
          <w:szCs w:val="24"/>
          <w:lang w:val="pt-BR" w:eastAsia="pt-BR" w:bidi="ar-SA"/>
        </w:rPr>
        <w:t>/EBITDA). A escolha de qual múltiplo é o mais apropriado para precificar a firma deve levar em consideração as características econômicas e financeiras da empresa</w:t>
      </w:r>
      <w:r>
        <w:rPr>
          <w:rFonts w:eastAsia="Times New Roman" w:cs="Times New Roman"/>
          <w:szCs w:val="24"/>
          <w:lang w:val="pt-BR" w:eastAsia="pt-BR" w:bidi="ar-SA"/>
        </w:rPr>
        <w:t xml:space="preserve"> (</w:t>
      </w:r>
      <w:r w:rsidR="00C3198E">
        <w:rPr>
          <w:rFonts w:eastAsia="Times New Roman" w:cs="Times New Roman"/>
          <w:szCs w:val="24"/>
          <w:lang w:val="pt-BR" w:eastAsia="pt-BR" w:bidi="ar-SA"/>
        </w:rPr>
        <w:t>DAMODARAN</w:t>
      </w:r>
      <w:r>
        <w:rPr>
          <w:rFonts w:eastAsia="Times New Roman" w:cs="Times New Roman"/>
          <w:szCs w:val="24"/>
          <w:lang w:val="pt-BR" w:eastAsia="pt-BR" w:bidi="ar-SA"/>
        </w:rPr>
        <w:t>, 2007)</w:t>
      </w:r>
      <w:r w:rsidRPr="006D56D5">
        <w:rPr>
          <w:rFonts w:eastAsia="Times New Roman" w:cs="Times New Roman"/>
          <w:szCs w:val="24"/>
          <w:lang w:val="pt-BR" w:eastAsia="pt-BR" w:bidi="ar-SA"/>
        </w:rPr>
        <w:t>.</w:t>
      </w:r>
      <w:r>
        <w:rPr>
          <w:rFonts w:eastAsia="Times New Roman" w:cs="Times New Roman"/>
          <w:szCs w:val="24"/>
          <w:lang w:val="pt-BR" w:eastAsia="pt-BR" w:bidi="ar-SA"/>
        </w:rPr>
        <w:t xml:space="preserve"> </w:t>
      </w:r>
    </w:p>
    <w:p w14:paraId="54D062DD" w14:textId="2317E96A" w:rsidR="00356C7B" w:rsidRPr="001E1814" w:rsidRDefault="00356C7B" w:rsidP="00356C7B">
      <w:pPr>
        <w:pStyle w:val="SemEspaamento"/>
        <w:rPr>
          <w:rFonts w:eastAsia="Times New Roman" w:cs="Times New Roman"/>
          <w:szCs w:val="24"/>
          <w:lang w:val="pt-BR" w:eastAsia="pt-BR" w:bidi="ar-SA"/>
        </w:rPr>
      </w:pPr>
      <w:r>
        <w:rPr>
          <w:rFonts w:eastAsia="Times New Roman" w:cs="Times New Roman"/>
          <w:szCs w:val="24"/>
          <w:lang w:val="pt-BR" w:eastAsia="pt-BR" w:bidi="ar-SA"/>
        </w:rPr>
        <w:t xml:space="preserve">Considerável número de trabalhos já averiguou o </w:t>
      </w:r>
      <w:proofErr w:type="spellStart"/>
      <w:r w:rsidRPr="00031D85">
        <w:rPr>
          <w:rFonts w:eastAsia="Times New Roman" w:cs="Times New Roman"/>
          <w:i/>
          <w:szCs w:val="24"/>
          <w:lang w:val="pt-BR" w:eastAsia="pt-BR" w:bidi="ar-SA"/>
        </w:rPr>
        <w:t>valuation</w:t>
      </w:r>
      <w:proofErr w:type="spellEnd"/>
      <w:r>
        <w:rPr>
          <w:rFonts w:eastAsia="Times New Roman" w:cs="Times New Roman"/>
          <w:szCs w:val="24"/>
          <w:lang w:val="pt-BR" w:eastAsia="pt-BR" w:bidi="ar-SA"/>
        </w:rPr>
        <w:t xml:space="preserve"> das empresas através do modelo de múltiplos </w:t>
      </w:r>
      <w:r w:rsidR="0080143A">
        <w:rPr>
          <w:rFonts w:eastAsia="Times New Roman" w:cs="Times New Roman"/>
          <w:szCs w:val="24"/>
          <w:lang w:val="pt-BR" w:eastAsia="pt-BR" w:bidi="ar-SA"/>
        </w:rPr>
        <w:t xml:space="preserve">fundamentalistas </w:t>
      </w:r>
      <w:r>
        <w:rPr>
          <w:rFonts w:eastAsia="Times New Roman" w:cs="Times New Roman"/>
          <w:szCs w:val="24"/>
          <w:lang w:val="pt-BR" w:eastAsia="pt-BR" w:bidi="ar-SA"/>
        </w:rPr>
        <w:t>(</w:t>
      </w:r>
      <w:r w:rsidR="00C3198E">
        <w:rPr>
          <w:rFonts w:eastAsia="Times New Roman" w:cs="Times New Roman"/>
          <w:szCs w:val="24"/>
          <w:lang w:val="pt-BR" w:eastAsia="pt-BR" w:bidi="ar-SA"/>
        </w:rPr>
        <w:t>ALFORD</w:t>
      </w:r>
      <w:r>
        <w:rPr>
          <w:rFonts w:eastAsia="Times New Roman" w:cs="Times New Roman"/>
          <w:szCs w:val="24"/>
          <w:lang w:val="pt-BR" w:eastAsia="pt-BR" w:bidi="ar-SA"/>
        </w:rPr>
        <w:t>, 1992</w:t>
      </w:r>
      <w:r w:rsidR="00962262">
        <w:rPr>
          <w:rFonts w:eastAsia="Times New Roman" w:cs="Times New Roman"/>
          <w:szCs w:val="24"/>
          <w:lang w:val="pt-BR" w:eastAsia="pt-BR" w:bidi="ar-SA"/>
        </w:rPr>
        <w:t>;</w:t>
      </w:r>
      <w:r>
        <w:rPr>
          <w:rFonts w:eastAsia="Times New Roman" w:cs="Times New Roman"/>
          <w:szCs w:val="24"/>
          <w:lang w:val="pt-BR" w:eastAsia="pt-BR" w:bidi="ar-SA"/>
        </w:rPr>
        <w:t xml:space="preserve"> </w:t>
      </w:r>
      <w:r w:rsidR="00C3198E" w:rsidRPr="00BC7934">
        <w:rPr>
          <w:rFonts w:eastAsia="Times New Roman" w:cs="Times New Roman"/>
          <w:szCs w:val="24"/>
          <w:lang w:val="pt-BR" w:eastAsia="pt-BR" w:bidi="ar-SA"/>
        </w:rPr>
        <w:t>KIM</w:t>
      </w:r>
      <w:r w:rsidR="00C3198E">
        <w:rPr>
          <w:rFonts w:eastAsia="Times New Roman" w:cs="Times New Roman"/>
          <w:szCs w:val="24"/>
          <w:lang w:val="pt-BR" w:eastAsia="pt-BR" w:bidi="ar-SA"/>
        </w:rPr>
        <w:t>;</w:t>
      </w:r>
      <w:r w:rsidRPr="00BC7934">
        <w:rPr>
          <w:rFonts w:eastAsia="Times New Roman" w:cs="Times New Roman"/>
          <w:szCs w:val="24"/>
          <w:lang w:val="pt-BR" w:eastAsia="pt-BR" w:bidi="ar-SA"/>
        </w:rPr>
        <w:t xml:space="preserve"> </w:t>
      </w:r>
      <w:r w:rsidR="00C3198E" w:rsidRPr="00BC7934">
        <w:rPr>
          <w:rFonts w:eastAsia="Times New Roman" w:cs="Times New Roman"/>
          <w:szCs w:val="24"/>
          <w:lang w:val="pt-BR" w:eastAsia="pt-BR" w:bidi="ar-SA"/>
        </w:rPr>
        <w:t>RITTER</w:t>
      </w:r>
      <w:r>
        <w:rPr>
          <w:rFonts w:eastAsia="Times New Roman" w:cs="Times New Roman"/>
          <w:szCs w:val="24"/>
          <w:lang w:val="pt-BR" w:eastAsia="pt-BR" w:bidi="ar-SA"/>
        </w:rPr>
        <w:t xml:space="preserve">, </w:t>
      </w:r>
      <w:r w:rsidRPr="00BC7934">
        <w:rPr>
          <w:rFonts w:eastAsia="Times New Roman" w:cs="Times New Roman"/>
          <w:szCs w:val="24"/>
          <w:lang w:val="pt-BR" w:eastAsia="pt-BR" w:bidi="ar-SA"/>
        </w:rPr>
        <w:t>199</w:t>
      </w:r>
      <w:r>
        <w:rPr>
          <w:rFonts w:eastAsia="Times New Roman" w:cs="Times New Roman"/>
          <w:szCs w:val="24"/>
          <w:lang w:val="pt-BR" w:eastAsia="pt-BR" w:bidi="ar-SA"/>
        </w:rPr>
        <w:t>9</w:t>
      </w:r>
      <w:r w:rsidR="00D74F90">
        <w:rPr>
          <w:rFonts w:eastAsia="Times New Roman" w:cs="Times New Roman"/>
          <w:szCs w:val="24"/>
          <w:lang w:val="pt-BR" w:eastAsia="pt-BR" w:bidi="ar-SA"/>
        </w:rPr>
        <w:t>;</w:t>
      </w:r>
      <w:r>
        <w:rPr>
          <w:rFonts w:eastAsia="Times New Roman" w:cs="Times New Roman"/>
          <w:szCs w:val="24"/>
          <w:lang w:val="pt-BR" w:eastAsia="pt-BR" w:bidi="ar-SA"/>
        </w:rPr>
        <w:t xml:space="preserve"> </w:t>
      </w:r>
      <w:r w:rsidR="00C3198E" w:rsidRPr="00727083">
        <w:rPr>
          <w:rFonts w:eastAsia="Times New Roman" w:cs="Times New Roman"/>
          <w:szCs w:val="24"/>
          <w:lang w:val="pt-BR" w:eastAsia="pt-BR" w:bidi="ar-SA"/>
        </w:rPr>
        <w:t>LIE</w:t>
      </w:r>
      <w:r w:rsidR="00C3198E">
        <w:rPr>
          <w:rFonts w:eastAsia="Times New Roman" w:cs="Times New Roman"/>
          <w:szCs w:val="24"/>
          <w:lang w:val="pt-BR" w:eastAsia="pt-BR" w:bidi="ar-SA"/>
        </w:rPr>
        <w:t>;</w:t>
      </w:r>
      <w:r w:rsidR="00C3198E" w:rsidRPr="00727083">
        <w:rPr>
          <w:rFonts w:eastAsia="Times New Roman" w:cs="Times New Roman"/>
          <w:szCs w:val="24"/>
          <w:lang w:val="pt-BR" w:eastAsia="pt-BR" w:bidi="ar-SA"/>
        </w:rPr>
        <w:t xml:space="preserve"> LIE</w:t>
      </w:r>
      <w:r>
        <w:rPr>
          <w:rFonts w:eastAsia="Times New Roman" w:cs="Times New Roman"/>
          <w:szCs w:val="24"/>
          <w:lang w:val="pt-BR" w:eastAsia="pt-BR" w:bidi="ar-SA"/>
        </w:rPr>
        <w:t>,</w:t>
      </w:r>
      <w:r w:rsidRPr="00727083">
        <w:rPr>
          <w:rFonts w:eastAsia="Times New Roman" w:cs="Times New Roman"/>
          <w:szCs w:val="24"/>
          <w:lang w:val="pt-BR" w:eastAsia="pt-BR" w:bidi="ar-SA"/>
        </w:rPr>
        <w:t xml:space="preserve"> 2002</w:t>
      </w:r>
      <w:r w:rsidR="00D74F90">
        <w:rPr>
          <w:rFonts w:eastAsia="Times New Roman" w:cs="Times New Roman"/>
          <w:szCs w:val="24"/>
          <w:lang w:val="pt-BR" w:eastAsia="pt-BR" w:bidi="ar-SA"/>
        </w:rPr>
        <w:t>;</w:t>
      </w:r>
      <w:r w:rsidRPr="00727083">
        <w:rPr>
          <w:lang w:val="pt-BR"/>
        </w:rPr>
        <w:t xml:space="preserve"> </w:t>
      </w:r>
      <w:r w:rsidR="00C3198E" w:rsidRPr="00727083">
        <w:rPr>
          <w:rFonts w:eastAsia="Times New Roman" w:cs="Times New Roman"/>
          <w:szCs w:val="24"/>
          <w:lang w:val="pt-BR" w:eastAsia="pt-BR" w:bidi="ar-SA"/>
        </w:rPr>
        <w:t>LIU</w:t>
      </w:r>
      <w:r w:rsidR="00C3198E">
        <w:rPr>
          <w:rFonts w:eastAsia="Times New Roman" w:cs="Times New Roman"/>
          <w:szCs w:val="24"/>
          <w:lang w:val="pt-BR" w:eastAsia="pt-BR" w:bidi="ar-SA"/>
        </w:rPr>
        <w:t>;</w:t>
      </w:r>
      <w:r w:rsidR="00C3198E" w:rsidRPr="00727083">
        <w:rPr>
          <w:rFonts w:eastAsia="Times New Roman" w:cs="Times New Roman"/>
          <w:szCs w:val="24"/>
          <w:lang w:val="pt-BR" w:eastAsia="pt-BR" w:bidi="ar-SA"/>
        </w:rPr>
        <w:t xml:space="preserve"> NISSIM</w:t>
      </w:r>
      <w:r w:rsidR="00C3198E">
        <w:rPr>
          <w:rFonts w:eastAsia="Times New Roman" w:cs="Times New Roman"/>
          <w:szCs w:val="24"/>
          <w:lang w:val="pt-BR" w:eastAsia="pt-BR" w:bidi="ar-SA"/>
        </w:rPr>
        <w:t>;</w:t>
      </w:r>
      <w:r w:rsidR="00C3198E" w:rsidRPr="00727083">
        <w:rPr>
          <w:rFonts w:eastAsia="Times New Roman" w:cs="Times New Roman"/>
          <w:szCs w:val="24"/>
          <w:lang w:val="pt-BR" w:eastAsia="pt-BR" w:bidi="ar-SA"/>
        </w:rPr>
        <w:t xml:space="preserve"> THOMAS</w:t>
      </w:r>
      <w:r>
        <w:rPr>
          <w:rFonts w:eastAsia="Times New Roman" w:cs="Times New Roman"/>
          <w:szCs w:val="24"/>
          <w:lang w:val="pt-BR" w:eastAsia="pt-BR" w:bidi="ar-SA"/>
        </w:rPr>
        <w:t xml:space="preserve">, </w:t>
      </w:r>
      <w:r w:rsidRPr="00727083">
        <w:rPr>
          <w:rFonts w:eastAsia="Times New Roman" w:cs="Times New Roman"/>
          <w:szCs w:val="24"/>
          <w:lang w:val="pt-BR" w:eastAsia="pt-BR" w:bidi="ar-SA"/>
        </w:rPr>
        <w:t>2002</w:t>
      </w:r>
      <w:r w:rsidR="00D74F90">
        <w:rPr>
          <w:rFonts w:eastAsia="Times New Roman" w:cs="Times New Roman"/>
          <w:szCs w:val="24"/>
          <w:lang w:val="pt-BR" w:eastAsia="pt-BR" w:bidi="ar-SA"/>
        </w:rPr>
        <w:t xml:space="preserve">; </w:t>
      </w:r>
      <w:r w:rsidR="00C3198E">
        <w:rPr>
          <w:rFonts w:eastAsia="Times New Roman" w:cs="Times New Roman"/>
          <w:szCs w:val="24"/>
          <w:lang w:val="pt-BR" w:eastAsia="pt-BR" w:bidi="ar-SA"/>
        </w:rPr>
        <w:t>SALIBA</w:t>
      </w:r>
      <w:r>
        <w:rPr>
          <w:rFonts w:eastAsia="Times New Roman" w:cs="Times New Roman"/>
          <w:szCs w:val="24"/>
          <w:lang w:val="pt-BR" w:eastAsia="pt-BR" w:bidi="ar-SA"/>
        </w:rPr>
        <w:t>, 2008</w:t>
      </w:r>
      <w:r w:rsidR="00D74F90" w:rsidRPr="00962262">
        <w:rPr>
          <w:rFonts w:eastAsia="Times New Roman" w:cs="Times New Roman"/>
          <w:szCs w:val="24"/>
          <w:lang w:val="pt-BR" w:eastAsia="pt-BR" w:bidi="ar-SA"/>
        </w:rPr>
        <w:t>;</w:t>
      </w:r>
      <w:r w:rsidRPr="00962262">
        <w:rPr>
          <w:rFonts w:eastAsia="Times New Roman" w:cs="Times New Roman"/>
          <w:szCs w:val="24"/>
          <w:lang w:val="pt-BR" w:eastAsia="pt-BR" w:bidi="ar-SA"/>
        </w:rPr>
        <w:t xml:space="preserve"> </w:t>
      </w:r>
      <w:r w:rsidR="00C3198E" w:rsidRPr="00962262">
        <w:rPr>
          <w:rFonts w:eastAsia="Times New Roman" w:cs="Times New Roman"/>
          <w:szCs w:val="24"/>
          <w:lang w:val="pt-BR" w:eastAsia="pt-BR" w:bidi="ar-SA"/>
        </w:rPr>
        <w:t>COUTO</w:t>
      </w:r>
      <w:r w:rsidR="00962262" w:rsidRPr="00962262">
        <w:rPr>
          <w:rFonts w:eastAsia="Times New Roman" w:cs="Times New Roman"/>
          <w:szCs w:val="24"/>
          <w:lang w:val="pt-BR" w:eastAsia="pt-BR" w:bidi="ar-SA"/>
        </w:rPr>
        <w:t xml:space="preserve"> JÚNIOR</w:t>
      </w:r>
      <w:r w:rsidR="00C3198E" w:rsidRPr="00962262">
        <w:rPr>
          <w:rFonts w:eastAsia="Times New Roman" w:cs="Times New Roman"/>
          <w:szCs w:val="24"/>
          <w:lang w:val="pt-BR" w:eastAsia="pt-BR" w:bidi="ar-SA"/>
        </w:rPr>
        <w:t>; GALDI</w:t>
      </w:r>
      <w:r w:rsidRPr="00962262">
        <w:rPr>
          <w:rFonts w:eastAsia="Times New Roman" w:cs="Times New Roman"/>
          <w:szCs w:val="24"/>
          <w:lang w:val="pt-BR" w:eastAsia="pt-BR" w:bidi="ar-SA"/>
        </w:rPr>
        <w:t>, 2012</w:t>
      </w:r>
      <w:r w:rsidR="00D74F90" w:rsidRPr="00962262">
        <w:rPr>
          <w:rFonts w:eastAsia="Times New Roman" w:cs="Times New Roman"/>
          <w:szCs w:val="24"/>
          <w:lang w:val="pt-BR" w:eastAsia="pt-BR" w:bidi="ar-SA"/>
        </w:rPr>
        <w:t>;</w:t>
      </w:r>
      <w:r w:rsidRPr="00962262">
        <w:rPr>
          <w:rFonts w:eastAsia="Times New Roman" w:cs="Times New Roman"/>
          <w:szCs w:val="24"/>
          <w:lang w:val="pt-BR" w:eastAsia="pt-BR" w:bidi="ar-SA"/>
        </w:rPr>
        <w:t xml:space="preserve"> </w:t>
      </w:r>
      <w:r w:rsidR="00C3198E" w:rsidRPr="00962262">
        <w:rPr>
          <w:rFonts w:eastAsia="Times New Roman" w:cs="Times New Roman"/>
          <w:szCs w:val="24"/>
          <w:lang w:val="pt-BR" w:eastAsia="pt-BR" w:bidi="ar-SA"/>
        </w:rPr>
        <w:t>SERRA; FÁVERO</w:t>
      </w:r>
      <w:r w:rsidRPr="00962262">
        <w:rPr>
          <w:rFonts w:eastAsia="Times New Roman" w:cs="Times New Roman"/>
          <w:szCs w:val="24"/>
          <w:lang w:val="pt-BR" w:eastAsia="pt-BR" w:bidi="ar-SA"/>
        </w:rPr>
        <w:t>, 2016). Além disso, há estudos que exploram a comparação entre as métricas</w:t>
      </w:r>
      <w:r>
        <w:rPr>
          <w:rFonts w:eastAsia="Times New Roman" w:cs="Times New Roman"/>
          <w:szCs w:val="24"/>
          <w:lang w:val="pt-BR" w:eastAsia="pt-BR" w:bidi="ar-SA"/>
        </w:rPr>
        <w:t xml:space="preserve"> de avaliação e buscam determinar qual tem melhor poder preditivo </w:t>
      </w:r>
      <w:r w:rsidRPr="00C57C0B">
        <w:rPr>
          <w:rFonts w:eastAsia="Times New Roman" w:cs="Times New Roman"/>
          <w:szCs w:val="24"/>
          <w:lang w:val="pt-BR" w:eastAsia="pt-BR" w:bidi="ar-SA"/>
        </w:rPr>
        <w:t>(</w:t>
      </w:r>
      <w:r w:rsidR="00C3198E" w:rsidRPr="00C57C0B">
        <w:rPr>
          <w:rFonts w:eastAsia="Times New Roman" w:cs="Times New Roman"/>
          <w:szCs w:val="24"/>
          <w:lang w:val="pt-BR" w:eastAsia="pt-BR" w:bidi="ar-SA"/>
        </w:rPr>
        <w:t>DEMIRAKOS</w:t>
      </w:r>
      <w:r w:rsidR="00C3198E">
        <w:rPr>
          <w:rFonts w:eastAsia="Times New Roman" w:cs="Times New Roman"/>
          <w:szCs w:val="24"/>
          <w:lang w:val="pt-BR" w:eastAsia="pt-BR" w:bidi="ar-SA"/>
        </w:rPr>
        <w:t>;</w:t>
      </w:r>
      <w:r w:rsidR="00C3198E" w:rsidRPr="00C57C0B">
        <w:rPr>
          <w:rFonts w:eastAsia="Times New Roman" w:cs="Times New Roman"/>
          <w:szCs w:val="24"/>
          <w:lang w:val="pt-BR" w:eastAsia="pt-BR" w:bidi="ar-SA"/>
        </w:rPr>
        <w:t xml:space="preserve"> STRONG</w:t>
      </w:r>
      <w:r w:rsidR="00C3198E">
        <w:rPr>
          <w:rFonts w:eastAsia="Times New Roman" w:cs="Times New Roman"/>
          <w:szCs w:val="24"/>
          <w:lang w:val="pt-BR" w:eastAsia="pt-BR" w:bidi="ar-SA"/>
        </w:rPr>
        <w:t>;</w:t>
      </w:r>
      <w:r w:rsidR="00C3198E" w:rsidRPr="00C57C0B">
        <w:rPr>
          <w:rFonts w:eastAsia="Times New Roman" w:cs="Times New Roman"/>
          <w:szCs w:val="24"/>
          <w:lang w:val="pt-BR" w:eastAsia="pt-BR" w:bidi="ar-SA"/>
        </w:rPr>
        <w:t xml:space="preserve"> WALKER</w:t>
      </w:r>
      <w:r w:rsidRPr="00C57C0B">
        <w:rPr>
          <w:rFonts w:eastAsia="Times New Roman" w:cs="Times New Roman"/>
          <w:szCs w:val="24"/>
          <w:lang w:val="pt-BR" w:eastAsia="pt-BR" w:bidi="ar-SA"/>
        </w:rPr>
        <w:t>, 2004</w:t>
      </w:r>
      <w:r w:rsidR="00D74F90">
        <w:rPr>
          <w:rFonts w:eastAsia="Times New Roman" w:cs="Times New Roman"/>
          <w:szCs w:val="24"/>
          <w:lang w:val="pt-BR" w:eastAsia="pt-BR" w:bidi="ar-SA"/>
        </w:rPr>
        <w:t>;</w:t>
      </w:r>
      <w:r w:rsidRPr="00C57C0B">
        <w:rPr>
          <w:rFonts w:eastAsia="Times New Roman" w:cs="Times New Roman"/>
          <w:szCs w:val="24"/>
          <w:lang w:val="pt-BR" w:eastAsia="pt-BR" w:bidi="ar-SA"/>
        </w:rPr>
        <w:t xml:space="preserve"> </w:t>
      </w:r>
      <w:r w:rsidR="00C3198E" w:rsidRPr="00C57C0B">
        <w:rPr>
          <w:rFonts w:cs="Times New Roman"/>
          <w:color w:val="222222"/>
          <w:szCs w:val="24"/>
          <w:shd w:val="clear" w:color="auto" w:fill="FFFFFF"/>
          <w:lang w:val="pt-BR"/>
        </w:rPr>
        <w:t>SOUTES</w:t>
      </w:r>
      <w:r w:rsidR="00962262">
        <w:rPr>
          <w:rFonts w:cs="Times New Roman"/>
          <w:color w:val="222222"/>
          <w:szCs w:val="24"/>
          <w:shd w:val="clear" w:color="auto" w:fill="FFFFFF"/>
          <w:lang w:val="pt-BR"/>
        </w:rPr>
        <w:t xml:space="preserve"> et al.</w:t>
      </w:r>
      <w:r w:rsidRPr="00C57C0B">
        <w:rPr>
          <w:rFonts w:cs="Times New Roman"/>
          <w:color w:val="222222"/>
          <w:szCs w:val="24"/>
          <w:shd w:val="clear" w:color="auto" w:fill="FFFFFF"/>
          <w:lang w:val="pt-BR"/>
        </w:rPr>
        <w:t>, 2009</w:t>
      </w:r>
      <w:r w:rsidR="00D74F90">
        <w:rPr>
          <w:rFonts w:cs="Times New Roman"/>
          <w:color w:val="222222"/>
          <w:szCs w:val="24"/>
          <w:shd w:val="clear" w:color="auto" w:fill="FFFFFF"/>
          <w:lang w:val="pt-BR"/>
        </w:rPr>
        <w:t>;</w:t>
      </w:r>
      <w:r>
        <w:rPr>
          <w:rFonts w:cs="Times New Roman"/>
          <w:color w:val="222222"/>
          <w:szCs w:val="24"/>
          <w:shd w:val="clear" w:color="auto" w:fill="FFFFFF"/>
          <w:lang w:val="pt-BR"/>
        </w:rPr>
        <w:t xml:space="preserve"> </w:t>
      </w:r>
      <w:r w:rsidR="00C3198E" w:rsidRPr="00CE7D85">
        <w:rPr>
          <w:lang w:val="pt-BR"/>
        </w:rPr>
        <w:t>PAZARZI</w:t>
      </w:r>
      <w:r>
        <w:rPr>
          <w:lang w:val="pt-BR"/>
        </w:rPr>
        <w:t>, 2014</w:t>
      </w:r>
      <w:r w:rsidRPr="00C57C0B">
        <w:rPr>
          <w:rFonts w:eastAsia="Times New Roman" w:cs="Times New Roman"/>
          <w:szCs w:val="24"/>
          <w:lang w:val="pt-BR" w:eastAsia="pt-BR" w:bidi="ar-SA"/>
        </w:rPr>
        <w:t>).</w:t>
      </w:r>
      <w:r>
        <w:rPr>
          <w:rFonts w:eastAsia="Times New Roman" w:cs="Times New Roman"/>
          <w:szCs w:val="24"/>
          <w:lang w:val="pt-BR" w:eastAsia="pt-BR" w:bidi="ar-SA"/>
        </w:rPr>
        <w:t xml:space="preserve"> No entanto, nota-se escassez de trabalhos que analisem o </w:t>
      </w:r>
      <w:proofErr w:type="spellStart"/>
      <w:r w:rsidRPr="002D7A7F">
        <w:rPr>
          <w:rFonts w:eastAsia="Times New Roman" w:cs="Times New Roman"/>
          <w:i/>
          <w:szCs w:val="24"/>
          <w:lang w:val="pt-BR" w:eastAsia="pt-BR" w:bidi="ar-SA"/>
        </w:rPr>
        <w:t>valuation</w:t>
      </w:r>
      <w:proofErr w:type="spellEnd"/>
      <w:r>
        <w:rPr>
          <w:rFonts w:eastAsia="Times New Roman" w:cs="Times New Roman"/>
          <w:szCs w:val="24"/>
          <w:lang w:val="pt-BR" w:eastAsia="pt-BR" w:bidi="ar-SA"/>
        </w:rPr>
        <w:t xml:space="preserve"> de firmas pertencentes ao setor bancário, principalmente no mercado brasileiro.</w:t>
      </w:r>
    </w:p>
    <w:p w14:paraId="596D9485" w14:textId="077082F7" w:rsidR="00356C7B" w:rsidRDefault="00356C7B" w:rsidP="00356C7B">
      <w:pPr>
        <w:pStyle w:val="SemEspaamento"/>
        <w:rPr>
          <w:rFonts w:eastAsia="Times New Roman"/>
          <w:lang w:val="pt-BR" w:eastAsia="pt-BR" w:bidi="ar-SA"/>
        </w:rPr>
      </w:pPr>
      <w:r>
        <w:rPr>
          <w:rFonts w:eastAsia="Times New Roman" w:cs="Times New Roman"/>
          <w:szCs w:val="24"/>
          <w:lang w:val="pt-BR" w:eastAsia="pt-BR" w:bidi="ar-SA"/>
        </w:rPr>
        <w:t xml:space="preserve">Estudar o </w:t>
      </w:r>
      <w:proofErr w:type="spellStart"/>
      <w:r w:rsidRPr="001969CB">
        <w:rPr>
          <w:rFonts w:eastAsia="Times New Roman" w:cs="Times New Roman"/>
          <w:i/>
          <w:szCs w:val="24"/>
          <w:lang w:val="pt-BR" w:eastAsia="pt-BR" w:bidi="ar-SA"/>
        </w:rPr>
        <w:t>valuation</w:t>
      </w:r>
      <w:proofErr w:type="spellEnd"/>
      <w:r>
        <w:rPr>
          <w:rFonts w:eastAsia="Times New Roman" w:cs="Times New Roman"/>
          <w:szCs w:val="24"/>
          <w:lang w:val="pt-BR" w:eastAsia="pt-BR" w:bidi="ar-SA"/>
        </w:rPr>
        <w:t xml:space="preserve"> dos bancos, especificamente, é importante devido a algumas características particulares que esse subsetor possui.  </w:t>
      </w:r>
      <w:r w:rsidRPr="00691E73">
        <w:rPr>
          <w:rFonts w:eastAsia="Times New Roman" w:cs="Times New Roman"/>
          <w:szCs w:val="24"/>
          <w:lang w:val="pt-BR" w:eastAsia="pt-BR" w:bidi="ar-SA"/>
        </w:rPr>
        <w:t>Em primeiro lugar, bancos são alvo</w:t>
      </w:r>
      <w:r>
        <w:rPr>
          <w:rFonts w:eastAsia="Times New Roman" w:cs="Times New Roman"/>
          <w:szCs w:val="24"/>
          <w:lang w:val="pt-BR" w:eastAsia="pt-BR" w:bidi="ar-SA"/>
        </w:rPr>
        <w:t>s</w:t>
      </w:r>
      <w:r w:rsidRPr="00691E73">
        <w:rPr>
          <w:rFonts w:eastAsia="Times New Roman" w:cs="Times New Roman"/>
          <w:szCs w:val="24"/>
          <w:lang w:val="pt-BR" w:eastAsia="pt-BR" w:bidi="ar-SA"/>
        </w:rPr>
        <w:t xml:space="preserve"> de medidas singulares e fortes de regulação</w:t>
      </w:r>
      <w:r>
        <w:rPr>
          <w:rFonts w:eastAsia="Times New Roman" w:cs="Times New Roman"/>
          <w:szCs w:val="24"/>
          <w:lang w:val="pt-BR" w:eastAsia="pt-BR" w:bidi="ar-SA"/>
        </w:rPr>
        <w:t xml:space="preserve">. </w:t>
      </w:r>
      <w:r w:rsidRPr="00691E73">
        <w:rPr>
          <w:rFonts w:eastAsia="Times New Roman" w:cs="Times New Roman"/>
          <w:szCs w:val="24"/>
          <w:lang w:val="pt-BR" w:eastAsia="pt-BR" w:bidi="ar-SA"/>
        </w:rPr>
        <w:t xml:space="preserve">Em segundo lugar, as práticas contábeis dessas instituições são importantes para valorizá-las, uma vez que seus ativos são, em sua maioria, instrumentos financeiros de boa liquidez, o que implica em valores contábeis próximos aos valores de mercado. Além disso, outra prática contábil que costuma distorcer o valor contábil do valor de mercado é </w:t>
      </w:r>
      <w:r>
        <w:rPr>
          <w:rFonts w:eastAsia="Times New Roman" w:cs="Times New Roman"/>
          <w:szCs w:val="24"/>
          <w:lang w:val="pt-BR" w:eastAsia="pt-BR" w:bidi="ar-SA"/>
        </w:rPr>
        <w:t xml:space="preserve">a </w:t>
      </w:r>
      <w:r w:rsidRPr="00691E73">
        <w:rPr>
          <w:rFonts w:eastAsia="Times New Roman" w:cs="Times New Roman"/>
          <w:szCs w:val="24"/>
          <w:lang w:val="pt-BR" w:eastAsia="pt-BR" w:bidi="ar-SA"/>
        </w:rPr>
        <w:t>depreciação, fato que não influi significativamente em demonstrações financeiras de bancos, uma vez que estes possuem poucos ativos depreciáveis</w:t>
      </w:r>
      <w:r>
        <w:rPr>
          <w:rFonts w:eastAsia="Times New Roman" w:cs="Times New Roman"/>
          <w:szCs w:val="24"/>
          <w:lang w:val="pt-BR" w:eastAsia="pt-BR" w:bidi="ar-SA"/>
        </w:rPr>
        <w:t xml:space="preserve"> (</w:t>
      </w:r>
      <w:r w:rsidR="00C3198E">
        <w:rPr>
          <w:rFonts w:eastAsia="Times New Roman" w:cs="Times New Roman"/>
          <w:szCs w:val="24"/>
          <w:lang w:val="pt-BR" w:eastAsia="pt-BR" w:bidi="ar-SA"/>
        </w:rPr>
        <w:t>SUOZZO</w:t>
      </w:r>
      <w:r w:rsidR="00962262">
        <w:rPr>
          <w:rFonts w:eastAsia="Times New Roman" w:cs="Times New Roman"/>
          <w:szCs w:val="24"/>
          <w:lang w:val="pt-BR" w:eastAsia="pt-BR" w:bidi="ar-SA"/>
        </w:rPr>
        <w:t xml:space="preserve"> et al.,</w:t>
      </w:r>
      <w:r w:rsidR="00C3198E">
        <w:rPr>
          <w:rFonts w:eastAsia="Times New Roman" w:cs="Times New Roman"/>
          <w:szCs w:val="24"/>
          <w:lang w:val="pt-BR" w:eastAsia="pt-BR" w:bidi="ar-SA"/>
        </w:rPr>
        <w:t xml:space="preserve"> 2001)</w:t>
      </w:r>
      <w:r w:rsidR="00C3198E" w:rsidRPr="00691E73">
        <w:rPr>
          <w:rFonts w:eastAsia="Times New Roman" w:cs="Times New Roman"/>
          <w:szCs w:val="24"/>
          <w:lang w:val="pt-BR" w:eastAsia="pt-BR" w:bidi="ar-SA"/>
        </w:rPr>
        <w:t>.</w:t>
      </w:r>
      <w:r w:rsidR="00C3198E">
        <w:rPr>
          <w:rFonts w:eastAsia="Times New Roman" w:cs="Times New Roman"/>
          <w:szCs w:val="24"/>
          <w:lang w:val="pt-BR" w:eastAsia="pt-BR" w:bidi="ar-SA"/>
        </w:rPr>
        <w:t xml:space="preserve"> </w:t>
      </w:r>
    </w:p>
    <w:p w14:paraId="5BE7A328" w14:textId="2D8A2ED8" w:rsidR="00356C7B" w:rsidRDefault="00356C7B" w:rsidP="00356C7B">
      <w:pPr>
        <w:pStyle w:val="SemEspaamento"/>
        <w:rPr>
          <w:rFonts w:eastAsia="Times New Roman" w:cs="Times New Roman"/>
          <w:szCs w:val="24"/>
          <w:lang w:val="pt-BR" w:eastAsia="pt-BR" w:bidi="ar-SA"/>
        </w:rPr>
      </w:pPr>
      <w:r>
        <w:rPr>
          <w:rFonts w:eastAsia="Times New Roman" w:cs="Times New Roman"/>
          <w:szCs w:val="24"/>
          <w:lang w:val="pt-BR" w:eastAsia="pt-BR" w:bidi="ar-SA"/>
        </w:rPr>
        <w:t>Visto a relevância da avaliação de empresas através do modelo de múltiplos e a significância do setor bancário no Brasil, tem-se a seguinte questão de pesquisa</w:t>
      </w:r>
      <w:r w:rsidRPr="00311DD0">
        <w:rPr>
          <w:rFonts w:eastAsia="Times New Roman" w:cs="Times New Roman"/>
          <w:szCs w:val="24"/>
          <w:lang w:val="pt-BR" w:eastAsia="pt-BR" w:bidi="ar-SA"/>
        </w:rPr>
        <w:t>:</w:t>
      </w:r>
      <w:r w:rsidRPr="00311DD0">
        <w:rPr>
          <w:rFonts w:eastAsia="Times New Roman" w:cs="Times New Roman"/>
          <w:b/>
          <w:szCs w:val="24"/>
          <w:lang w:val="pt-BR" w:eastAsia="pt-BR" w:bidi="ar-SA"/>
        </w:rPr>
        <w:t xml:space="preserve"> </w:t>
      </w:r>
      <w:r>
        <w:rPr>
          <w:rFonts w:eastAsia="Times New Roman" w:cs="Times New Roman"/>
          <w:b/>
          <w:szCs w:val="24"/>
          <w:lang w:val="pt-BR" w:eastAsia="pt-BR" w:bidi="ar-SA"/>
        </w:rPr>
        <w:t xml:space="preserve">Qual é o poder </w:t>
      </w:r>
      <w:r w:rsidR="00366640">
        <w:rPr>
          <w:b/>
          <w:lang w:val="pt-BR"/>
        </w:rPr>
        <w:t>e</w:t>
      </w:r>
      <w:r w:rsidR="006B0A3C" w:rsidRPr="006B0A3C">
        <w:rPr>
          <w:b/>
          <w:lang w:val="pt-BR"/>
        </w:rPr>
        <w:t>xplicativo</w:t>
      </w:r>
      <w:r w:rsidR="00C5568E">
        <w:rPr>
          <w:b/>
          <w:lang w:val="pt-BR"/>
        </w:rPr>
        <w:t xml:space="preserve"> dos Múltiplos </w:t>
      </w:r>
      <w:r w:rsidR="00C5568E" w:rsidRPr="00A80A77">
        <w:rPr>
          <w:b/>
          <w:lang w:val="pt-BR"/>
        </w:rPr>
        <w:t>Fundamentalistas</w:t>
      </w:r>
      <w:r w:rsidR="00C5568E">
        <w:rPr>
          <w:b/>
          <w:lang w:val="pt-BR"/>
        </w:rPr>
        <w:t xml:space="preserve"> </w:t>
      </w:r>
      <w:r>
        <w:rPr>
          <w:rFonts w:eastAsia="Times New Roman" w:cs="Times New Roman"/>
          <w:b/>
          <w:szCs w:val="24"/>
          <w:lang w:val="pt-BR" w:eastAsia="pt-BR" w:bidi="ar-SA"/>
        </w:rPr>
        <w:t xml:space="preserve">na avaliação de instituições </w:t>
      </w:r>
      <w:r w:rsidRPr="009F0943">
        <w:rPr>
          <w:rFonts w:eastAsia="Times New Roman" w:cs="Times New Roman"/>
          <w:b/>
          <w:szCs w:val="24"/>
          <w:lang w:val="pt-BR" w:eastAsia="pt-BR" w:bidi="ar-SA"/>
        </w:rPr>
        <w:t>bancárias</w:t>
      </w:r>
      <w:r w:rsidR="00BB7827">
        <w:rPr>
          <w:rFonts w:eastAsia="Times New Roman" w:cs="Times New Roman"/>
          <w:b/>
          <w:szCs w:val="24"/>
          <w:lang w:val="pt-BR" w:eastAsia="pt-BR" w:bidi="ar-SA"/>
        </w:rPr>
        <w:t xml:space="preserve"> brasileiras</w:t>
      </w:r>
      <w:r w:rsidRPr="009F0943">
        <w:rPr>
          <w:rFonts w:eastAsia="Times New Roman" w:cs="Times New Roman"/>
          <w:b/>
          <w:szCs w:val="24"/>
          <w:lang w:val="pt-BR" w:eastAsia="pt-BR" w:bidi="ar-SA"/>
        </w:rPr>
        <w:t xml:space="preserve">? </w:t>
      </w:r>
      <w:r w:rsidRPr="009F0943">
        <w:rPr>
          <w:rFonts w:eastAsia="Times New Roman" w:cs="Times New Roman"/>
          <w:szCs w:val="24"/>
          <w:lang w:val="pt-BR" w:eastAsia="pt-BR" w:bidi="ar-SA"/>
        </w:rPr>
        <w:t xml:space="preserve">Assim, o objetivo da pesquisa </w:t>
      </w:r>
      <w:r>
        <w:rPr>
          <w:rFonts w:eastAsia="Times New Roman" w:cs="Times New Roman"/>
          <w:szCs w:val="24"/>
          <w:lang w:val="pt-BR" w:eastAsia="pt-BR" w:bidi="ar-SA"/>
        </w:rPr>
        <w:t xml:space="preserve">foi </w:t>
      </w:r>
      <w:r w:rsidRPr="009F0943">
        <w:rPr>
          <w:rFonts w:eastAsia="Times New Roman" w:cs="Times New Roman"/>
          <w:szCs w:val="24"/>
          <w:lang w:val="pt-BR" w:eastAsia="pt-BR" w:bidi="ar-SA"/>
        </w:rPr>
        <w:t xml:space="preserve">identificar o poder </w:t>
      </w:r>
      <w:r w:rsidR="006B0A3C" w:rsidRPr="006B0A3C">
        <w:rPr>
          <w:bCs/>
          <w:lang w:val="pt-BR"/>
        </w:rPr>
        <w:t>explicativo</w:t>
      </w:r>
      <w:r w:rsidRPr="009F0943">
        <w:rPr>
          <w:rFonts w:eastAsia="Times New Roman" w:cs="Times New Roman"/>
          <w:szCs w:val="24"/>
          <w:lang w:val="pt-BR" w:eastAsia="pt-BR" w:bidi="ar-SA"/>
        </w:rPr>
        <w:t xml:space="preserve"> dos múltiplos</w:t>
      </w:r>
      <w:r w:rsidR="00C16539">
        <w:rPr>
          <w:rFonts w:eastAsia="Times New Roman" w:cs="Times New Roman"/>
          <w:szCs w:val="24"/>
          <w:lang w:val="pt-BR" w:eastAsia="pt-BR" w:bidi="ar-SA"/>
        </w:rPr>
        <w:t xml:space="preserve"> fundamentalistas</w:t>
      </w:r>
      <w:r w:rsidRPr="009F0943">
        <w:rPr>
          <w:rFonts w:eastAsia="Times New Roman" w:cs="Times New Roman"/>
          <w:szCs w:val="24"/>
          <w:lang w:val="pt-BR" w:eastAsia="pt-BR" w:bidi="ar-SA"/>
        </w:rPr>
        <w:t xml:space="preserve"> na avaliação de instituições bancárias</w:t>
      </w:r>
      <w:r w:rsidR="00BB7827">
        <w:rPr>
          <w:rFonts w:eastAsia="Times New Roman" w:cs="Times New Roman"/>
          <w:szCs w:val="24"/>
          <w:lang w:val="pt-BR" w:eastAsia="pt-BR" w:bidi="ar-SA"/>
        </w:rPr>
        <w:t xml:space="preserve"> brasileiras</w:t>
      </w:r>
      <w:r w:rsidRPr="009F0943">
        <w:rPr>
          <w:rFonts w:eastAsia="Times New Roman" w:cs="Times New Roman"/>
          <w:szCs w:val="24"/>
          <w:lang w:val="pt-BR" w:eastAsia="pt-BR" w:bidi="ar-SA"/>
        </w:rPr>
        <w:t>.</w:t>
      </w:r>
      <w:r>
        <w:rPr>
          <w:rFonts w:eastAsia="Times New Roman" w:cs="Times New Roman"/>
          <w:szCs w:val="24"/>
          <w:lang w:val="pt-BR" w:eastAsia="pt-BR" w:bidi="ar-SA"/>
        </w:rPr>
        <w:t xml:space="preserve"> </w:t>
      </w:r>
      <w:r w:rsidRPr="00426EA4">
        <w:rPr>
          <w:rFonts w:eastAsia="Times New Roman" w:cs="Times New Roman"/>
          <w:szCs w:val="24"/>
          <w:lang w:val="pt-BR" w:eastAsia="pt-BR" w:bidi="ar-SA"/>
        </w:rPr>
        <w:t xml:space="preserve">Como objetivo adicional, pretende-se indicar os fatores que influenciam os resultados </w:t>
      </w:r>
      <w:r w:rsidR="00426EA4" w:rsidRPr="00426EA4">
        <w:rPr>
          <w:rFonts w:eastAsia="Times New Roman" w:cs="Times New Roman"/>
          <w:szCs w:val="24"/>
          <w:lang w:val="pt-BR" w:eastAsia="pt-BR" w:bidi="ar-SA"/>
        </w:rPr>
        <w:t>estimados</w:t>
      </w:r>
      <w:r w:rsidRPr="00426EA4">
        <w:rPr>
          <w:rFonts w:eastAsia="Times New Roman" w:cs="Times New Roman"/>
          <w:szCs w:val="24"/>
          <w:lang w:val="pt-BR" w:eastAsia="pt-BR" w:bidi="ar-SA"/>
        </w:rPr>
        <w:t xml:space="preserve"> pelos múltiplos.</w:t>
      </w:r>
      <w:r>
        <w:rPr>
          <w:rFonts w:eastAsia="Times New Roman" w:cs="Times New Roman"/>
          <w:szCs w:val="24"/>
          <w:lang w:val="pt-BR" w:eastAsia="pt-BR" w:bidi="ar-SA"/>
        </w:rPr>
        <w:t xml:space="preserve"> </w:t>
      </w:r>
    </w:p>
    <w:p w14:paraId="606B2480" w14:textId="0EBBFD15" w:rsidR="00356C7B" w:rsidRDefault="00356C7B" w:rsidP="00356C7B">
      <w:pPr>
        <w:pStyle w:val="SemEspaamento"/>
        <w:rPr>
          <w:rFonts w:eastAsiaTheme="majorEastAsia"/>
          <w:lang w:val="pt-BR"/>
        </w:rPr>
      </w:pPr>
      <w:r>
        <w:rPr>
          <w:rFonts w:eastAsiaTheme="majorEastAsia"/>
          <w:lang w:val="pt-BR"/>
        </w:rPr>
        <w:t xml:space="preserve">O estudo justifica-se por investigar um setor que é pouco estudado na área de finanças, mas que é representativo no mercado </w:t>
      </w:r>
      <w:r w:rsidR="00C5568E" w:rsidRPr="00A80A77">
        <w:rPr>
          <w:rFonts w:eastAsiaTheme="majorEastAsia"/>
          <w:lang w:val="pt-BR"/>
        </w:rPr>
        <w:t xml:space="preserve">de negociações </w:t>
      </w:r>
      <w:proofErr w:type="spellStart"/>
      <w:r w:rsidR="00C5568E" w:rsidRPr="00A80A77">
        <w:rPr>
          <w:rFonts w:eastAsiaTheme="majorEastAsia"/>
          <w:lang w:val="pt-BR"/>
        </w:rPr>
        <w:t>bursáteis</w:t>
      </w:r>
      <w:proofErr w:type="spellEnd"/>
      <w:r w:rsidRPr="00A80A77">
        <w:rPr>
          <w:rFonts w:eastAsiaTheme="majorEastAsia"/>
          <w:lang w:val="pt-BR"/>
        </w:rPr>
        <w:t xml:space="preserve"> </w:t>
      </w:r>
      <w:r>
        <w:rPr>
          <w:rFonts w:eastAsiaTheme="majorEastAsia"/>
          <w:lang w:val="pt-BR"/>
        </w:rPr>
        <w:t xml:space="preserve">brasileiro, visto que </w:t>
      </w:r>
      <w:r>
        <w:rPr>
          <w:rFonts w:eastAsia="Times New Roman"/>
          <w:lang w:val="pt-BR" w:eastAsia="pt-BR" w:bidi="ar-SA"/>
        </w:rPr>
        <w:t>os bancos representam 29% da carteira teórica do Ibovespa, que é</w:t>
      </w:r>
      <w:r w:rsidRPr="001C58CB">
        <w:rPr>
          <w:rFonts w:eastAsia="Times New Roman"/>
          <w:lang w:val="pt-BR" w:eastAsia="pt-BR" w:bidi="ar-SA"/>
        </w:rPr>
        <w:t xml:space="preserve"> </w:t>
      </w:r>
      <w:r>
        <w:rPr>
          <w:rFonts w:eastAsia="Times New Roman"/>
          <w:lang w:val="pt-BR" w:eastAsia="pt-BR" w:bidi="ar-SA"/>
        </w:rPr>
        <w:t>composta pelos ati</w:t>
      </w:r>
      <w:r w:rsidRPr="001C58CB">
        <w:rPr>
          <w:rFonts w:eastAsia="Times New Roman"/>
          <w:lang w:val="pt-BR" w:eastAsia="pt-BR" w:bidi="ar-SA"/>
        </w:rPr>
        <w:t xml:space="preserve">vos mais negociados e representativos do mercado de ações </w:t>
      </w:r>
      <w:r>
        <w:rPr>
          <w:rFonts w:eastAsia="Times New Roman"/>
          <w:lang w:val="pt-BR" w:eastAsia="pt-BR" w:bidi="ar-SA"/>
        </w:rPr>
        <w:t>brasileiro (</w:t>
      </w:r>
      <w:r w:rsidR="00C3198E">
        <w:rPr>
          <w:rFonts w:eastAsia="Times New Roman"/>
          <w:lang w:val="pt-BR" w:eastAsia="pt-BR" w:bidi="ar-SA"/>
        </w:rPr>
        <w:t>BRASIL, BOLSA, BALCÃO</w:t>
      </w:r>
      <w:r>
        <w:rPr>
          <w:rFonts w:eastAsia="Times New Roman"/>
          <w:lang w:val="pt-BR" w:eastAsia="pt-BR" w:bidi="ar-SA"/>
        </w:rPr>
        <w:t>, 2019)</w:t>
      </w:r>
      <w:r w:rsidRPr="001C58CB">
        <w:rPr>
          <w:rFonts w:eastAsia="Times New Roman"/>
          <w:lang w:val="pt-BR" w:eastAsia="pt-BR" w:bidi="ar-SA"/>
        </w:rPr>
        <w:t>.</w:t>
      </w:r>
      <w:r>
        <w:rPr>
          <w:rFonts w:eastAsia="Times New Roman"/>
          <w:lang w:val="pt-BR" w:eastAsia="pt-BR" w:bidi="ar-SA"/>
        </w:rPr>
        <w:t xml:space="preserve"> </w:t>
      </w:r>
      <w:r>
        <w:rPr>
          <w:rFonts w:eastAsiaTheme="majorEastAsia"/>
          <w:lang w:val="pt-BR"/>
        </w:rPr>
        <w:t xml:space="preserve">Portanto, o diagnóstico do </w:t>
      </w:r>
      <w:proofErr w:type="spellStart"/>
      <w:r w:rsidRPr="00C44317">
        <w:rPr>
          <w:rFonts w:eastAsiaTheme="majorEastAsia"/>
          <w:i/>
          <w:lang w:val="pt-BR"/>
        </w:rPr>
        <w:t>valuation</w:t>
      </w:r>
      <w:proofErr w:type="spellEnd"/>
      <w:r>
        <w:rPr>
          <w:rFonts w:eastAsiaTheme="majorEastAsia"/>
          <w:lang w:val="pt-BR"/>
        </w:rPr>
        <w:t xml:space="preserve"> dessas empresas acrescenta ao conhecimento já gerado referente a esse setor. Além disso, quando os analistas sustentam que uma ação está subestimada ou o contrário estão em geral fazendo ou julgando com base em uma avaliação relativa (</w:t>
      </w:r>
      <w:r w:rsidR="00C3198E">
        <w:rPr>
          <w:rFonts w:eastAsiaTheme="majorEastAsia"/>
          <w:lang w:val="pt-BR"/>
        </w:rPr>
        <w:t>DAMODARAN</w:t>
      </w:r>
      <w:r>
        <w:rPr>
          <w:rFonts w:eastAsiaTheme="majorEastAsia"/>
          <w:lang w:val="pt-BR"/>
        </w:rPr>
        <w:t xml:space="preserve">, 2007). Para os investidores, este trabalho contribuirá por auxiliá-los a averiguar o real valor das ações dos bancos brasileiros e, assim, tomarem decisões de compra ou venda desses ativos. </w:t>
      </w:r>
    </w:p>
    <w:p w14:paraId="09641CB8" w14:textId="44C666DA" w:rsidR="00356C7B" w:rsidRDefault="00356C7B" w:rsidP="00356C7B">
      <w:pPr>
        <w:pStyle w:val="SemEspaamento"/>
        <w:rPr>
          <w:rFonts w:eastAsia="Times New Roman"/>
          <w:lang w:val="pt-BR" w:eastAsia="pt-BR" w:bidi="ar-SA"/>
        </w:rPr>
      </w:pPr>
      <w:r>
        <w:rPr>
          <w:rFonts w:eastAsia="Times New Roman"/>
          <w:lang w:val="pt-BR" w:eastAsia="pt-BR" w:bidi="ar-SA"/>
        </w:rPr>
        <w:t xml:space="preserve">Este artigo foi dividido em cinco seções. Além desta primeira, que introduz o assunto abordado e </w:t>
      </w:r>
      <w:r w:rsidR="00E3308D">
        <w:rPr>
          <w:rFonts w:eastAsia="Times New Roman"/>
          <w:lang w:val="pt-BR" w:eastAsia="pt-BR" w:bidi="ar-SA"/>
        </w:rPr>
        <w:t xml:space="preserve">expõe </w:t>
      </w:r>
      <w:r>
        <w:rPr>
          <w:rFonts w:eastAsia="Times New Roman"/>
          <w:lang w:val="pt-BR" w:eastAsia="pt-BR" w:bidi="ar-SA"/>
        </w:rPr>
        <w:t xml:space="preserve">os objetivos e justificativa do estudo, apresenta-se a seção </w:t>
      </w:r>
      <w:r w:rsidR="00BB7827">
        <w:rPr>
          <w:rFonts w:eastAsia="Times New Roman"/>
          <w:lang w:val="pt-BR" w:eastAsia="pt-BR" w:bidi="ar-SA"/>
        </w:rPr>
        <w:t xml:space="preserve">dois </w:t>
      </w:r>
      <w:r>
        <w:rPr>
          <w:rFonts w:eastAsia="Times New Roman"/>
          <w:lang w:val="pt-BR" w:eastAsia="pt-BR" w:bidi="ar-SA"/>
        </w:rPr>
        <w:t xml:space="preserve">que trata da </w:t>
      </w:r>
      <w:r>
        <w:rPr>
          <w:rFonts w:eastAsia="Times New Roman"/>
          <w:lang w:val="pt-BR" w:eastAsia="pt-BR" w:bidi="ar-SA"/>
        </w:rPr>
        <w:lastRenderedPageBreak/>
        <w:t>revisão de literatura sobre avaliação de múltiplos</w:t>
      </w:r>
      <w:r w:rsidR="009A49C3">
        <w:rPr>
          <w:rFonts w:eastAsia="Times New Roman"/>
          <w:lang w:val="pt-BR" w:eastAsia="pt-BR" w:bidi="ar-SA"/>
        </w:rPr>
        <w:t xml:space="preserve"> fundamentalistas</w:t>
      </w:r>
      <w:r w:rsidR="00E3308D">
        <w:rPr>
          <w:rFonts w:eastAsia="Times New Roman"/>
          <w:lang w:val="pt-BR" w:eastAsia="pt-BR" w:bidi="ar-SA"/>
        </w:rPr>
        <w:t xml:space="preserve">, estudos empíricos sobre o tema e as hipóteses da pesquisa. As seções três e quatro versam sobre os procedimentos metodológicos e os resultados encontrados, respectivamente. Por fim, a última seção </w:t>
      </w:r>
      <w:r w:rsidR="00BB7827">
        <w:rPr>
          <w:rFonts w:eastAsia="Times New Roman"/>
          <w:lang w:val="pt-BR" w:eastAsia="pt-BR" w:bidi="ar-SA"/>
        </w:rPr>
        <w:t xml:space="preserve">apresenta </w:t>
      </w:r>
      <w:r w:rsidR="00E3308D">
        <w:rPr>
          <w:rFonts w:eastAsia="Times New Roman"/>
          <w:lang w:val="pt-BR" w:eastAsia="pt-BR" w:bidi="ar-SA"/>
        </w:rPr>
        <w:t>as con</w:t>
      </w:r>
      <w:r w:rsidR="00A80A77">
        <w:rPr>
          <w:rFonts w:eastAsia="Times New Roman"/>
          <w:lang w:val="pt-BR" w:eastAsia="pt-BR" w:bidi="ar-SA"/>
        </w:rPr>
        <w:t>clusões.</w:t>
      </w:r>
    </w:p>
    <w:p w14:paraId="60AE66A1" w14:textId="77777777" w:rsidR="00356C7B" w:rsidRPr="00D228AE" w:rsidRDefault="00356C7B" w:rsidP="00356C7B">
      <w:pPr>
        <w:pStyle w:val="SemEspaamento"/>
        <w:rPr>
          <w:rFonts w:eastAsiaTheme="majorEastAsia"/>
          <w:lang w:val="pt-BR"/>
        </w:rPr>
      </w:pPr>
    </w:p>
    <w:p w14:paraId="1DA419A3" w14:textId="77777777" w:rsidR="00E3308D" w:rsidRPr="008D36E7" w:rsidRDefault="00356C7B" w:rsidP="002E04DA">
      <w:pPr>
        <w:pStyle w:val="Ttulo2"/>
        <w:spacing w:before="0" w:after="120" w:line="240" w:lineRule="auto"/>
        <w:rPr>
          <w:rFonts w:cs="Times New Roman"/>
          <w:szCs w:val="24"/>
          <w:lang w:val="pt-BR"/>
        </w:rPr>
      </w:pPr>
      <w:r w:rsidRPr="00691E73">
        <w:rPr>
          <w:rFonts w:cs="Times New Roman"/>
          <w:szCs w:val="24"/>
          <w:lang w:val="pt-BR"/>
        </w:rPr>
        <w:t xml:space="preserve">2 </w:t>
      </w:r>
      <w:r>
        <w:rPr>
          <w:rFonts w:cs="Times New Roman"/>
          <w:szCs w:val="24"/>
          <w:lang w:val="pt-BR"/>
        </w:rPr>
        <w:t>Revisão de Literatura</w:t>
      </w:r>
      <w:bookmarkStart w:id="0" w:name="_Hlk8848822"/>
    </w:p>
    <w:p w14:paraId="3B785250" w14:textId="7605DA81" w:rsidR="00356C7B" w:rsidRDefault="00356C7B" w:rsidP="002E04DA">
      <w:pPr>
        <w:spacing w:before="0" w:after="120" w:line="240" w:lineRule="auto"/>
        <w:rPr>
          <w:rFonts w:eastAsia="Times New Roman" w:cs="Times New Roman"/>
          <w:b/>
          <w:szCs w:val="24"/>
          <w:lang w:val="pt-BR" w:eastAsia="pt-BR" w:bidi="ar-SA"/>
        </w:rPr>
      </w:pPr>
      <w:r w:rsidRPr="00691E73">
        <w:rPr>
          <w:rFonts w:eastAsia="Times New Roman" w:cs="Times New Roman"/>
          <w:b/>
          <w:szCs w:val="24"/>
          <w:lang w:val="pt-BR" w:eastAsia="pt-BR" w:bidi="ar-SA"/>
        </w:rPr>
        <w:t xml:space="preserve">2.1 Avaliação por Múltiplos </w:t>
      </w:r>
      <w:r w:rsidR="009A49C3">
        <w:rPr>
          <w:rFonts w:eastAsia="Times New Roman" w:cs="Times New Roman"/>
          <w:b/>
          <w:szCs w:val="24"/>
          <w:lang w:val="pt-BR" w:eastAsia="pt-BR" w:bidi="ar-SA"/>
        </w:rPr>
        <w:t>Fundamentalistas</w:t>
      </w:r>
    </w:p>
    <w:p w14:paraId="11FAA793" w14:textId="665E1939" w:rsidR="00356C7B" w:rsidRDefault="00356C7B" w:rsidP="00356C7B">
      <w:pPr>
        <w:pStyle w:val="SemEspaamento"/>
        <w:rPr>
          <w:rFonts w:eastAsia="Times New Roman"/>
          <w:lang w:val="pt-BR" w:eastAsia="pt-BR" w:bidi="ar-SA"/>
        </w:rPr>
      </w:pPr>
      <w:r w:rsidRPr="00691E73">
        <w:rPr>
          <w:rFonts w:eastAsia="Times New Roman"/>
          <w:lang w:val="pt-BR" w:eastAsia="pt-BR" w:bidi="ar-SA"/>
        </w:rPr>
        <w:t xml:space="preserve">Basicamente, um múltiplo é uma expressão do valor de mercado relativo a um dado </w:t>
      </w:r>
      <w:r w:rsidR="00B55FBD">
        <w:rPr>
          <w:rFonts w:eastAsia="Times New Roman"/>
          <w:lang w:val="pt-BR" w:eastAsia="pt-BR" w:bidi="ar-SA"/>
        </w:rPr>
        <w:t>econométrico</w:t>
      </w:r>
      <w:r w:rsidRPr="00691E73">
        <w:rPr>
          <w:rFonts w:eastAsia="Times New Roman"/>
          <w:lang w:val="pt-BR" w:eastAsia="pt-BR" w:bidi="ar-SA"/>
        </w:rPr>
        <w:t xml:space="preserve"> que é relevante para tal avaliação de valor</w:t>
      </w:r>
      <w:r>
        <w:rPr>
          <w:rFonts w:eastAsia="Times New Roman"/>
          <w:lang w:val="pt-BR" w:eastAsia="pt-BR" w:bidi="ar-SA"/>
        </w:rPr>
        <w:t xml:space="preserve">. </w:t>
      </w:r>
      <w:r w:rsidRPr="00691E73">
        <w:rPr>
          <w:rFonts w:eastAsia="Times New Roman"/>
          <w:lang w:val="pt-BR" w:eastAsia="pt-BR" w:bidi="ar-SA"/>
        </w:rPr>
        <w:t>Para ser relevante, esse dado deve estar ligado de uma maneira lógica ao valor de mercado que se busca determinar, para que possa ser visto como causa para existência de tal valor</w:t>
      </w:r>
      <w:r>
        <w:rPr>
          <w:rFonts w:eastAsia="Times New Roman"/>
          <w:lang w:val="pt-BR" w:eastAsia="pt-BR" w:bidi="ar-SA"/>
        </w:rPr>
        <w:t xml:space="preserve"> </w:t>
      </w:r>
      <w:r w:rsidRPr="00882E22">
        <w:rPr>
          <w:rFonts w:eastAsia="Times New Roman"/>
          <w:lang w:val="pt-BR" w:eastAsia="pt-BR" w:bidi="ar-SA"/>
        </w:rPr>
        <w:t>(</w:t>
      </w:r>
      <w:r w:rsidR="00962262" w:rsidRPr="00962262">
        <w:rPr>
          <w:rFonts w:eastAsia="Times New Roman"/>
          <w:lang w:val="pt-BR" w:eastAsia="pt-BR" w:bidi="ar-SA"/>
        </w:rPr>
        <w:t xml:space="preserve">SUOZZO </w:t>
      </w:r>
      <w:r w:rsidRPr="00962262">
        <w:rPr>
          <w:rFonts w:eastAsia="Times New Roman"/>
          <w:lang w:val="pt-BR" w:eastAsia="pt-BR" w:bidi="ar-SA"/>
        </w:rPr>
        <w:t>et al</w:t>
      </w:r>
      <w:r w:rsidR="00426EA4" w:rsidRPr="00962262">
        <w:rPr>
          <w:rFonts w:eastAsia="Times New Roman"/>
          <w:lang w:val="pt-BR" w:eastAsia="pt-BR" w:bidi="ar-SA"/>
        </w:rPr>
        <w:t>.</w:t>
      </w:r>
      <w:r w:rsidRPr="00962262">
        <w:rPr>
          <w:rFonts w:eastAsia="Times New Roman"/>
          <w:lang w:val="pt-BR" w:eastAsia="pt-BR" w:bidi="ar-SA"/>
        </w:rPr>
        <w:t>,</w:t>
      </w:r>
      <w:r w:rsidRPr="00882E22">
        <w:rPr>
          <w:rFonts w:eastAsia="Times New Roman"/>
          <w:lang w:val="pt-BR" w:eastAsia="pt-BR" w:bidi="ar-SA"/>
        </w:rPr>
        <w:t xml:space="preserve"> 2001)</w:t>
      </w:r>
      <w:r w:rsidRPr="00691E73">
        <w:rPr>
          <w:rFonts w:eastAsia="Times New Roman"/>
          <w:lang w:val="pt-BR" w:eastAsia="pt-BR" w:bidi="ar-SA"/>
        </w:rPr>
        <w:t xml:space="preserve">. </w:t>
      </w:r>
      <w:r>
        <w:rPr>
          <w:rFonts w:eastAsia="Times New Roman"/>
          <w:lang w:val="pt-BR" w:eastAsia="pt-BR" w:bidi="ar-SA"/>
        </w:rPr>
        <w:t>A avaliação por múltiplos tem como finalidade</w:t>
      </w:r>
      <w:r w:rsidRPr="002A69AE">
        <w:rPr>
          <w:rFonts w:eastAsia="Times New Roman"/>
          <w:lang w:val="pt-BR" w:eastAsia="pt-BR" w:bidi="ar-SA"/>
        </w:rPr>
        <w:t xml:space="preserve"> avaliar os ativos com base na forma como ativos similares são atualmente precificados no mercado (</w:t>
      </w:r>
      <w:r w:rsidR="00962262" w:rsidRPr="002A69AE">
        <w:rPr>
          <w:rFonts w:eastAsia="Times New Roman"/>
          <w:lang w:val="pt-BR" w:eastAsia="pt-BR" w:bidi="ar-SA"/>
        </w:rPr>
        <w:t>DAMODARAN</w:t>
      </w:r>
      <w:r w:rsidRPr="002A69AE">
        <w:rPr>
          <w:rFonts w:eastAsia="Times New Roman"/>
          <w:lang w:val="pt-BR" w:eastAsia="pt-BR" w:bidi="ar-SA"/>
        </w:rPr>
        <w:t xml:space="preserve">, </w:t>
      </w:r>
      <w:r>
        <w:rPr>
          <w:rFonts w:eastAsia="Times New Roman"/>
          <w:lang w:val="pt-BR" w:eastAsia="pt-BR" w:bidi="ar-SA"/>
        </w:rPr>
        <w:t>200</w:t>
      </w:r>
      <w:r w:rsidRPr="002A69AE">
        <w:rPr>
          <w:rFonts w:eastAsia="Times New Roman"/>
          <w:lang w:val="pt-BR" w:eastAsia="pt-BR" w:bidi="ar-SA"/>
        </w:rPr>
        <w:t>7).</w:t>
      </w:r>
    </w:p>
    <w:p w14:paraId="57FB6414" w14:textId="7AC58853" w:rsidR="00356C7B" w:rsidRDefault="00356C7B" w:rsidP="00356C7B">
      <w:pPr>
        <w:pStyle w:val="SemEspaamento"/>
        <w:rPr>
          <w:rFonts w:eastAsia="Times New Roman"/>
          <w:lang w:val="pt-BR" w:eastAsia="pt-BR" w:bidi="ar-SA"/>
        </w:rPr>
      </w:pPr>
      <w:r>
        <w:rPr>
          <w:rFonts w:eastAsiaTheme="minorHAnsi"/>
          <w:lang w:val="pt-BR" w:bidi="ar-SA"/>
        </w:rPr>
        <w:t>A dinâmica da avaliação de empresas por múltiplos requer que as firmas similares sejam realmente comparáveis à empresa sendo avaliada. O ideal é que a variância dos múltiplos seja (i) pequena entre as empresas comparáveis e (</w:t>
      </w:r>
      <w:proofErr w:type="spellStart"/>
      <w:r>
        <w:rPr>
          <w:rFonts w:eastAsiaTheme="minorHAnsi"/>
          <w:lang w:val="pt-BR" w:bidi="ar-SA"/>
        </w:rPr>
        <w:t>ii</w:t>
      </w:r>
      <w:proofErr w:type="spellEnd"/>
      <w:r>
        <w:rPr>
          <w:rFonts w:eastAsiaTheme="minorHAnsi"/>
          <w:lang w:val="pt-BR" w:bidi="ar-SA"/>
        </w:rPr>
        <w:t>) grande entre as empresas comparáveis e as empresas não comparáveis (</w:t>
      </w:r>
      <w:r w:rsidR="00962262">
        <w:rPr>
          <w:rFonts w:eastAsiaTheme="minorHAnsi"/>
          <w:lang w:val="pt-BR" w:bidi="ar-SA"/>
        </w:rPr>
        <w:t>SERRA; FÁVERO</w:t>
      </w:r>
      <w:r>
        <w:rPr>
          <w:rFonts w:eastAsiaTheme="minorHAnsi"/>
          <w:lang w:val="pt-BR" w:bidi="ar-SA"/>
        </w:rPr>
        <w:t>, 2016).</w:t>
      </w:r>
    </w:p>
    <w:p w14:paraId="623B3D83" w14:textId="67CA3157" w:rsidR="00356C7B" w:rsidRDefault="00356C7B" w:rsidP="00356C7B">
      <w:pPr>
        <w:pStyle w:val="SemEspaamento"/>
        <w:rPr>
          <w:rFonts w:eastAsia="Times New Roman"/>
          <w:lang w:val="pt-BR" w:eastAsia="pt-BR" w:bidi="ar-SA"/>
        </w:rPr>
      </w:pPr>
      <w:proofErr w:type="spellStart"/>
      <w:r>
        <w:rPr>
          <w:rFonts w:eastAsia="Times New Roman"/>
          <w:lang w:val="pt-BR" w:eastAsia="pt-BR" w:bidi="ar-SA"/>
        </w:rPr>
        <w:t>Damodaran</w:t>
      </w:r>
      <w:proofErr w:type="spellEnd"/>
      <w:r>
        <w:rPr>
          <w:rFonts w:eastAsia="Times New Roman"/>
          <w:lang w:val="pt-BR" w:eastAsia="pt-BR" w:bidi="ar-SA"/>
        </w:rPr>
        <w:t xml:space="preserve"> (2007) afirma que comumente consideram-se como empresas comparáveis aquelas que pertencem ao mesmo setor da firma analisada. Entretanto, estudos como </w:t>
      </w:r>
      <w:r w:rsidR="00840CEC">
        <w:rPr>
          <w:rFonts w:eastAsia="Times New Roman"/>
          <w:lang w:val="pt-BR" w:eastAsia="pt-BR" w:bidi="ar-SA"/>
        </w:rPr>
        <w:t xml:space="preserve">os </w:t>
      </w:r>
      <w:r>
        <w:rPr>
          <w:rFonts w:eastAsia="Times New Roman"/>
          <w:lang w:val="pt-BR" w:eastAsia="pt-BR" w:bidi="ar-SA"/>
        </w:rPr>
        <w:t>de Saliba (2008), Couto</w:t>
      </w:r>
      <w:r w:rsidR="000B4398">
        <w:rPr>
          <w:rFonts w:eastAsia="Times New Roman"/>
          <w:lang w:val="pt-BR" w:eastAsia="pt-BR" w:bidi="ar-SA"/>
        </w:rPr>
        <w:t xml:space="preserve"> Júnior</w:t>
      </w:r>
      <w:r>
        <w:rPr>
          <w:rFonts w:eastAsia="Times New Roman"/>
          <w:lang w:val="pt-BR" w:eastAsia="pt-BR" w:bidi="ar-SA"/>
        </w:rPr>
        <w:t xml:space="preserve"> e Galdi (2012) e Serra e Fávero (2016) examinaram outras maneiras de elencar empresas similares. O</w:t>
      </w:r>
      <w:r w:rsidR="00520BB0">
        <w:rPr>
          <w:rFonts w:eastAsia="Times New Roman"/>
          <w:lang w:val="pt-BR" w:eastAsia="pt-BR" w:bidi="ar-SA"/>
        </w:rPr>
        <w:t xml:space="preserve"> estudo de</w:t>
      </w:r>
      <w:r>
        <w:rPr>
          <w:rFonts w:eastAsia="Times New Roman"/>
          <w:lang w:val="pt-BR" w:eastAsia="pt-BR" w:bidi="ar-SA"/>
        </w:rPr>
        <w:t xml:space="preserve"> </w:t>
      </w:r>
      <w:r w:rsidR="002118B7">
        <w:rPr>
          <w:rFonts w:eastAsia="Times New Roman"/>
          <w:lang w:val="pt-BR" w:eastAsia="pt-BR" w:bidi="ar-SA"/>
        </w:rPr>
        <w:t>Saliba (2008)</w:t>
      </w:r>
      <w:r>
        <w:rPr>
          <w:rFonts w:eastAsia="Times New Roman"/>
          <w:lang w:val="pt-BR" w:eastAsia="pt-BR" w:bidi="ar-SA"/>
        </w:rPr>
        <w:t xml:space="preserve"> adotou</w:t>
      </w:r>
      <w:r w:rsidR="00520BB0">
        <w:rPr>
          <w:rFonts w:eastAsia="Times New Roman"/>
          <w:lang w:val="pt-BR" w:eastAsia="pt-BR" w:bidi="ar-SA"/>
        </w:rPr>
        <w:t xml:space="preserve"> duas formas de determinar as empresas comparáveis, </w:t>
      </w:r>
      <w:r w:rsidR="002118B7">
        <w:rPr>
          <w:rFonts w:eastAsia="Times New Roman"/>
          <w:lang w:val="pt-BR" w:eastAsia="pt-BR" w:bidi="ar-SA"/>
        </w:rPr>
        <w:t>sendo que a primeira delas considerou</w:t>
      </w:r>
      <w:r>
        <w:rPr>
          <w:rFonts w:eastAsia="Times New Roman"/>
          <w:lang w:val="pt-BR" w:eastAsia="pt-BR" w:bidi="ar-SA"/>
        </w:rPr>
        <w:t xml:space="preserve"> como comparáveis</w:t>
      </w:r>
      <w:r w:rsidR="002118B7">
        <w:rPr>
          <w:rFonts w:eastAsia="Times New Roman"/>
          <w:lang w:val="pt-BR" w:eastAsia="pt-BR" w:bidi="ar-SA"/>
        </w:rPr>
        <w:t xml:space="preserve"> </w:t>
      </w:r>
      <w:r w:rsidR="00520BB0">
        <w:rPr>
          <w:rFonts w:eastAsia="Times New Roman"/>
          <w:lang w:val="pt-BR" w:eastAsia="pt-BR" w:bidi="ar-SA"/>
        </w:rPr>
        <w:t xml:space="preserve">as </w:t>
      </w:r>
      <w:r w:rsidR="002118B7">
        <w:rPr>
          <w:rFonts w:eastAsia="Times New Roman"/>
          <w:lang w:val="pt-BR" w:eastAsia="pt-BR" w:bidi="ar-SA"/>
        </w:rPr>
        <w:t>empresas do mesmo setor e a segunda</w:t>
      </w:r>
      <w:r>
        <w:rPr>
          <w:rFonts w:eastAsia="Times New Roman"/>
          <w:lang w:val="pt-BR" w:eastAsia="pt-BR" w:bidi="ar-SA"/>
        </w:rPr>
        <w:t xml:space="preserve"> todas as empresas da amostra independente do setor de atuação</w:t>
      </w:r>
      <w:r w:rsidR="002118B7">
        <w:rPr>
          <w:rFonts w:eastAsia="Times New Roman"/>
          <w:lang w:val="pt-BR" w:eastAsia="pt-BR" w:bidi="ar-SA"/>
        </w:rPr>
        <w:t>.</w:t>
      </w:r>
      <w:r>
        <w:rPr>
          <w:rFonts w:eastAsia="Times New Roman"/>
          <w:lang w:val="pt-BR" w:eastAsia="pt-BR" w:bidi="ar-SA"/>
        </w:rPr>
        <w:t xml:space="preserve"> </w:t>
      </w:r>
      <w:r w:rsidR="00520BB0" w:rsidRPr="00520BB0">
        <w:rPr>
          <w:rFonts w:eastAsia="Times New Roman"/>
          <w:lang w:val="pt-BR" w:eastAsia="pt-BR" w:bidi="ar-SA"/>
        </w:rPr>
        <w:t>Ao compar</w:t>
      </w:r>
      <w:r w:rsidR="00520BB0">
        <w:rPr>
          <w:rFonts w:eastAsia="Times New Roman"/>
          <w:lang w:val="pt-BR" w:eastAsia="pt-BR" w:bidi="ar-SA"/>
        </w:rPr>
        <w:t xml:space="preserve">ar os resultados de cada uma das classificações, o autor constatou que a performance dos múltiplos foi melhor quando incluídas todas as empresas sem distinção de setores. </w:t>
      </w:r>
      <w:r w:rsidR="002118B7">
        <w:rPr>
          <w:rFonts w:eastAsia="Times New Roman"/>
          <w:lang w:val="pt-BR" w:eastAsia="pt-BR" w:bidi="ar-SA"/>
        </w:rPr>
        <w:t>Por outro lado, Couto</w:t>
      </w:r>
      <w:r w:rsidR="000B4398">
        <w:rPr>
          <w:rFonts w:eastAsia="Times New Roman"/>
          <w:lang w:val="pt-BR" w:eastAsia="pt-BR" w:bidi="ar-SA"/>
        </w:rPr>
        <w:t xml:space="preserve"> Júnior</w:t>
      </w:r>
      <w:r w:rsidR="002118B7">
        <w:rPr>
          <w:rFonts w:eastAsia="Times New Roman"/>
          <w:lang w:val="pt-BR" w:eastAsia="pt-BR" w:bidi="ar-SA"/>
        </w:rPr>
        <w:t xml:space="preserve"> e Galdi (2012) </w:t>
      </w:r>
      <w:r>
        <w:rPr>
          <w:rFonts w:eastAsia="Times New Roman"/>
          <w:lang w:val="pt-BR" w:eastAsia="pt-BR" w:bidi="ar-SA"/>
        </w:rPr>
        <w:t>empreg</w:t>
      </w:r>
      <w:r w:rsidR="002118B7">
        <w:rPr>
          <w:rFonts w:eastAsia="Times New Roman"/>
          <w:lang w:val="pt-BR" w:eastAsia="pt-BR" w:bidi="ar-SA"/>
        </w:rPr>
        <w:t>aram</w:t>
      </w:r>
      <w:r>
        <w:rPr>
          <w:rFonts w:eastAsia="Times New Roman"/>
          <w:lang w:val="pt-BR" w:eastAsia="pt-BR" w:bidi="ar-SA"/>
        </w:rPr>
        <w:t xml:space="preserve"> a técnica estatística de análise de </w:t>
      </w:r>
      <w:r w:rsidRPr="002215B2">
        <w:rPr>
          <w:rFonts w:eastAsia="Times New Roman"/>
          <w:i/>
          <w:lang w:val="pt-BR" w:eastAsia="pt-BR" w:bidi="ar-SA"/>
        </w:rPr>
        <w:t>cluster</w:t>
      </w:r>
      <w:r>
        <w:rPr>
          <w:rFonts w:eastAsia="Times New Roman"/>
          <w:lang w:val="pt-BR" w:eastAsia="pt-BR" w:bidi="ar-SA"/>
        </w:rPr>
        <w:t xml:space="preserve"> para determinar grupos de firmas que teriam características semelhantes. Por fim, Serra e Fávero (2016) compararam a determinação das empresas similares através de companhias do mesmo setor e empresas agrupadas por análise de </w:t>
      </w:r>
      <w:r w:rsidRPr="002215B2">
        <w:rPr>
          <w:rFonts w:eastAsia="Times New Roman"/>
          <w:i/>
          <w:lang w:val="pt-BR" w:eastAsia="pt-BR" w:bidi="ar-SA"/>
        </w:rPr>
        <w:t>cluster</w:t>
      </w:r>
      <w:r>
        <w:rPr>
          <w:rFonts w:eastAsia="Times New Roman"/>
          <w:i/>
          <w:lang w:val="pt-BR" w:eastAsia="pt-BR" w:bidi="ar-SA"/>
        </w:rPr>
        <w:t xml:space="preserve">. </w:t>
      </w:r>
      <w:r>
        <w:rPr>
          <w:rFonts w:eastAsia="Times New Roman"/>
          <w:lang w:val="pt-BR" w:eastAsia="pt-BR" w:bidi="ar-SA"/>
        </w:rPr>
        <w:t xml:space="preserve">Os resultados apontaram que a análise de </w:t>
      </w:r>
      <w:r w:rsidRPr="002215B2">
        <w:rPr>
          <w:rFonts w:eastAsia="Times New Roman"/>
          <w:i/>
          <w:lang w:val="pt-BR" w:eastAsia="pt-BR" w:bidi="ar-SA"/>
        </w:rPr>
        <w:t>cluster</w:t>
      </w:r>
      <w:r>
        <w:rPr>
          <w:rFonts w:eastAsia="Times New Roman"/>
          <w:lang w:val="pt-BR" w:eastAsia="pt-BR" w:bidi="ar-SA"/>
        </w:rPr>
        <w:t xml:space="preserve"> permite encontrar firmas que desempenham melhor papel como comparáveis.</w:t>
      </w:r>
    </w:p>
    <w:p w14:paraId="15B3BA29" w14:textId="488BBDF6" w:rsidR="00356C7B" w:rsidRDefault="00356C7B" w:rsidP="00356C7B">
      <w:pPr>
        <w:pStyle w:val="SemEspaamento"/>
        <w:rPr>
          <w:rFonts w:eastAsia="Times New Roman"/>
          <w:lang w:val="pt-BR" w:eastAsia="pt-BR" w:bidi="ar-SA"/>
        </w:rPr>
      </w:pPr>
      <w:r>
        <w:rPr>
          <w:rFonts w:eastAsia="Times New Roman"/>
          <w:lang w:val="pt-BR" w:eastAsia="pt-BR" w:bidi="ar-SA"/>
        </w:rPr>
        <w:t>Um múltiplo é determinado pela razão do preço da ação e de uma variável econômica, que é escolhida considerando particularidades da empresa estudada e o setor em que esta está inserida. Por exemplo, uma empresa madura com fluxos de caixas estáveis e uma firma que detém alto endividamento e está em fase de expansão requerem diferentes variáveis econômicas a serem consideradas pela análise relativa (</w:t>
      </w:r>
      <w:r w:rsidR="00962262">
        <w:rPr>
          <w:rFonts w:eastAsia="Times New Roman"/>
          <w:lang w:val="pt-BR" w:eastAsia="pt-BR" w:bidi="ar-SA"/>
        </w:rPr>
        <w:t>DAMODARAN</w:t>
      </w:r>
      <w:r>
        <w:rPr>
          <w:rFonts w:eastAsia="Times New Roman"/>
          <w:lang w:val="pt-BR" w:eastAsia="pt-BR" w:bidi="ar-SA"/>
        </w:rPr>
        <w:t>, 2007</w:t>
      </w:r>
      <w:r w:rsidR="00962262">
        <w:rPr>
          <w:rFonts w:eastAsia="Times New Roman"/>
          <w:lang w:val="pt-BR" w:eastAsia="pt-BR" w:bidi="ar-SA"/>
        </w:rPr>
        <w:t>;</w:t>
      </w:r>
      <w:r>
        <w:rPr>
          <w:rFonts w:eastAsia="Times New Roman"/>
          <w:lang w:val="pt-BR" w:eastAsia="pt-BR" w:bidi="ar-SA"/>
        </w:rPr>
        <w:t xml:space="preserve"> </w:t>
      </w:r>
      <w:r w:rsidR="00962262">
        <w:rPr>
          <w:rFonts w:eastAsia="Times New Roman"/>
          <w:lang w:val="pt-BR" w:eastAsia="pt-BR" w:bidi="ar-SA"/>
        </w:rPr>
        <w:t>PENMAN</w:t>
      </w:r>
      <w:r>
        <w:rPr>
          <w:rFonts w:eastAsia="Times New Roman"/>
          <w:lang w:val="pt-BR" w:eastAsia="pt-BR" w:bidi="ar-SA"/>
        </w:rPr>
        <w:t>, 2013). Como equação geral dos múltiplos tem-se a representação matemática apresentada na equação 1:</w:t>
      </w:r>
    </w:p>
    <w:p w14:paraId="2AF97C21" w14:textId="77777777" w:rsidR="00356C7B" w:rsidRDefault="00356C7B" w:rsidP="00356C7B">
      <w:pPr>
        <w:pStyle w:val="SemEspaamento"/>
        <w:rPr>
          <w:rFonts w:eastAsia="Times New Roman"/>
          <w:lang w:val="pt-BR" w:eastAsia="pt-BR" w:bidi="ar-SA"/>
        </w:rPr>
      </w:pPr>
    </w:p>
    <w:p w14:paraId="401BD189" w14:textId="77777777" w:rsidR="00356C7B" w:rsidRDefault="00356C7B" w:rsidP="00356C7B">
      <w:pPr>
        <w:pStyle w:val="SemEspaamento"/>
        <w:ind w:left="1415"/>
        <w:rPr>
          <w:rFonts w:eastAsia="Times New Roman"/>
          <w:lang w:val="pt-BR" w:eastAsia="pt-BR" w:bidi="ar-SA"/>
        </w:rPr>
      </w:pPr>
      <w:r>
        <w:rPr>
          <w:rFonts w:eastAsia="Times New Roman"/>
          <w:sz w:val="26"/>
          <w:szCs w:val="26"/>
          <w:lang w:val="pt-BR" w:eastAsia="pt-BR" w:bidi="ar-SA"/>
        </w:rPr>
        <w:t xml:space="preserve">     </w:t>
      </w:r>
      <m:oMath>
        <m:sSub>
          <m:sSubPr>
            <m:ctrlPr>
              <w:rPr>
                <w:rFonts w:ascii="Cambria Math" w:eastAsia="Times New Roman" w:hAnsi="Cambria Math" w:cs="Times New Roman"/>
                <w:i/>
                <w:sz w:val="26"/>
                <w:szCs w:val="26"/>
                <w:lang w:val="pt-BR" w:eastAsia="pt-BR" w:bidi="ar-SA"/>
              </w:rPr>
            </m:ctrlPr>
          </m:sSubPr>
          <m:e>
            <m:r>
              <w:rPr>
                <w:rFonts w:ascii="Cambria Math" w:eastAsia="Times New Roman" w:hAnsi="Cambria Math" w:cs="Times New Roman"/>
                <w:sz w:val="26"/>
                <w:szCs w:val="26"/>
                <w:lang w:val="pt-BR" w:eastAsia="pt-BR" w:bidi="ar-SA"/>
              </w:rPr>
              <m:t>P</m:t>
            </m:r>
          </m:e>
          <m:sub>
            <m:r>
              <w:rPr>
                <w:rFonts w:ascii="Cambria Math" w:eastAsia="Times New Roman" w:hAnsi="Cambria Math" w:cs="Times New Roman"/>
                <w:sz w:val="26"/>
                <w:szCs w:val="26"/>
                <w:lang w:val="pt-BR" w:eastAsia="pt-BR" w:bidi="ar-SA"/>
              </w:rPr>
              <m:t>it</m:t>
            </m:r>
          </m:sub>
        </m:sSub>
        <m:r>
          <w:rPr>
            <w:rFonts w:ascii="Cambria Math" w:eastAsia="Times New Roman" w:hAnsi="Cambria Math" w:cs="Times New Roman"/>
            <w:sz w:val="26"/>
            <w:szCs w:val="26"/>
            <w:lang w:val="pt-BR" w:eastAsia="pt-BR" w:bidi="ar-SA"/>
          </w:rPr>
          <m:t xml:space="preserve">= </m:t>
        </m:r>
        <m:sSub>
          <m:sSubPr>
            <m:ctrlPr>
              <w:rPr>
                <w:rFonts w:ascii="Cambria Math" w:eastAsia="Times New Roman" w:hAnsi="Cambria Math" w:cs="Times New Roman"/>
                <w:i/>
                <w:sz w:val="26"/>
                <w:szCs w:val="26"/>
                <w:lang w:val="pt-BR" w:eastAsia="pt-BR" w:bidi="ar-SA"/>
              </w:rPr>
            </m:ctrlPr>
          </m:sSubPr>
          <m:e>
            <m:r>
              <w:rPr>
                <w:rFonts w:ascii="Cambria Math" w:eastAsia="Times New Roman" w:hAnsi="Cambria Math" w:cs="Times New Roman"/>
                <w:sz w:val="26"/>
                <w:szCs w:val="26"/>
                <w:lang w:val="pt-BR" w:eastAsia="pt-BR" w:bidi="ar-SA"/>
              </w:rPr>
              <m:t>β</m:t>
            </m:r>
          </m:e>
          <m:sub>
            <m:r>
              <w:rPr>
                <w:rFonts w:ascii="Cambria Math" w:eastAsia="Times New Roman" w:hAnsi="Cambria Math" w:cs="Times New Roman"/>
                <w:sz w:val="26"/>
                <w:szCs w:val="26"/>
                <w:lang w:val="pt-BR" w:eastAsia="pt-BR" w:bidi="ar-SA"/>
              </w:rPr>
              <m:t>ct</m:t>
            </m:r>
          </m:sub>
        </m:sSub>
        <m:sSub>
          <m:sSubPr>
            <m:ctrlPr>
              <w:rPr>
                <w:rFonts w:ascii="Cambria Math" w:eastAsia="Times New Roman" w:hAnsi="Cambria Math" w:cs="Times New Roman"/>
                <w:i/>
                <w:sz w:val="26"/>
                <w:szCs w:val="26"/>
                <w:lang w:val="pt-BR" w:eastAsia="pt-BR" w:bidi="ar-SA"/>
              </w:rPr>
            </m:ctrlPr>
          </m:sSubPr>
          <m:e>
            <m:r>
              <w:rPr>
                <w:rFonts w:ascii="Cambria Math" w:eastAsia="Times New Roman" w:hAnsi="Cambria Math" w:cs="Times New Roman"/>
                <w:sz w:val="26"/>
                <w:szCs w:val="26"/>
                <w:lang w:val="pt-BR" w:eastAsia="pt-BR" w:bidi="ar-SA"/>
              </w:rPr>
              <m:t>X</m:t>
            </m:r>
          </m:e>
          <m:sub>
            <m:r>
              <w:rPr>
                <w:rFonts w:ascii="Cambria Math" w:eastAsia="Times New Roman" w:hAnsi="Cambria Math" w:cs="Times New Roman"/>
                <w:sz w:val="26"/>
                <w:szCs w:val="26"/>
                <w:lang w:val="pt-BR" w:eastAsia="pt-BR" w:bidi="ar-SA"/>
              </w:rPr>
              <m:t>it</m:t>
            </m:r>
          </m:sub>
        </m:sSub>
        <m:r>
          <w:rPr>
            <w:rFonts w:ascii="Cambria Math" w:eastAsia="Times New Roman" w:hAnsi="Cambria Math" w:cs="Times New Roman"/>
            <w:sz w:val="26"/>
            <w:szCs w:val="26"/>
            <w:lang w:val="pt-BR" w:eastAsia="pt-BR" w:bidi="ar-SA"/>
          </w:rPr>
          <m:t xml:space="preserve">      →       </m:t>
        </m:r>
        <m:sSub>
          <m:sSubPr>
            <m:ctrlPr>
              <w:rPr>
                <w:rFonts w:ascii="Cambria Math" w:eastAsia="Times New Roman" w:hAnsi="Cambria Math" w:cs="Times New Roman"/>
                <w:i/>
                <w:sz w:val="26"/>
                <w:szCs w:val="26"/>
                <w:lang w:val="pt-BR" w:eastAsia="pt-BR" w:bidi="ar-SA"/>
              </w:rPr>
            </m:ctrlPr>
          </m:sSubPr>
          <m:e>
            <m:r>
              <w:rPr>
                <w:rFonts w:ascii="Cambria Math" w:eastAsia="Times New Roman" w:hAnsi="Cambria Math" w:cs="Times New Roman"/>
                <w:sz w:val="26"/>
                <w:szCs w:val="26"/>
                <w:lang w:val="pt-BR" w:eastAsia="pt-BR" w:bidi="ar-SA"/>
              </w:rPr>
              <m:t>β</m:t>
            </m:r>
          </m:e>
          <m:sub>
            <m:r>
              <w:rPr>
                <w:rFonts w:ascii="Cambria Math" w:eastAsia="Times New Roman" w:hAnsi="Cambria Math" w:cs="Times New Roman"/>
                <w:sz w:val="26"/>
                <w:szCs w:val="26"/>
                <w:lang w:val="pt-BR" w:eastAsia="pt-BR" w:bidi="ar-SA"/>
              </w:rPr>
              <m:t>ct</m:t>
            </m:r>
          </m:sub>
        </m:sSub>
        <m:r>
          <w:rPr>
            <w:rFonts w:ascii="Cambria Math" w:eastAsia="Times New Roman" w:hAnsi="Cambria Math" w:cs="Times New Roman"/>
            <w:sz w:val="26"/>
            <w:szCs w:val="26"/>
            <w:lang w:val="pt-BR" w:eastAsia="pt-BR" w:bidi="ar-SA"/>
          </w:rPr>
          <m:t xml:space="preserve">= </m:t>
        </m:r>
        <m:f>
          <m:fPr>
            <m:ctrlPr>
              <w:rPr>
                <w:rFonts w:ascii="Cambria Math" w:eastAsia="Times New Roman" w:hAnsi="Cambria Math" w:cs="Times New Roman"/>
                <w:i/>
                <w:sz w:val="26"/>
                <w:szCs w:val="26"/>
                <w:lang w:val="pt-BR" w:eastAsia="pt-BR" w:bidi="ar-SA"/>
              </w:rPr>
            </m:ctrlPr>
          </m:fPr>
          <m:num>
            <m:sSub>
              <m:sSubPr>
                <m:ctrlPr>
                  <w:rPr>
                    <w:rFonts w:ascii="Cambria Math" w:eastAsia="Times New Roman" w:hAnsi="Cambria Math" w:cs="Times New Roman"/>
                    <w:i/>
                    <w:sz w:val="26"/>
                    <w:szCs w:val="26"/>
                    <w:lang w:val="pt-BR" w:eastAsia="pt-BR" w:bidi="ar-SA"/>
                  </w:rPr>
                </m:ctrlPr>
              </m:sSubPr>
              <m:e>
                <m:r>
                  <w:rPr>
                    <w:rFonts w:ascii="Cambria Math" w:eastAsia="Times New Roman" w:hAnsi="Cambria Math" w:cs="Times New Roman"/>
                    <w:sz w:val="26"/>
                    <w:szCs w:val="26"/>
                    <w:lang w:val="pt-BR" w:eastAsia="pt-BR" w:bidi="ar-SA"/>
                  </w:rPr>
                  <m:t>P</m:t>
                </m:r>
              </m:e>
              <m:sub>
                <m:r>
                  <w:rPr>
                    <w:rFonts w:ascii="Cambria Math" w:eastAsia="Times New Roman" w:hAnsi="Cambria Math" w:cs="Times New Roman"/>
                    <w:sz w:val="26"/>
                    <w:szCs w:val="26"/>
                    <w:lang w:val="pt-BR" w:eastAsia="pt-BR" w:bidi="ar-SA"/>
                  </w:rPr>
                  <m:t>it</m:t>
                </m:r>
              </m:sub>
            </m:sSub>
          </m:num>
          <m:den>
            <m:sSub>
              <m:sSubPr>
                <m:ctrlPr>
                  <w:rPr>
                    <w:rFonts w:ascii="Cambria Math" w:eastAsia="Times New Roman" w:hAnsi="Cambria Math" w:cs="Times New Roman"/>
                    <w:i/>
                    <w:sz w:val="26"/>
                    <w:szCs w:val="26"/>
                    <w:lang w:val="pt-BR" w:eastAsia="pt-BR" w:bidi="ar-SA"/>
                  </w:rPr>
                </m:ctrlPr>
              </m:sSubPr>
              <m:e>
                <m:r>
                  <w:rPr>
                    <w:rFonts w:ascii="Cambria Math" w:eastAsia="Times New Roman" w:hAnsi="Cambria Math" w:cs="Times New Roman"/>
                    <w:sz w:val="26"/>
                    <w:szCs w:val="26"/>
                    <w:lang w:val="pt-BR" w:eastAsia="pt-BR" w:bidi="ar-SA"/>
                  </w:rPr>
                  <m:t>X</m:t>
                </m:r>
              </m:e>
              <m:sub>
                <m:r>
                  <w:rPr>
                    <w:rFonts w:ascii="Cambria Math" w:eastAsia="Times New Roman" w:hAnsi="Cambria Math" w:cs="Times New Roman"/>
                    <w:sz w:val="26"/>
                    <w:szCs w:val="26"/>
                    <w:lang w:val="pt-BR" w:eastAsia="pt-BR" w:bidi="ar-SA"/>
                  </w:rPr>
                  <m:t>it</m:t>
                </m:r>
              </m:sub>
            </m:sSub>
          </m:den>
        </m:f>
      </m:oMath>
      <w:r>
        <w:rPr>
          <w:rFonts w:eastAsia="Times New Roman"/>
          <w:lang w:val="pt-BR" w:eastAsia="pt-BR" w:bidi="ar-SA"/>
        </w:rPr>
        <w:tab/>
      </w:r>
      <w:r>
        <w:rPr>
          <w:rFonts w:eastAsia="Times New Roman"/>
          <w:lang w:val="pt-BR" w:eastAsia="pt-BR" w:bidi="ar-SA"/>
        </w:rPr>
        <w:tab/>
        <w:t xml:space="preserve">  </w:t>
      </w:r>
      <w:r>
        <w:rPr>
          <w:rFonts w:eastAsia="Times New Roman"/>
          <w:lang w:val="pt-BR" w:eastAsia="pt-BR" w:bidi="ar-SA"/>
        </w:rPr>
        <w:tab/>
        <w:t xml:space="preserve">       (1)</w:t>
      </w:r>
    </w:p>
    <w:p w14:paraId="06423C8E" w14:textId="77777777" w:rsidR="00356C7B" w:rsidRDefault="00356C7B" w:rsidP="00356C7B">
      <w:pPr>
        <w:pStyle w:val="SemEspaamento"/>
        <w:ind w:firstLine="0"/>
        <w:rPr>
          <w:rFonts w:eastAsia="Times New Roman"/>
          <w:lang w:val="pt-BR" w:eastAsia="pt-BR" w:bidi="ar-SA"/>
        </w:rPr>
      </w:pPr>
    </w:p>
    <w:p w14:paraId="3619C783" w14:textId="77777777" w:rsidR="00356C7B" w:rsidRDefault="00356C7B" w:rsidP="00356C7B">
      <w:pPr>
        <w:pStyle w:val="SemEspaamento"/>
        <w:ind w:firstLine="0"/>
        <w:rPr>
          <w:rFonts w:eastAsia="Times New Roman"/>
          <w:iCs/>
          <w:color w:val="000000"/>
          <w:szCs w:val="24"/>
          <w:lang w:val="pt-BR"/>
        </w:rPr>
      </w:pPr>
      <w:r>
        <w:rPr>
          <w:rFonts w:eastAsia="Times New Roman"/>
          <w:lang w:val="pt-BR" w:eastAsia="pt-BR" w:bidi="ar-SA"/>
        </w:rPr>
        <w:t xml:space="preserve">Onde, </w:t>
      </w:r>
      <w:r>
        <w:rPr>
          <w:rFonts w:eastAsia="Times New Roman"/>
          <w:lang w:val="pt-BR" w:eastAsia="pt-BR" w:bidi="ar-SA"/>
        </w:rPr>
        <w:tab/>
      </w:r>
      <m:oMath>
        <m:sSub>
          <m:sSubPr>
            <m:ctrlPr>
              <w:rPr>
                <w:rFonts w:ascii="Cambria Math" w:eastAsia="Arial" w:hAnsi="Cambria Math" w:cs="Times New Roman"/>
                <w:i/>
                <w:iCs/>
                <w:color w:val="000000"/>
                <w:szCs w:val="24"/>
              </w:rPr>
            </m:ctrlPr>
          </m:sSubPr>
          <m:e>
            <m:r>
              <w:rPr>
                <w:rFonts w:ascii="Cambria Math" w:eastAsia="Arial" w:hAnsi="Cambria Math" w:cs="Times New Roman"/>
                <w:color w:val="000000"/>
                <w:szCs w:val="24"/>
              </w:rPr>
              <m:t>P</m:t>
            </m:r>
          </m:e>
          <m:sub>
            <m:r>
              <w:rPr>
                <w:rFonts w:ascii="Cambria Math" w:eastAsia="Arial" w:hAnsi="Cambria Math" w:cs="Times New Roman"/>
                <w:color w:val="000000"/>
                <w:szCs w:val="24"/>
              </w:rPr>
              <m:t>it</m:t>
            </m:r>
          </m:sub>
        </m:sSub>
      </m:oMath>
      <w:r>
        <w:rPr>
          <w:rFonts w:eastAsia="Times New Roman"/>
          <w:iCs/>
          <w:color w:val="000000"/>
          <w:szCs w:val="24"/>
          <w:lang w:val="pt-BR"/>
        </w:rPr>
        <w:t>:</w:t>
      </w:r>
      <w:r w:rsidRPr="00D61467">
        <w:rPr>
          <w:rFonts w:eastAsia="Times New Roman"/>
          <w:iCs/>
          <w:color w:val="000000"/>
          <w:szCs w:val="24"/>
          <w:lang w:val="pt-BR"/>
        </w:rPr>
        <w:t xml:space="preserve"> valor de mercado (ou preço) de uma empresa-alvo </w:t>
      </w:r>
      <w:r w:rsidRPr="00D61467">
        <w:rPr>
          <w:rFonts w:eastAsia="Times New Roman"/>
          <w:i/>
          <w:iCs/>
          <w:color w:val="000000"/>
          <w:szCs w:val="24"/>
          <w:lang w:val="pt-BR"/>
        </w:rPr>
        <w:t>i</w:t>
      </w:r>
      <w:r w:rsidRPr="00D61467">
        <w:rPr>
          <w:rFonts w:eastAsia="Times New Roman"/>
          <w:iCs/>
          <w:color w:val="000000"/>
          <w:szCs w:val="24"/>
          <w:lang w:val="pt-BR"/>
        </w:rPr>
        <w:t xml:space="preserve">, no ano </w:t>
      </w:r>
      <w:r w:rsidRPr="00D61467">
        <w:rPr>
          <w:rFonts w:eastAsia="Times New Roman"/>
          <w:i/>
          <w:iCs/>
          <w:color w:val="000000"/>
          <w:szCs w:val="24"/>
          <w:lang w:val="pt-BR"/>
        </w:rPr>
        <w:t>t</w:t>
      </w:r>
      <w:r>
        <w:rPr>
          <w:rFonts w:eastAsia="Times New Roman"/>
          <w:iCs/>
          <w:color w:val="000000"/>
          <w:szCs w:val="24"/>
          <w:lang w:val="pt-BR"/>
        </w:rPr>
        <w:t>;</w:t>
      </w:r>
    </w:p>
    <w:p w14:paraId="1607C1B6" w14:textId="77777777" w:rsidR="00356C7B" w:rsidRDefault="00356C7B" w:rsidP="00356C7B">
      <w:pPr>
        <w:pStyle w:val="SemEspaamento"/>
        <w:ind w:firstLine="0"/>
        <w:rPr>
          <w:rFonts w:eastAsia="Times New Roman"/>
          <w:iCs/>
          <w:color w:val="000000"/>
          <w:szCs w:val="24"/>
          <w:lang w:val="pt-BR"/>
        </w:rPr>
      </w:pPr>
      <w:r>
        <w:rPr>
          <w:rFonts w:eastAsia="Times New Roman"/>
          <w:lang w:val="pt-BR" w:eastAsia="pt-BR" w:bidi="ar-SA"/>
        </w:rPr>
        <w:tab/>
      </w:r>
      <m:oMath>
        <m:sSub>
          <m:sSubPr>
            <m:ctrlPr>
              <w:rPr>
                <w:rFonts w:ascii="Cambria Math" w:eastAsia="Arial" w:hAnsi="Cambria Math" w:cs="Times New Roman"/>
                <w:i/>
                <w:iCs/>
                <w:color w:val="000000"/>
                <w:szCs w:val="24"/>
              </w:rPr>
            </m:ctrlPr>
          </m:sSubPr>
          <m:e>
            <m:r>
              <w:rPr>
                <w:rFonts w:ascii="Cambria Math" w:eastAsia="Cambria Math" w:hAnsi="Cambria Math" w:cs="Times New Roman"/>
                <w:color w:val="000000"/>
                <w:szCs w:val="24"/>
              </w:rPr>
              <m:t>β</m:t>
            </m:r>
          </m:e>
          <m:sub>
            <m:r>
              <w:rPr>
                <w:rFonts w:ascii="Cambria Math" w:eastAsia="Arial" w:hAnsi="Cambria Math" w:cs="Times New Roman"/>
                <w:color w:val="000000"/>
                <w:szCs w:val="24"/>
              </w:rPr>
              <m:t>ct</m:t>
            </m:r>
          </m:sub>
        </m:sSub>
      </m:oMath>
      <w:r w:rsidRPr="00D61467">
        <w:rPr>
          <w:rFonts w:eastAsia="Times New Roman"/>
          <w:iCs/>
          <w:color w:val="000000"/>
          <w:szCs w:val="24"/>
          <w:lang w:val="pt-BR"/>
        </w:rPr>
        <w:t>: múltiplo médio do conjunto de empresas comparáveis à empresa-alvo</w:t>
      </w:r>
      <w:r>
        <w:rPr>
          <w:rFonts w:eastAsia="Times New Roman"/>
          <w:iCs/>
          <w:color w:val="000000"/>
          <w:szCs w:val="24"/>
          <w:lang w:val="pt-BR"/>
        </w:rPr>
        <w:t>; e</w:t>
      </w:r>
    </w:p>
    <w:p w14:paraId="429F23C8" w14:textId="77777777" w:rsidR="00356C7B" w:rsidRPr="00D61467" w:rsidRDefault="00356C7B" w:rsidP="00356C7B">
      <w:pPr>
        <w:pStyle w:val="SemEspaamento"/>
        <w:ind w:firstLine="0"/>
        <w:rPr>
          <w:rFonts w:eastAsia="Times New Roman"/>
          <w:lang w:val="pt-BR" w:eastAsia="pt-BR" w:bidi="ar-SA"/>
        </w:rPr>
      </w:pPr>
      <w:r>
        <w:rPr>
          <w:rFonts w:eastAsia="Times New Roman"/>
          <w:lang w:val="pt-BR" w:eastAsia="pt-BR" w:bidi="ar-SA"/>
        </w:rPr>
        <w:tab/>
      </w:r>
      <m:oMath>
        <m:sSub>
          <m:sSubPr>
            <m:ctrlPr>
              <w:rPr>
                <w:rFonts w:ascii="Cambria Math" w:eastAsia="Arial" w:hAnsi="Cambria Math" w:cs="Times New Roman"/>
                <w:i/>
                <w:iCs/>
                <w:color w:val="000000"/>
                <w:szCs w:val="24"/>
              </w:rPr>
            </m:ctrlPr>
          </m:sSubPr>
          <m:e>
            <m:r>
              <w:rPr>
                <w:rFonts w:ascii="Cambria Math" w:eastAsia="Arial" w:hAnsi="Cambria Math" w:cs="Times New Roman"/>
                <w:color w:val="000000"/>
                <w:szCs w:val="24"/>
              </w:rPr>
              <m:t>X</m:t>
            </m:r>
          </m:e>
          <m:sub>
            <m:r>
              <w:rPr>
                <w:rFonts w:ascii="Cambria Math" w:eastAsia="Arial" w:hAnsi="Cambria Math" w:cs="Times New Roman"/>
                <w:color w:val="000000"/>
                <w:szCs w:val="24"/>
              </w:rPr>
              <m:t>it</m:t>
            </m:r>
          </m:sub>
        </m:sSub>
      </m:oMath>
      <w:r w:rsidRPr="00D61467">
        <w:rPr>
          <w:rFonts w:eastAsia="Times New Roman"/>
          <w:iCs/>
          <w:color w:val="000000"/>
          <w:szCs w:val="24"/>
          <w:lang w:val="pt-BR"/>
        </w:rPr>
        <w:t xml:space="preserve">: </w:t>
      </w:r>
      <w:r w:rsidRPr="00D61467">
        <w:rPr>
          <w:rFonts w:eastAsia="Times New Roman"/>
          <w:lang w:val="pt-BR" w:eastAsia="pt-BR"/>
        </w:rPr>
        <w:t xml:space="preserve">variável econômica para a empresa alvo </w:t>
      </w:r>
      <w:r w:rsidRPr="00D61467">
        <w:rPr>
          <w:rFonts w:eastAsia="Times New Roman"/>
          <w:i/>
          <w:iCs/>
          <w:lang w:val="pt-BR" w:eastAsia="pt-BR"/>
        </w:rPr>
        <w:t>i</w:t>
      </w:r>
      <w:r w:rsidRPr="00D61467">
        <w:rPr>
          <w:rFonts w:eastAsia="Times New Roman"/>
          <w:lang w:val="pt-BR" w:eastAsia="pt-BR"/>
        </w:rPr>
        <w:t xml:space="preserve">, no ano </w:t>
      </w:r>
      <w:r w:rsidRPr="00D61467">
        <w:rPr>
          <w:rFonts w:eastAsia="Times New Roman"/>
          <w:i/>
          <w:iCs/>
          <w:lang w:val="pt-BR" w:eastAsia="pt-BR"/>
        </w:rPr>
        <w:t>t</w:t>
      </w:r>
      <w:r>
        <w:rPr>
          <w:rFonts w:eastAsia="Times New Roman"/>
          <w:iCs/>
          <w:lang w:val="pt-BR" w:eastAsia="pt-BR"/>
        </w:rPr>
        <w:t>.</w:t>
      </w:r>
    </w:p>
    <w:p w14:paraId="6E2C8020" w14:textId="77777777" w:rsidR="00356C7B" w:rsidRDefault="00356C7B" w:rsidP="00356C7B">
      <w:pPr>
        <w:pStyle w:val="SemEspaamento"/>
        <w:rPr>
          <w:rFonts w:eastAsia="Times New Roman"/>
          <w:lang w:val="pt-BR" w:eastAsia="pt-BR" w:bidi="ar-SA"/>
        </w:rPr>
      </w:pPr>
    </w:p>
    <w:p w14:paraId="3C3C4EFA" w14:textId="00DFDA43" w:rsidR="00356C7B" w:rsidRDefault="00356C7B" w:rsidP="00356C7B">
      <w:pPr>
        <w:pStyle w:val="SemEspaamento"/>
        <w:rPr>
          <w:rFonts w:eastAsia="Times New Roman"/>
          <w:lang w:val="pt-BR" w:eastAsia="pt-BR" w:bidi="ar-SA"/>
        </w:rPr>
      </w:pPr>
      <w:r>
        <w:rPr>
          <w:rFonts w:eastAsia="Times New Roman"/>
          <w:lang w:val="pt-BR" w:eastAsia="pt-BR" w:bidi="ar-SA"/>
        </w:rPr>
        <w:t>Como vantagens desse tipo de avaliação podem ser citadas: (i)</w:t>
      </w:r>
      <w:r w:rsidRPr="00691E73">
        <w:rPr>
          <w:rFonts w:eastAsia="Times New Roman"/>
          <w:lang w:val="pt-BR" w:eastAsia="pt-BR" w:bidi="ar-SA"/>
        </w:rPr>
        <w:t xml:space="preserve"> </w:t>
      </w:r>
      <w:r>
        <w:rPr>
          <w:rFonts w:eastAsia="Times New Roman"/>
          <w:lang w:val="pt-BR" w:eastAsia="pt-BR" w:bidi="ar-SA"/>
        </w:rPr>
        <w:t>por ser simples de ser aplicada a avaliação relativa demanda menos tempo e recursos do que a avaliação de fluxo de caixa descontado (FCD); (</w:t>
      </w:r>
      <w:proofErr w:type="spellStart"/>
      <w:r>
        <w:rPr>
          <w:rFonts w:eastAsia="Times New Roman"/>
          <w:lang w:val="pt-BR" w:eastAsia="pt-BR" w:bidi="ar-SA"/>
        </w:rPr>
        <w:t>ii</w:t>
      </w:r>
      <w:proofErr w:type="spellEnd"/>
      <w:r>
        <w:rPr>
          <w:rFonts w:eastAsia="Times New Roman"/>
          <w:lang w:val="pt-BR" w:eastAsia="pt-BR" w:bidi="ar-SA"/>
        </w:rPr>
        <w:t xml:space="preserve">) é mais fácil de vender e defender do que o FCD, pois o analista consegue mostrar mais facilmente </w:t>
      </w:r>
      <w:r w:rsidRPr="00E22CE5">
        <w:rPr>
          <w:rFonts w:eastAsia="Times New Roman"/>
          <w:lang w:val="pt-BR" w:eastAsia="pt-BR" w:bidi="ar-SA"/>
        </w:rPr>
        <w:t xml:space="preserve">ao </w:t>
      </w:r>
      <w:r w:rsidRPr="00A80A77">
        <w:rPr>
          <w:rFonts w:eastAsia="Times New Roman"/>
          <w:i/>
          <w:iCs/>
          <w:lang w:val="pt-BR" w:eastAsia="pt-BR" w:bidi="ar-SA"/>
        </w:rPr>
        <w:t>stakeholder</w:t>
      </w:r>
      <w:r w:rsidRPr="00E22CE5">
        <w:rPr>
          <w:rFonts w:eastAsia="Times New Roman"/>
          <w:lang w:val="pt-BR" w:eastAsia="pt-BR" w:bidi="ar-SA"/>
        </w:rPr>
        <w:t xml:space="preserve"> o porquê de ter encontrado determinado resultado para o </w:t>
      </w:r>
      <w:proofErr w:type="spellStart"/>
      <w:r w:rsidRPr="00E22CE5">
        <w:rPr>
          <w:rFonts w:eastAsia="Times New Roman"/>
          <w:i/>
          <w:lang w:val="pt-BR" w:eastAsia="pt-BR" w:bidi="ar-SA"/>
        </w:rPr>
        <w:t>valuation</w:t>
      </w:r>
      <w:proofErr w:type="spellEnd"/>
      <w:r w:rsidRPr="00E22CE5">
        <w:rPr>
          <w:rFonts w:eastAsia="Times New Roman"/>
          <w:lang w:val="pt-BR" w:eastAsia="pt-BR" w:bidi="ar-SA"/>
        </w:rPr>
        <w:t xml:space="preserve"> da firma; e (</w:t>
      </w:r>
      <w:proofErr w:type="spellStart"/>
      <w:r w:rsidRPr="00E22CE5">
        <w:rPr>
          <w:rFonts w:eastAsia="Times New Roman"/>
          <w:lang w:val="pt-BR" w:eastAsia="pt-BR" w:bidi="ar-SA"/>
        </w:rPr>
        <w:t>iii</w:t>
      </w:r>
      <w:proofErr w:type="spellEnd"/>
      <w:r w:rsidRPr="00E22CE5">
        <w:rPr>
          <w:rFonts w:eastAsia="Times New Roman"/>
          <w:lang w:val="pt-BR" w:eastAsia="pt-BR" w:bidi="ar-SA"/>
        </w:rPr>
        <w:t xml:space="preserve">) reflete a tendência corrente do mercado, já que tenta </w:t>
      </w:r>
      <w:r w:rsidRPr="00E22CE5">
        <w:rPr>
          <w:rFonts w:eastAsia="Times New Roman"/>
          <w:lang w:val="pt-BR" w:eastAsia="pt-BR" w:bidi="ar-SA"/>
        </w:rPr>
        <w:lastRenderedPageBreak/>
        <w:t>medir o valor relativo e não o intrínseco</w:t>
      </w:r>
      <w:r>
        <w:rPr>
          <w:rFonts w:eastAsia="Times New Roman"/>
          <w:lang w:val="pt-BR" w:eastAsia="pt-BR" w:bidi="ar-SA"/>
        </w:rPr>
        <w:t xml:space="preserve"> </w:t>
      </w:r>
      <w:r w:rsidRPr="00E22CE5">
        <w:rPr>
          <w:rFonts w:eastAsia="Times New Roman"/>
          <w:lang w:val="pt-BR" w:eastAsia="pt-BR" w:bidi="ar-SA"/>
        </w:rPr>
        <w:t>(</w:t>
      </w:r>
      <w:r w:rsidR="00962262" w:rsidRPr="00E22CE5">
        <w:rPr>
          <w:rFonts w:eastAsia="Times New Roman"/>
          <w:lang w:val="pt-BR" w:eastAsia="pt-BR" w:bidi="ar-SA"/>
        </w:rPr>
        <w:t xml:space="preserve">SUOZZO </w:t>
      </w:r>
      <w:r w:rsidRPr="00962262">
        <w:rPr>
          <w:rFonts w:eastAsia="Times New Roman"/>
          <w:iCs/>
          <w:lang w:val="pt-BR" w:eastAsia="pt-BR" w:bidi="ar-SA"/>
        </w:rPr>
        <w:t>et al</w:t>
      </w:r>
      <w:r w:rsidRPr="00962262">
        <w:rPr>
          <w:rFonts w:eastAsia="Times New Roman"/>
          <w:lang w:val="pt-BR" w:eastAsia="pt-BR" w:bidi="ar-SA"/>
        </w:rPr>
        <w:t>.,</w:t>
      </w:r>
      <w:r w:rsidRPr="00E22CE5">
        <w:rPr>
          <w:rFonts w:eastAsia="Times New Roman"/>
          <w:lang w:val="pt-BR" w:eastAsia="pt-BR" w:bidi="ar-SA"/>
        </w:rPr>
        <w:t xml:space="preserve"> 2001</w:t>
      </w:r>
      <w:r w:rsidR="00962262">
        <w:rPr>
          <w:rFonts w:eastAsia="Times New Roman"/>
          <w:lang w:val="pt-BR" w:eastAsia="pt-BR" w:bidi="ar-SA"/>
        </w:rPr>
        <w:t>;</w:t>
      </w:r>
      <w:r w:rsidRPr="00E22CE5">
        <w:rPr>
          <w:rFonts w:eastAsia="Times New Roman"/>
          <w:lang w:val="pt-BR" w:eastAsia="pt-BR" w:bidi="ar-SA"/>
        </w:rPr>
        <w:t xml:space="preserve"> </w:t>
      </w:r>
      <w:r w:rsidR="00962262" w:rsidRPr="00E22CE5">
        <w:rPr>
          <w:rFonts w:eastAsia="Times New Roman"/>
          <w:lang w:val="pt-BR" w:eastAsia="pt-BR" w:bidi="ar-SA"/>
        </w:rPr>
        <w:t>DAMODARAN</w:t>
      </w:r>
      <w:r w:rsidRPr="00E22CE5">
        <w:rPr>
          <w:rFonts w:eastAsia="Times New Roman"/>
          <w:lang w:val="pt-BR" w:eastAsia="pt-BR" w:bidi="ar-SA"/>
        </w:rPr>
        <w:t>, 2007</w:t>
      </w:r>
      <w:r w:rsidR="00962262">
        <w:rPr>
          <w:rFonts w:eastAsia="Times New Roman"/>
          <w:lang w:val="pt-BR" w:eastAsia="pt-BR" w:bidi="ar-SA"/>
        </w:rPr>
        <w:t>;</w:t>
      </w:r>
      <w:r w:rsidRPr="00E22CE5">
        <w:rPr>
          <w:rFonts w:eastAsia="Times New Roman"/>
          <w:lang w:val="pt-BR" w:eastAsia="pt-BR" w:bidi="ar-SA"/>
        </w:rPr>
        <w:t xml:space="preserve"> </w:t>
      </w:r>
      <w:r w:rsidR="00962262" w:rsidRPr="00E22CE5">
        <w:rPr>
          <w:rFonts w:eastAsia="Times New Roman"/>
          <w:lang w:val="pt-BR" w:eastAsia="pt-BR" w:bidi="ar-SA"/>
        </w:rPr>
        <w:t>PENMAN</w:t>
      </w:r>
      <w:r w:rsidRPr="00E22CE5">
        <w:rPr>
          <w:rFonts w:eastAsia="Times New Roman"/>
          <w:lang w:val="pt-BR" w:eastAsia="pt-BR" w:bidi="ar-SA"/>
        </w:rPr>
        <w:t>, 2013).</w:t>
      </w:r>
    </w:p>
    <w:p w14:paraId="70AE9054" w14:textId="54776F38" w:rsidR="00356C7B" w:rsidRDefault="00356C7B" w:rsidP="00356C7B">
      <w:pPr>
        <w:pStyle w:val="SemEspaamento"/>
        <w:rPr>
          <w:rFonts w:eastAsia="Times New Roman"/>
          <w:lang w:val="pt-BR" w:eastAsia="pt-BR" w:bidi="ar-SA"/>
        </w:rPr>
      </w:pPr>
      <w:r w:rsidRPr="00691E73">
        <w:rPr>
          <w:rFonts w:eastAsia="Times New Roman"/>
          <w:lang w:val="pt-BR" w:eastAsia="pt-BR" w:bidi="ar-SA"/>
        </w:rPr>
        <w:t>Todavia, os</w:t>
      </w:r>
      <w:r>
        <w:rPr>
          <w:rFonts w:eastAsia="Times New Roman"/>
          <w:lang w:val="pt-BR" w:eastAsia="pt-BR" w:bidi="ar-SA"/>
        </w:rPr>
        <w:t xml:space="preserve"> múltiplos também apresentam</w:t>
      </w:r>
      <w:r w:rsidRPr="00691E73">
        <w:rPr>
          <w:rFonts w:eastAsia="Times New Roman"/>
          <w:lang w:val="pt-BR" w:eastAsia="pt-BR" w:bidi="ar-SA"/>
        </w:rPr>
        <w:t xml:space="preserve"> desvantagens</w:t>
      </w:r>
      <w:r>
        <w:rPr>
          <w:rFonts w:eastAsia="Times New Roman"/>
          <w:lang w:val="pt-BR" w:eastAsia="pt-BR" w:bidi="ar-SA"/>
        </w:rPr>
        <w:t xml:space="preserve"> quando </w:t>
      </w:r>
      <w:r w:rsidRPr="00691E73">
        <w:rPr>
          <w:rFonts w:eastAsia="Times New Roman"/>
          <w:lang w:val="pt-BR" w:eastAsia="pt-BR" w:bidi="ar-SA"/>
        </w:rPr>
        <w:t>compara</w:t>
      </w:r>
      <w:r>
        <w:rPr>
          <w:rFonts w:eastAsia="Times New Roman"/>
          <w:lang w:val="pt-BR" w:eastAsia="pt-BR" w:bidi="ar-SA"/>
        </w:rPr>
        <w:t>dos</w:t>
      </w:r>
      <w:r w:rsidRPr="00691E73">
        <w:rPr>
          <w:rFonts w:eastAsia="Times New Roman"/>
          <w:lang w:val="pt-BR" w:eastAsia="pt-BR" w:bidi="ar-SA"/>
        </w:rPr>
        <w:t xml:space="preserve"> com os demais métodos de</w:t>
      </w:r>
      <w:r>
        <w:rPr>
          <w:rFonts w:eastAsia="Times New Roman"/>
          <w:lang w:val="pt-BR" w:eastAsia="pt-BR" w:bidi="ar-SA"/>
        </w:rPr>
        <w:t xml:space="preserve"> avaliação</w:t>
      </w:r>
      <w:r w:rsidRPr="00691E73">
        <w:rPr>
          <w:rFonts w:eastAsia="Times New Roman"/>
          <w:lang w:val="pt-BR" w:eastAsia="pt-BR" w:bidi="ar-SA"/>
        </w:rPr>
        <w:t xml:space="preserve">: </w:t>
      </w:r>
      <w:r>
        <w:rPr>
          <w:rFonts w:eastAsia="Times New Roman"/>
          <w:lang w:val="pt-BR" w:eastAsia="pt-BR" w:bidi="ar-SA"/>
        </w:rPr>
        <w:t xml:space="preserve">(i) apesar da simplicidade do método proporcionar menor tempo e custo, </w:t>
      </w:r>
      <w:r w:rsidRPr="00691E73">
        <w:rPr>
          <w:rFonts w:eastAsia="Times New Roman"/>
          <w:lang w:val="pt-BR" w:eastAsia="pt-BR" w:bidi="ar-SA"/>
        </w:rPr>
        <w:t xml:space="preserve">sintetiza um grande conjunto de informações em um único número, o que causa o risco de uma interpretação equivocada dos fatores que compõem a valorização de uma empresa; </w:t>
      </w:r>
      <w:r>
        <w:rPr>
          <w:rFonts w:eastAsia="Times New Roman"/>
          <w:lang w:val="pt-BR" w:eastAsia="pt-BR" w:bidi="ar-SA"/>
        </w:rPr>
        <w:t>(</w:t>
      </w:r>
      <w:proofErr w:type="spellStart"/>
      <w:r>
        <w:rPr>
          <w:rFonts w:eastAsia="Times New Roman"/>
          <w:lang w:val="pt-BR" w:eastAsia="pt-BR" w:bidi="ar-SA"/>
        </w:rPr>
        <w:t>ii</w:t>
      </w:r>
      <w:proofErr w:type="spellEnd"/>
      <w:r>
        <w:rPr>
          <w:rFonts w:eastAsia="Times New Roman"/>
          <w:lang w:val="pt-BR" w:eastAsia="pt-BR" w:bidi="ar-SA"/>
        </w:rPr>
        <w:t>) identificação de empresas comparáveis, pois por mais que duas empresas sejam semelhantes, não existem empresas exatamente iguais à analisada para que o valor estimad</w:t>
      </w:r>
      <w:r w:rsidR="00383A93">
        <w:rPr>
          <w:rFonts w:eastAsia="Times New Roman"/>
          <w:lang w:val="pt-BR" w:eastAsia="pt-BR" w:bidi="ar-SA"/>
        </w:rPr>
        <w:t>o</w:t>
      </w:r>
      <w:r>
        <w:rPr>
          <w:rFonts w:eastAsia="Times New Roman"/>
          <w:lang w:val="pt-BR" w:eastAsia="pt-BR" w:bidi="ar-SA"/>
        </w:rPr>
        <w:t xml:space="preserve"> seja preciso. Aumentar o número de </w:t>
      </w:r>
      <w:r w:rsidR="00383A93">
        <w:rPr>
          <w:rFonts w:eastAsia="Times New Roman"/>
          <w:lang w:val="pt-BR" w:eastAsia="pt-BR" w:bidi="ar-SA"/>
        </w:rPr>
        <w:t xml:space="preserve">empresas </w:t>
      </w:r>
      <w:r>
        <w:rPr>
          <w:rFonts w:eastAsia="Times New Roman"/>
          <w:lang w:val="pt-BR" w:eastAsia="pt-BR" w:bidi="ar-SA"/>
        </w:rPr>
        <w:t>comparáveis poderia equalizar os erros, porém, quanto mais comparáveis houver, menos homogêneas provavelmente serão; (</w:t>
      </w:r>
      <w:proofErr w:type="spellStart"/>
      <w:r>
        <w:rPr>
          <w:rFonts w:eastAsia="Times New Roman"/>
          <w:lang w:val="pt-BR" w:eastAsia="pt-BR" w:bidi="ar-SA"/>
        </w:rPr>
        <w:t>iii</w:t>
      </w:r>
      <w:proofErr w:type="spellEnd"/>
      <w:r>
        <w:rPr>
          <w:rFonts w:eastAsia="Times New Roman"/>
          <w:lang w:val="pt-BR" w:eastAsia="pt-BR" w:bidi="ar-SA"/>
        </w:rPr>
        <w:t>) múltiplos diferentes dão avaliações diferentes, o que torna a escolha de qual múltiplo utilizar essencial para a qualidade da avaliação; e (</w:t>
      </w:r>
      <w:proofErr w:type="spellStart"/>
      <w:r>
        <w:rPr>
          <w:rFonts w:eastAsia="Times New Roman"/>
          <w:lang w:val="pt-BR" w:eastAsia="pt-BR" w:bidi="ar-SA"/>
        </w:rPr>
        <w:t>iv</w:t>
      </w:r>
      <w:proofErr w:type="spellEnd"/>
      <w:r>
        <w:rPr>
          <w:rFonts w:eastAsia="Times New Roman"/>
          <w:lang w:val="pt-BR" w:eastAsia="pt-BR" w:bidi="ar-SA"/>
        </w:rPr>
        <w:t>) empresas que auferiram prejuízo tem dificuldade de utilização de alguns tipos de múltiplos (</w:t>
      </w:r>
      <w:r w:rsidR="00962262">
        <w:rPr>
          <w:rFonts w:eastAsia="Times New Roman"/>
          <w:lang w:val="pt-BR" w:eastAsia="pt-BR" w:bidi="ar-SA"/>
        </w:rPr>
        <w:t xml:space="preserve">SUOZZO </w:t>
      </w:r>
      <w:r w:rsidRPr="00962262">
        <w:rPr>
          <w:rFonts w:eastAsia="Times New Roman"/>
          <w:iCs/>
          <w:lang w:val="pt-BR" w:eastAsia="pt-BR" w:bidi="ar-SA"/>
        </w:rPr>
        <w:t>et al</w:t>
      </w:r>
      <w:r w:rsidRPr="00962262">
        <w:rPr>
          <w:rFonts w:eastAsia="Times New Roman"/>
          <w:lang w:val="pt-BR" w:eastAsia="pt-BR" w:bidi="ar-SA"/>
        </w:rPr>
        <w:t>.,</w:t>
      </w:r>
      <w:r>
        <w:rPr>
          <w:rFonts w:eastAsia="Times New Roman"/>
          <w:lang w:val="pt-BR" w:eastAsia="pt-BR" w:bidi="ar-SA"/>
        </w:rPr>
        <w:t xml:space="preserve"> 2001</w:t>
      </w:r>
      <w:r w:rsidR="00962262">
        <w:rPr>
          <w:rFonts w:eastAsia="Times New Roman"/>
          <w:lang w:val="pt-BR" w:eastAsia="pt-BR" w:bidi="ar-SA"/>
        </w:rPr>
        <w:t>;</w:t>
      </w:r>
      <w:r>
        <w:rPr>
          <w:rFonts w:eastAsia="Times New Roman"/>
          <w:lang w:val="pt-BR" w:eastAsia="pt-BR" w:bidi="ar-SA"/>
        </w:rPr>
        <w:t xml:space="preserve"> </w:t>
      </w:r>
      <w:r w:rsidR="00962262">
        <w:rPr>
          <w:rFonts w:eastAsia="Times New Roman"/>
          <w:lang w:val="pt-BR" w:eastAsia="pt-BR" w:bidi="ar-SA"/>
        </w:rPr>
        <w:t>DAMODARAN</w:t>
      </w:r>
      <w:r>
        <w:rPr>
          <w:rFonts w:eastAsia="Times New Roman"/>
          <w:lang w:val="pt-BR" w:eastAsia="pt-BR" w:bidi="ar-SA"/>
        </w:rPr>
        <w:t>, 2007</w:t>
      </w:r>
      <w:r w:rsidR="00962262">
        <w:rPr>
          <w:rFonts w:eastAsia="Times New Roman"/>
          <w:lang w:val="pt-BR" w:eastAsia="pt-BR" w:bidi="ar-SA"/>
        </w:rPr>
        <w:t>;</w:t>
      </w:r>
      <w:r>
        <w:rPr>
          <w:rFonts w:eastAsia="Times New Roman"/>
          <w:lang w:val="pt-BR" w:eastAsia="pt-BR" w:bidi="ar-SA"/>
        </w:rPr>
        <w:t xml:space="preserve"> </w:t>
      </w:r>
      <w:r w:rsidR="00962262">
        <w:rPr>
          <w:rFonts w:eastAsia="Times New Roman"/>
          <w:lang w:val="pt-BR" w:eastAsia="pt-BR" w:bidi="ar-SA"/>
        </w:rPr>
        <w:t>PENMAN</w:t>
      </w:r>
      <w:r>
        <w:rPr>
          <w:rFonts w:eastAsia="Times New Roman"/>
          <w:lang w:val="pt-BR" w:eastAsia="pt-BR" w:bidi="ar-SA"/>
        </w:rPr>
        <w:t>, 2013).</w:t>
      </w:r>
    </w:p>
    <w:bookmarkEnd w:id="0"/>
    <w:p w14:paraId="73E3D99A" w14:textId="77777777" w:rsidR="00356C7B" w:rsidRPr="00260C09" w:rsidRDefault="00356C7B" w:rsidP="00356C7B">
      <w:pPr>
        <w:pStyle w:val="SemEspaamento"/>
        <w:rPr>
          <w:rFonts w:eastAsia="Times New Roman"/>
          <w:lang w:val="pt-BR" w:eastAsia="pt-BR" w:bidi="ar-SA"/>
        </w:rPr>
      </w:pPr>
    </w:p>
    <w:p w14:paraId="071FE927" w14:textId="50301D62" w:rsidR="00356C7B" w:rsidRPr="002D086A" w:rsidRDefault="00356C7B" w:rsidP="002E04DA">
      <w:pPr>
        <w:pStyle w:val="SemEspaamento"/>
        <w:spacing w:after="120"/>
        <w:ind w:firstLine="0"/>
        <w:rPr>
          <w:rFonts w:eastAsia="Times New Roman"/>
          <w:b/>
          <w:lang w:val="pt-BR" w:eastAsia="pt-BR" w:bidi="ar-SA"/>
        </w:rPr>
      </w:pPr>
      <w:bookmarkStart w:id="1" w:name="_Hlk8848798"/>
      <w:r w:rsidRPr="002D086A">
        <w:rPr>
          <w:rFonts w:eastAsia="Times New Roman"/>
          <w:b/>
          <w:lang w:val="pt-BR" w:eastAsia="pt-BR" w:bidi="ar-SA"/>
        </w:rPr>
        <w:t>2.1.1 Principais Múltiplos</w:t>
      </w:r>
      <w:r w:rsidR="009A49C3">
        <w:rPr>
          <w:rFonts w:eastAsia="Times New Roman"/>
          <w:b/>
          <w:lang w:val="pt-BR" w:eastAsia="pt-BR" w:bidi="ar-SA"/>
        </w:rPr>
        <w:t xml:space="preserve"> Fundamentalistas</w:t>
      </w:r>
    </w:p>
    <w:p w14:paraId="6E40288D" w14:textId="6898EB2B" w:rsidR="00356C7B" w:rsidRDefault="00356C7B" w:rsidP="00356C7B">
      <w:pPr>
        <w:pStyle w:val="SemEspaamento"/>
        <w:rPr>
          <w:rFonts w:eastAsia="Times New Roman"/>
          <w:lang w:val="pt-BR" w:eastAsia="pt-BR" w:bidi="ar-SA"/>
        </w:rPr>
      </w:pPr>
      <w:r>
        <w:rPr>
          <w:rFonts w:eastAsia="Times New Roman"/>
          <w:lang w:val="pt-BR" w:eastAsia="pt-BR" w:bidi="ar-SA"/>
        </w:rPr>
        <w:t>O</w:t>
      </w:r>
      <w:r w:rsidRPr="00691E73">
        <w:rPr>
          <w:rFonts w:eastAsia="Times New Roman"/>
          <w:lang w:val="pt-BR" w:eastAsia="pt-BR" w:bidi="ar-SA"/>
        </w:rPr>
        <w:t>s múltiplos</w:t>
      </w:r>
      <w:r>
        <w:rPr>
          <w:rFonts w:eastAsia="Times New Roman"/>
          <w:lang w:val="pt-BR" w:eastAsia="pt-BR" w:bidi="ar-SA"/>
        </w:rPr>
        <w:t xml:space="preserve"> </w:t>
      </w:r>
      <w:r w:rsidR="00D4453F">
        <w:rPr>
          <w:rFonts w:eastAsia="Times New Roman"/>
          <w:lang w:val="pt-BR" w:eastAsia="pt-BR" w:bidi="ar-SA"/>
        </w:rPr>
        <w:t xml:space="preserve">fundamentalistas </w:t>
      </w:r>
      <w:r>
        <w:rPr>
          <w:rFonts w:eastAsia="Times New Roman"/>
          <w:lang w:val="pt-BR" w:eastAsia="pt-BR" w:bidi="ar-SA"/>
        </w:rPr>
        <w:t>podem ser divididos</w:t>
      </w:r>
      <w:r w:rsidRPr="00691E73">
        <w:rPr>
          <w:rFonts w:eastAsia="Times New Roman"/>
          <w:lang w:val="pt-BR" w:eastAsia="pt-BR" w:bidi="ar-SA"/>
        </w:rPr>
        <w:t xml:space="preserve"> em dois grandes grupos: os de </w:t>
      </w:r>
      <w:r w:rsidRPr="00F12671">
        <w:rPr>
          <w:rFonts w:eastAsia="Times New Roman"/>
          <w:lang w:val="pt-BR" w:eastAsia="pt-BR" w:bidi="ar-SA"/>
        </w:rPr>
        <w:t>valor das empresas</w:t>
      </w:r>
      <w:r w:rsidRPr="00691E73">
        <w:rPr>
          <w:rFonts w:eastAsia="Times New Roman"/>
          <w:lang w:val="pt-BR" w:eastAsia="pt-BR" w:bidi="ar-SA"/>
        </w:rPr>
        <w:t>, que busca</w:t>
      </w:r>
      <w:r>
        <w:rPr>
          <w:rFonts w:eastAsia="Times New Roman"/>
          <w:lang w:val="pt-BR" w:eastAsia="pt-BR" w:bidi="ar-SA"/>
        </w:rPr>
        <w:t>m</w:t>
      </w:r>
      <w:r w:rsidRPr="00691E73">
        <w:rPr>
          <w:rFonts w:eastAsia="Times New Roman"/>
          <w:lang w:val="pt-BR" w:eastAsia="pt-BR" w:bidi="ar-SA"/>
        </w:rPr>
        <w:t xml:space="preserve"> valorizar uma entidade por todos os aspectos de seu </w:t>
      </w:r>
      <w:r w:rsidRPr="00F12671">
        <w:rPr>
          <w:rFonts w:eastAsia="Times New Roman"/>
          <w:lang w:val="pt-BR" w:eastAsia="pt-BR" w:bidi="ar-SA"/>
        </w:rPr>
        <w:t>negócio, tais como valores de venda e EBTIDA, e os múltiplos patrimoniais, que refletem</w:t>
      </w:r>
      <w:r w:rsidRPr="00691E73">
        <w:rPr>
          <w:rFonts w:eastAsia="Times New Roman"/>
          <w:lang w:val="pt-BR" w:eastAsia="pt-BR" w:bidi="ar-SA"/>
        </w:rPr>
        <w:t xml:space="preserve"> os valores que os acionistas detêm sobre os ativos da empresa, tais múltiplos devem abordar então dados referentes exclusivamente a acionistas, como os lucros residuais</w:t>
      </w:r>
      <w:r>
        <w:rPr>
          <w:rFonts w:eastAsia="Times New Roman"/>
          <w:lang w:val="pt-BR" w:eastAsia="pt-BR" w:bidi="ar-SA"/>
        </w:rPr>
        <w:t xml:space="preserve"> (</w:t>
      </w:r>
      <w:r w:rsidR="00962262">
        <w:rPr>
          <w:rFonts w:eastAsia="Times New Roman"/>
          <w:lang w:val="pt-BR" w:eastAsia="pt-BR" w:bidi="ar-SA"/>
        </w:rPr>
        <w:t>DAMODARAN</w:t>
      </w:r>
      <w:r>
        <w:rPr>
          <w:rFonts w:eastAsia="Times New Roman"/>
          <w:lang w:val="pt-BR" w:eastAsia="pt-BR" w:bidi="ar-SA"/>
        </w:rPr>
        <w:t>, 2007)</w:t>
      </w:r>
      <w:r w:rsidRPr="00691E73">
        <w:rPr>
          <w:rFonts w:eastAsia="Times New Roman"/>
          <w:lang w:val="pt-BR" w:eastAsia="pt-BR" w:bidi="ar-SA"/>
        </w:rPr>
        <w:t xml:space="preserve">. </w:t>
      </w:r>
    </w:p>
    <w:p w14:paraId="2E608995" w14:textId="6D15355B" w:rsidR="00356C7B" w:rsidRDefault="00356C7B" w:rsidP="00356C7B">
      <w:pPr>
        <w:pStyle w:val="SemEspaamento"/>
        <w:rPr>
          <w:rFonts w:eastAsia="Times New Roman" w:cs="Times New Roman"/>
          <w:szCs w:val="24"/>
          <w:lang w:val="pt-BR" w:eastAsia="pt-BR" w:bidi="ar-SA"/>
        </w:rPr>
      </w:pPr>
      <w:r w:rsidRPr="00482D8B">
        <w:rPr>
          <w:lang w:val="pt-BR"/>
        </w:rPr>
        <w:t>Este estudo se b</w:t>
      </w:r>
      <w:r>
        <w:rPr>
          <w:lang w:val="pt-BR"/>
        </w:rPr>
        <w:t>ase</w:t>
      </w:r>
      <w:r w:rsidR="00C07D28">
        <w:rPr>
          <w:lang w:val="pt-BR"/>
        </w:rPr>
        <w:t>ou</w:t>
      </w:r>
      <w:r>
        <w:rPr>
          <w:lang w:val="pt-BR"/>
        </w:rPr>
        <w:t xml:space="preserve"> </w:t>
      </w:r>
      <w:r w:rsidR="00F12671">
        <w:rPr>
          <w:lang w:val="pt-BR"/>
        </w:rPr>
        <w:t xml:space="preserve">em três múltiplos patrimoniais: </w:t>
      </w:r>
      <w:r w:rsidRPr="006D56D5">
        <w:rPr>
          <w:rFonts w:eastAsia="Times New Roman" w:cs="Times New Roman"/>
          <w:szCs w:val="24"/>
          <w:lang w:val="pt-BR" w:eastAsia="pt-BR" w:bidi="ar-SA"/>
        </w:rPr>
        <w:t>preço/lucro (</w:t>
      </w:r>
      <w:proofErr w:type="spellStart"/>
      <w:r w:rsidRPr="006D56D5">
        <w:rPr>
          <w:rFonts w:eastAsia="Times New Roman" w:cs="Times New Roman"/>
          <w:i/>
          <w:szCs w:val="24"/>
          <w:lang w:val="pt-BR" w:eastAsia="pt-BR" w:bidi="ar-SA"/>
        </w:rPr>
        <w:t>price-to-earnings</w:t>
      </w:r>
      <w:proofErr w:type="spellEnd"/>
      <w:r w:rsidRPr="006D56D5">
        <w:rPr>
          <w:rFonts w:eastAsia="Times New Roman" w:cs="Times New Roman"/>
          <w:szCs w:val="24"/>
          <w:lang w:val="pt-BR" w:eastAsia="pt-BR" w:bidi="ar-SA"/>
        </w:rPr>
        <w:t xml:space="preserve"> ou P/L), preço/valor contábil (</w:t>
      </w:r>
      <w:proofErr w:type="spellStart"/>
      <w:r w:rsidRPr="006D56D5">
        <w:rPr>
          <w:rFonts w:eastAsia="Times New Roman" w:cs="Times New Roman"/>
          <w:i/>
          <w:szCs w:val="24"/>
          <w:lang w:val="pt-BR" w:eastAsia="pt-BR" w:bidi="ar-SA"/>
        </w:rPr>
        <w:t>price</w:t>
      </w:r>
      <w:proofErr w:type="spellEnd"/>
      <w:r w:rsidRPr="006D56D5">
        <w:rPr>
          <w:rFonts w:eastAsia="Times New Roman" w:cs="Times New Roman"/>
          <w:i/>
          <w:szCs w:val="24"/>
          <w:lang w:val="pt-BR" w:eastAsia="pt-BR" w:bidi="ar-SA"/>
        </w:rPr>
        <w:t>-</w:t>
      </w:r>
      <w:proofErr w:type="spellStart"/>
      <w:r w:rsidRPr="006D56D5">
        <w:rPr>
          <w:rFonts w:eastAsia="Times New Roman" w:cs="Times New Roman"/>
          <w:i/>
          <w:szCs w:val="24"/>
          <w:lang w:val="pt-BR" w:eastAsia="pt-BR" w:bidi="ar-SA"/>
        </w:rPr>
        <w:t>to</w:t>
      </w:r>
      <w:proofErr w:type="spellEnd"/>
      <w:r w:rsidRPr="006D56D5">
        <w:rPr>
          <w:rFonts w:eastAsia="Times New Roman" w:cs="Times New Roman"/>
          <w:i/>
          <w:szCs w:val="24"/>
          <w:lang w:val="pt-BR" w:eastAsia="pt-BR" w:bidi="ar-SA"/>
        </w:rPr>
        <w:t>-book</w:t>
      </w:r>
      <w:r w:rsidRPr="006D56D5">
        <w:rPr>
          <w:rFonts w:eastAsia="Times New Roman" w:cs="Times New Roman"/>
          <w:szCs w:val="24"/>
          <w:lang w:val="pt-BR" w:eastAsia="pt-BR" w:bidi="ar-SA"/>
        </w:rPr>
        <w:t xml:space="preserve"> ou P/B) e </w:t>
      </w:r>
      <w:r>
        <w:rPr>
          <w:rFonts w:eastAsia="Times New Roman" w:cs="Times New Roman"/>
          <w:szCs w:val="24"/>
          <w:lang w:val="pt-BR" w:eastAsia="pt-BR" w:bidi="ar-SA"/>
        </w:rPr>
        <w:t xml:space="preserve">preço/lucro operacional (P/LO), visto que estes são os índices mais utilizados pelo mercado e mais pesquisados pela academia. O índice </w:t>
      </w:r>
      <w:r w:rsidRPr="006D56D5">
        <w:rPr>
          <w:rFonts w:eastAsia="Times New Roman" w:cs="Times New Roman"/>
          <w:szCs w:val="24"/>
          <w:lang w:val="pt-BR" w:eastAsia="pt-BR" w:bidi="ar-SA"/>
        </w:rPr>
        <w:t>preço-EBITDA (</w:t>
      </w:r>
      <w:proofErr w:type="spellStart"/>
      <w:r w:rsidRPr="006D56D5">
        <w:rPr>
          <w:rFonts w:eastAsia="Times New Roman" w:cs="Times New Roman"/>
          <w:i/>
          <w:szCs w:val="24"/>
          <w:lang w:val="pt-BR" w:eastAsia="pt-BR" w:bidi="ar-SA"/>
        </w:rPr>
        <w:t>enterprise</w:t>
      </w:r>
      <w:proofErr w:type="spellEnd"/>
      <w:r w:rsidRPr="006D56D5">
        <w:rPr>
          <w:rFonts w:eastAsia="Times New Roman" w:cs="Times New Roman"/>
          <w:i/>
          <w:szCs w:val="24"/>
          <w:lang w:val="pt-BR" w:eastAsia="pt-BR" w:bidi="ar-SA"/>
        </w:rPr>
        <w:t xml:space="preserve"> </w:t>
      </w:r>
      <w:proofErr w:type="spellStart"/>
      <w:r w:rsidRPr="006D56D5">
        <w:rPr>
          <w:rFonts w:eastAsia="Times New Roman" w:cs="Times New Roman"/>
          <w:i/>
          <w:szCs w:val="24"/>
          <w:lang w:val="pt-BR" w:eastAsia="pt-BR" w:bidi="ar-SA"/>
        </w:rPr>
        <w:t>value</w:t>
      </w:r>
      <w:proofErr w:type="spellEnd"/>
      <w:r w:rsidRPr="006D56D5">
        <w:rPr>
          <w:rFonts w:eastAsia="Times New Roman" w:cs="Times New Roman"/>
          <w:szCs w:val="24"/>
          <w:lang w:val="pt-BR" w:eastAsia="pt-BR" w:bidi="ar-SA"/>
        </w:rPr>
        <w:t xml:space="preserve">/EBITDA ou </w:t>
      </w:r>
      <w:r>
        <w:rPr>
          <w:rFonts w:eastAsia="Times New Roman" w:cs="Times New Roman"/>
          <w:szCs w:val="24"/>
          <w:lang w:val="pt-BR" w:eastAsia="pt-BR" w:bidi="ar-SA"/>
        </w:rPr>
        <w:t>P</w:t>
      </w:r>
      <w:r w:rsidRPr="006D56D5">
        <w:rPr>
          <w:rFonts w:eastAsia="Times New Roman" w:cs="Times New Roman"/>
          <w:szCs w:val="24"/>
          <w:lang w:val="pt-BR" w:eastAsia="pt-BR" w:bidi="ar-SA"/>
        </w:rPr>
        <w:t>/EBITDA)</w:t>
      </w:r>
      <w:r>
        <w:rPr>
          <w:rFonts w:eastAsia="Times New Roman" w:cs="Times New Roman"/>
          <w:szCs w:val="24"/>
          <w:lang w:val="pt-BR" w:eastAsia="pt-BR" w:bidi="ar-SA"/>
        </w:rPr>
        <w:t>, que</w:t>
      </w:r>
      <w:r w:rsidR="00F12671">
        <w:rPr>
          <w:rFonts w:eastAsia="Times New Roman" w:cs="Times New Roman"/>
          <w:szCs w:val="24"/>
          <w:lang w:val="pt-BR" w:eastAsia="pt-BR" w:bidi="ar-SA"/>
        </w:rPr>
        <w:t xml:space="preserve"> é um múltiplo de valor das empresas,</w:t>
      </w:r>
      <w:r>
        <w:rPr>
          <w:rFonts w:eastAsia="Times New Roman" w:cs="Times New Roman"/>
          <w:szCs w:val="24"/>
          <w:lang w:val="pt-BR" w:eastAsia="pt-BR" w:bidi="ar-SA"/>
        </w:rPr>
        <w:t xml:space="preserve"> também tem boa aplicabilidade no mercado internacional</w:t>
      </w:r>
      <w:r w:rsidR="00F12671">
        <w:rPr>
          <w:rFonts w:eastAsia="Times New Roman" w:cs="Times New Roman"/>
          <w:szCs w:val="24"/>
          <w:lang w:val="pt-BR" w:eastAsia="pt-BR" w:bidi="ar-SA"/>
        </w:rPr>
        <w:t>, entretanto,</w:t>
      </w:r>
      <w:r>
        <w:rPr>
          <w:rFonts w:eastAsia="Times New Roman" w:cs="Times New Roman"/>
          <w:szCs w:val="24"/>
          <w:lang w:val="pt-BR" w:eastAsia="pt-BR" w:bidi="ar-SA"/>
        </w:rPr>
        <w:t xml:space="preserve"> não foi empregado neste trabalho</w:t>
      </w:r>
      <w:r w:rsidR="00F12671">
        <w:rPr>
          <w:rFonts w:eastAsia="Times New Roman" w:cs="Times New Roman"/>
          <w:szCs w:val="24"/>
          <w:lang w:val="pt-BR" w:eastAsia="pt-BR" w:bidi="ar-SA"/>
        </w:rPr>
        <w:t xml:space="preserve"> devido</w:t>
      </w:r>
      <w:r>
        <w:rPr>
          <w:rFonts w:eastAsia="Times New Roman" w:cs="Times New Roman"/>
          <w:szCs w:val="24"/>
          <w:lang w:val="pt-BR" w:eastAsia="pt-BR" w:bidi="ar-SA"/>
        </w:rPr>
        <w:t xml:space="preserve"> o setor bancário não calcula o EBITDA já que </w:t>
      </w:r>
      <w:r w:rsidR="00D97104">
        <w:rPr>
          <w:rFonts w:eastAsia="Times New Roman" w:cs="Times New Roman"/>
          <w:szCs w:val="24"/>
          <w:lang w:val="pt-BR" w:eastAsia="pt-BR" w:bidi="ar-SA"/>
        </w:rPr>
        <w:t>os bancos têm</w:t>
      </w:r>
      <w:r>
        <w:rPr>
          <w:rFonts w:eastAsia="Times New Roman" w:cs="Times New Roman"/>
          <w:szCs w:val="24"/>
          <w:lang w:val="pt-BR" w:eastAsia="pt-BR" w:bidi="ar-SA"/>
        </w:rPr>
        <w:t xml:space="preserve"> suas receitas baseadas em transações financeiras e o EBITDA não considera os juros. </w:t>
      </w:r>
    </w:p>
    <w:p w14:paraId="488AE362" w14:textId="5BE202C2" w:rsidR="00356C7B" w:rsidRDefault="00356C7B" w:rsidP="00356C7B">
      <w:pPr>
        <w:pStyle w:val="SemEspaamento"/>
        <w:rPr>
          <w:rFonts w:eastAsia="Times New Roman" w:cs="Times New Roman"/>
          <w:szCs w:val="24"/>
          <w:lang w:val="pt-BR" w:eastAsia="pt-BR" w:bidi="ar-SA"/>
        </w:rPr>
      </w:pPr>
      <w:r>
        <w:rPr>
          <w:rFonts w:eastAsia="Times New Roman" w:cs="Times New Roman"/>
          <w:szCs w:val="24"/>
          <w:lang w:val="pt-BR" w:eastAsia="pt-BR" w:bidi="ar-SA"/>
        </w:rPr>
        <w:t xml:space="preserve">O índice P/L é o mais comum entre os múltiplos e </w:t>
      </w:r>
      <w:r w:rsidRPr="00F5420E">
        <w:rPr>
          <w:rFonts w:eastAsia="Times New Roman"/>
          <w:lang w:val="pt-BR" w:eastAsia="pt-BR" w:bidi="ar-SA"/>
        </w:rPr>
        <w:t>reflete o crescimento esperado dos lucros, visto que</w:t>
      </w:r>
      <w:r>
        <w:rPr>
          <w:rFonts w:eastAsia="Times New Roman"/>
          <w:lang w:val="pt-BR" w:eastAsia="pt-BR" w:bidi="ar-SA"/>
        </w:rPr>
        <w:t xml:space="preserve"> </w:t>
      </w:r>
      <w:r w:rsidRPr="00F5420E">
        <w:rPr>
          <w:rFonts w:eastAsia="Times New Roman"/>
          <w:lang w:val="pt-BR" w:eastAsia="pt-BR" w:bidi="ar-SA"/>
        </w:rPr>
        <w:t>o preço, o numerador, é a previsão feita pelo mercado para o valor a ser agregado por venda</w:t>
      </w:r>
      <w:r>
        <w:rPr>
          <w:rFonts w:eastAsia="Times New Roman"/>
          <w:lang w:val="pt-BR" w:eastAsia="pt-BR" w:bidi="ar-SA"/>
        </w:rPr>
        <w:t xml:space="preserve">s </w:t>
      </w:r>
      <w:r w:rsidRPr="00F5420E">
        <w:rPr>
          <w:rFonts w:eastAsia="Times New Roman"/>
          <w:lang w:val="pt-BR" w:eastAsia="pt-BR" w:bidi="ar-SA"/>
        </w:rPr>
        <w:t>no futuro, isto é, lucro futuro</w:t>
      </w:r>
      <w:r>
        <w:rPr>
          <w:rFonts w:eastAsia="Times New Roman"/>
          <w:lang w:val="pt-BR" w:eastAsia="pt-BR" w:bidi="ar-SA"/>
        </w:rPr>
        <w:t>, e</w:t>
      </w:r>
      <w:r w:rsidRPr="00F5420E">
        <w:rPr>
          <w:rFonts w:eastAsia="Times New Roman"/>
          <w:lang w:val="pt-BR" w:eastAsia="pt-BR" w:bidi="ar-SA"/>
        </w:rPr>
        <w:t xml:space="preserve"> o denominador é lucro corrente, valor agregado de vendas</w:t>
      </w:r>
      <w:r>
        <w:rPr>
          <w:rFonts w:eastAsia="Times New Roman"/>
          <w:lang w:val="pt-BR" w:eastAsia="pt-BR" w:bidi="ar-SA"/>
        </w:rPr>
        <w:t xml:space="preserve"> </w:t>
      </w:r>
      <w:r w:rsidRPr="00F5420E">
        <w:rPr>
          <w:rFonts w:eastAsia="Times New Roman"/>
          <w:lang w:val="pt-BR" w:eastAsia="pt-BR" w:bidi="ar-SA"/>
        </w:rPr>
        <w:t>correntes, portanto, o índice P/</w:t>
      </w:r>
      <w:r w:rsidR="00383A93">
        <w:rPr>
          <w:rFonts w:eastAsia="Times New Roman"/>
          <w:lang w:val="pt-BR" w:eastAsia="pt-BR" w:bidi="ar-SA"/>
        </w:rPr>
        <w:t>L</w:t>
      </w:r>
      <w:r w:rsidR="00383A93" w:rsidRPr="00F5420E">
        <w:rPr>
          <w:rFonts w:eastAsia="Times New Roman"/>
          <w:lang w:val="pt-BR" w:eastAsia="pt-BR" w:bidi="ar-SA"/>
        </w:rPr>
        <w:t xml:space="preserve"> </w:t>
      </w:r>
      <w:r w:rsidRPr="00F5420E">
        <w:rPr>
          <w:rFonts w:eastAsia="Times New Roman"/>
          <w:lang w:val="pt-BR" w:eastAsia="pt-BR" w:bidi="ar-SA"/>
        </w:rPr>
        <w:t>compara lucro futuro previsto com lucro corrente. Se</w:t>
      </w:r>
      <w:r>
        <w:rPr>
          <w:rFonts w:eastAsia="Times New Roman"/>
          <w:lang w:val="pt-BR" w:eastAsia="pt-BR" w:bidi="ar-SA"/>
        </w:rPr>
        <w:t xml:space="preserve"> </w:t>
      </w:r>
      <w:r w:rsidRPr="00F5420E">
        <w:rPr>
          <w:rFonts w:eastAsia="Times New Roman"/>
          <w:lang w:val="pt-BR" w:eastAsia="pt-BR" w:bidi="ar-SA"/>
        </w:rPr>
        <w:t>esperarmos lucro futuro consideravelmente maior do que o lucro corrente, o índice P/</w:t>
      </w:r>
      <w:r>
        <w:rPr>
          <w:rFonts w:eastAsia="Times New Roman"/>
          <w:lang w:val="pt-BR" w:eastAsia="pt-BR" w:bidi="ar-SA"/>
        </w:rPr>
        <w:t>L</w:t>
      </w:r>
      <w:r w:rsidRPr="00F5420E">
        <w:rPr>
          <w:rFonts w:eastAsia="Times New Roman"/>
          <w:lang w:val="pt-BR" w:eastAsia="pt-BR" w:bidi="ar-SA"/>
        </w:rPr>
        <w:t xml:space="preserve"> deverá</w:t>
      </w:r>
      <w:r>
        <w:rPr>
          <w:rFonts w:eastAsia="Times New Roman"/>
          <w:lang w:val="pt-BR" w:eastAsia="pt-BR" w:bidi="ar-SA"/>
        </w:rPr>
        <w:t xml:space="preserve"> </w:t>
      </w:r>
      <w:r w:rsidRPr="00F5420E">
        <w:rPr>
          <w:rFonts w:eastAsia="Times New Roman"/>
          <w:lang w:val="pt-BR" w:eastAsia="pt-BR" w:bidi="ar-SA"/>
        </w:rPr>
        <w:t>ser alto; se esperarmos lucro futuro mais baixo do que o lucro corrente, o índice P/</w:t>
      </w:r>
      <w:r>
        <w:rPr>
          <w:rFonts w:eastAsia="Times New Roman"/>
          <w:lang w:val="pt-BR" w:eastAsia="pt-BR" w:bidi="ar-SA"/>
        </w:rPr>
        <w:t xml:space="preserve">L </w:t>
      </w:r>
      <w:r w:rsidRPr="00F5420E">
        <w:rPr>
          <w:rFonts w:eastAsia="Times New Roman"/>
          <w:lang w:val="pt-BR" w:eastAsia="pt-BR" w:bidi="ar-SA"/>
        </w:rPr>
        <w:t>deverá ser</w:t>
      </w:r>
      <w:r>
        <w:rPr>
          <w:rFonts w:eastAsia="Times New Roman"/>
          <w:lang w:val="pt-BR" w:eastAsia="pt-BR" w:bidi="ar-SA"/>
        </w:rPr>
        <w:t xml:space="preserve"> </w:t>
      </w:r>
      <w:r w:rsidRPr="00F5420E">
        <w:rPr>
          <w:rFonts w:eastAsia="Times New Roman"/>
          <w:lang w:val="pt-BR" w:eastAsia="pt-BR" w:bidi="ar-SA"/>
        </w:rPr>
        <w:t>baixo (</w:t>
      </w:r>
      <w:r w:rsidR="00C70C6E" w:rsidRPr="00F5420E">
        <w:rPr>
          <w:rFonts w:eastAsia="Times New Roman"/>
          <w:lang w:val="pt-BR" w:eastAsia="pt-BR" w:bidi="ar-SA"/>
        </w:rPr>
        <w:t>PENMAN</w:t>
      </w:r>
      <w:r w:rsidRPr="00F5420E">
        <w:rPr>
          <w:rFonts w:eastAsia="Times New Roman"/>
          <w:lang w:val="pt-BR" w:eastAsia="pt-BR" w:bidi="ar-SA"/>
        </w:rPr>
        <w:t>, 2013).</w:t>
      </w:r>
      <w:r>
        <w:rPr>
          <w:rFonts w:eastAsia="Times New Roman"/>
          <w:lang w:val="pt-BR" w:eastAsia="pt-BR" w:bidi="ar-SA"/>
        </w:rPr>
        <w:t xml:space="preserve"> Esse múltiplo</w:t>
      </w:r>
      <w:r w:rsidRPr="00F5420E">
        <w:rPr>
          <w:rFonts w:eastAsia="Times New Roman"/>
          <w:lang w:val="pt-BR" w:eastAsia="pt-BR" w:bidi="ar-SA"/>
        </w:rPr>
        <w:t xml:space="preserve"> </w:t>
      </w:r>
      <w:r>
        <w:rPr>
          <w:rFonts w:eastAsia="Times New Roman" w:cs="Times New Roman"/>
          <w:szCs w:val="24"/>
          <w:lang w:val="pt-BR" w:eastAsia="pt-BR" w:bidi="ar-SA"/>
        </w:rPr>
        <w:t xml:space="preserve">é calculado conforme equação 2: </w:t>
      </w:r>
    </w:p>
    <w:p w14:paraId="134200AB" w14:textId="77777777" w:rsidR="00356C7B" w:rsidRPr="00482D8B" w:rsidRDefault="00356C7B" w:rsidP="00356C7B">
      <w:pPr>
        <w:pStyle w:val="SemEspaamento"/>
        <w:rPr>
          <w:lang w:val="pt-BR"/>
        </w:rPr>
      </w:pPr>
    </w:p>
    <w:p w14:paraId="66206055" w14:textId="77777777" w:rsidR="00356C7B" w:rsidRPr="003908ED" w:rsidRDefault="00356C7B" w:rsidP="00356C7B">
      <w:pPr>
        <w:pStyle w:val="SemEspaamento"/>
        <w:ind w:left="707" w:firstLine="1703"/>
        <w:rPr>
          <w:rFonts w:eastAsia="Times New Roman"/>
          <w:szCs w:val="26"/>
          <w:lang w:val="pt-BR" w:eastAsia="pt-BR" w:bidi="ar-SA"/>
        </w:rPr>
      </w:pPr>
      <m:oMath>
        <m:r>
          <w:rPr>
            <w:rFonts w:ascii="Cambria Math" w:eastAsia="Times New Roman" w:hAnsi="Cambria Math" w:cs="Times New Roman"/>
            <w:szCs w:val="26"/>
            <w:lang w:val="pt-BR" w:eastAsia="pt-BR" w:bidi="ar-SA"/>
          </w:rPr>
          <m:t xml:space="preserve">P/L= </m:t>
        </m:r>
        <m:f>
          <m:fPr>
            <m:ctrlPr>
              <w:rPr>
                <w:rFonts w:ascii="Cambria Math" w:eastAsia="Times New Roman" w:hAnsi="Cambria Math" w:cs="Times New Roman"/>
                <w:i/>
                <w:szCs w:val="26"/>
                <w:lang w:val="pt-BR" w:eastAsia="pt-BR" w:bidi="ar-SA"/>
              </w:rPr>
            </m:ctrlPr>
          </m:fPr>
          <m:num>
            <m:r>
              <w:rPr>
                <w:rFonts w:ascii="Cambria Math" w:eastAsia="Times New Roman" w:hAnsi="Cambria Math" w:cs="Times New Roman"/>
                <w:szCs w:val="26"/>
                <w:lang w:val="pt-BR" w:eastAsia="pt-BR" w:bidi="ar-SA"/>
              </w:rPr>
              <m:t>Valor de mercado da ação</m:t>
            </m:r>
          </m:num>
          <m:den>
            <m:r>
              <w:rPr>
                <w:rFonts w:ascii="Cambria Math" w:eastAsia="Times New Roman" w:hAnsi="Cambria Math" w:cs="Times New Roman"/>
                <w:szCs w:val="26"/>
                <w:lang w:val="pt-BR" w:eastAsia="pt-BR" w:bidi="ar-SA"/>
              </w:rPr>
              <m:t>Lucro líquido por ação</m:t>
            </m:r>
          </m:den>
        </m:f>
      </m:oMath>
      <w:r>
        <w:rPr>
          <w:rFonts w:eastAsia="Times New Roman"/>
          <w:szCs w:val="26"/>
          <w:lang w:val="pt-BR" w:eastAsia="pt-BR" w:bidi="ar-SA"/>
        </w:rPr>
        <w:tab/>
      </w:r>
      <w:r>
        <w:rPr>
          <w:rFonts w:eastAsia="Times New Roman"/>
          <w:szCs w:val="26"/>
          <w:lang w:val="pt-BR" w:eastAsia="pt-BR" w:bidi="ar-SA"/>
        </w:rPr>
        <w:tab/>
      </w:r>
      <w:r>
        <w:rPr>
          <w:rFonts w:eastAsia="Times New Roman"/>
          <w:szCs w:val="26"/>
          <w:lang w:val="pt-BR" w:eastAsia="pt-BR" w:bidi="ar-SA"/>
        </w:rPr>
        <w:tab/>
      </w:r>
      <w:r>
        <w:rPr>
          <w:rFonts w:eastAsia="Times New Roman"/>
          <w:szCs w:val="26"/>
          <w:lang w:val="pt-BR" w:eastAsia="pt-BR" w:bidi="ar-SA"/>
        </w:rPr>
        <w:tab/>
        <w:t xml:space="preserve">       (2)</w:t>
      </w:r>
    </w:p>
    <w:p w14:paraId="031C9046" w14:textId="77777777" w:rsidR="00356C7B" w:rsidRDefault="00356C7B" w:rsidP="00356C7B">
      <w:pPr>
        <w:pStyle w:val="SemEspaamento"/>
        <w:rPr>
          <w:rFonts w:eastAsia="Times New Roman"/>
          <w:lang w:val="pt-BR" w:eastAsia="pt-BR" w:bidi="ar-SA"/>
        </w:rPr>
      </w:pPr>
    </w:p>
    <w:p w14:paraId="79D7766A" w14:textId="315776F1" w:rsidR="00356C7B" w:rsidRDefault="00356C7B" w:rsidP="00356C7B">
      <w:pPr>
        <w:pStyle w:val="SemEspaamento"/>
        <w:rPr>
          <w:rFonts w:eastAsia="Times New Roman"/>
          <w:lang w:val="pt-BR" w:eastAsia="pt-BR" w:bidi="ar-SA"/>
        </w:rPr>
      </w:pPr>
      <w:r>
        <w:rPr>
          <w:rFonts w:eastAsia="Times New Roman"/>
          <w:lang w:val="pt-BR" w:eastAsia="pt-BR" w:bidi="ar-SA"/>
        </w:rPr>
        <w:t>O segundo índice considerado é o P/B. Esse tipo de múltiplo é utilizado pelos analistas por relacionar o preço atual de uma ação e o valor contábil da mesma servindo como indicador do quanto uma ação está sub ou supervalorizada (</w:t>
      </w:r>
      <w:r w:rsidR="00C70C6E">
        <w:rPr>
          <w:rFonts w:eastAsia="Times New Roman"/>
          <w:lang w:val="pt-BR" w:eastAsia="pt-BR" w:bidi="ar-SA"/>
        </w:rPr>
        <w:t>DAMODARAN</w:t>
      </w:r>
      <w:r>
        <w:rPr>
          <w:rFonts w:eastAsia="Times New Roman"/>
          <w:lang w:val="pt-BR" w:eastAsia="pt-BR" w:bidi="ar-SA"/>
        </w:rPr>
        <w:t xml:space="preserve">, 2007). A equação 3 traz a fórmula desse múltiplo: </w:t>
      </w:r>
    </w:p>
    <w:p w14:paraId="59E6A80F" w14:textId="77777777" w:rsidR="00356C7B" w:rsidRDefault="00356C7B" w:rsidP="00356C7B">
      <w:pPr>
        <w:pStyle w:val="SemEspaamento"/>
        <w:rPr>
          <w:rFonts w:eastAsia="Times New Roman"/>
          <w:lang w:val="pt-BR" w:eastAsia="pt-BR" w:bidi="ar-SA"/>
        </w:rPr>
      </w:pPr>
    </w:p>
    <w:p w14:paraId="00CA396B" w14:textId="77777777" w:rsidR="00356C7B" w:rsidRPr="003908ED" w:rsidRDefault="00356C7B" w:rsidP="00356C7B">
      <w:pPr>
        <w:pStyle w:val="SemEspaamento"/>
        <w:ind w:left="2123"/>
        <w:rPr>
          <w:rFonts w:eastAsia="Times New Roman"/>
          <w:i/>
          <w:lang w:val="pt-BR" w:eastAsia="pt-BR" w:bidi="ar-SA"/>
        </w:rPr>
      </w:pPr>
      <m:oMath>
        <m:r>
          <w:rPr>
            <w:rFonts w:ascii="Cambria Math" w:eastAsia="Times New Roman" w:hAnsi="Cambria Math"/>
            <w:lang w:eastAsia="pt-BR" w:bidi="ar-SA"/>
          </w:rPr>
          <m:t>P</m:t>
        </m:r>
        <m:r>
          <w:rPr>
            <w:rFonts w:ascii="Cambria Math" w:eastAsia="Times New Roman" w:hAnsi="Cambria Math"/>
            <w:lang w:val="pt-BR" w:eastAsia="pt-BR" w:bidi="ar-SA"/>
          </w:rPr>
          <m:t>/</m:t>
        </m:r>
        <m:r>
          <w:rPr>
            <w:rFonts w:ascii="Cambria Math" w:eastAsia="Times New Roman" w:hAnsi="Cambria Math"/>
            <w:lang w:eastAsia="pt-BR" w:bidi="ar-SA"/>
          </w:rPr>
          <m:t>B</m:t>
        </m:r>
        <m:r>
          <w:rPr>
            <w:rFonts w:ascii="Cambria Math" w:eastAsia="Times New Roman" w:hAnsi="Cambria Math"/>
            <w:lang w:val="pt-BR" w:eastAsia="pt-BR" w:bidi="ar-SA"/>
          </w:rPr>
          <m:t xml:space="preserve"> =</m:t>
        </m:r>
        <m:f>
          <m:fPr>
            <m:ctrlPr>
              <w:rPr>
                <w:rFonts w:ascii="Cambria Math" w:eastAsia="Times New Roman" w:hAnsi="Cambria Math"/>
                <w:i/>
                <w:lang w:val="pt-BR" w:eastAsia="pt-BR" w:bidi="ar-SA"/>
              </w:rPr>
            </m:ctrlPr>
          </m:fPr>
          <m:num>
            <m:r>
              <w:rPr>
                <w:rFonts w:ascii="Cambria Math" w:eastAsia="Times New Roman" w:hAnsi="Cambria Math"/>
                <w:lang w:eastAsia="pt-BR" w:bidi="ar-SA"/>
              </w:rPr>
              <m:t>Valor</m:t>
            </m:r>
            <m:r>
              <w:rPr>
                <w:rFonts w:ascii="Cambria Math" w:eastAsia="Times New Roman"/>
                <w:lang w:val="pt-BR" w:eastAsia="pt-BR" w:bidi="ar-SA"/>
              </w:rPr>
              <m:t xml:space="preserve"> </m:t>
            </m:r>
            <m:r>
              <w:rPr>
                <w:rFonts w:ascii="Cambria Math" w:eastAsia="Times New Roman" w:hAnsi="Cambria Math"/>
                <w:lang w:eastAsia="pt-BR" w:bidi="ar-SA"/>
              </w:rPr>
              <m:t>de</m:t>
            </m:r>
            <m:r>
              <w:rPr>
                <w:rFonts w:ascii="Cambria Math" w:eastAsia="Times New Roman"/>
                <w:lang w:val="pt-BR" w:eastAsia="pt-BR" w:bidi="ar-SA"/>
              </w:rPr>
              <m:t xml:space="preserve"> </m:t>
            </m:r>
            <m:r>
              <w:rPr>
                <w:rFonts w:ascii="Cambria Math" w:eastAsia="Times New Roman" w:hAnsi="Cambria Math"/>
                <w:lang w:eastAsia="pt-BR" w:bidi="ar-SA"/>
              </w:rPr>
              <m:t>mercado</m:t>
            </m:r>
            <m:r>
              <w:rPr>
                <w:rFonts w:ascii="Cambria Math" w:eastAsia="Times New Roman" w:hAnsi="Cambria Math"/>
                <w:lang w:val="pt-BR" w:eastAsia="pt-BR" w:bidi="ar-SA"/>
              </w:rPr>
              <m:t xml:space="preserve"> </m:t>
            </m:r>
            <m:r>
              <w:rPr>
                <w:rFonts w:ascii="Cambria Math" w:eastAsia="Times New Roman" w:hAnsi="Cambria Math"/>
                <w:lang w:eastAsia="pt-BR" w:bidi="ar-SA"/>
              </w:rPr>
              <m:t>da</m:t>
            </m:r>
            <m:r>
              <w:rPr>
                <w:rFonts w:ascii="Cambria Math" w:eastAsia="Times New Roman" w:hAnsi="Cambria Math"/>
                <w:lang w:val="pt-BR" w:eastAsia="pt-BR" w:bidi="ar-SA"/>
              </w:rPr>
              <m:t xml:space="preserve"> </m:t>
            </m:r>
            <m:r>
              <w:rPr>
                <w:rFonts w:ascii="Cambria Math" w:eastAsia="Times New Roman" w:hAnsi="Cambria Math"/>
                <w:lang w:eastAsia="pt-BR" w:bidi="ar-SA"/>
              </w:rPr>
              <m:t>a</m:t>
            </m:r>
            <m:r>
              <w:rPr>
                <w:rFonts w:ascii="Cambria Math" w:eastAsia="Times New Roman" w:hAnsi="Cambria Math"/>
                <w:lang w:val="pt-BR" w:eastAsia="pt-BR" w:bidi="ar-SA"/>
              </w:rPr>
              <m:t>çã</m:t>
            </m:r>
            <m:r>
              <w:rPr>
                <w:rFonts w:ascii="Cambria Math" w:eastAsia="Times New Roman" w:hAnsi="Cambria Math"/>
                <w:lang w:eastAsia="pt-BR" w:bidi="ar-SA"/>
              </w:rPr>
              <m:t>o</m:t>
            </m:r>
          </m:num>
          <m:den>
            <m:r>
              <w:rPr>
                <w:rFonts w:ascii="Cambria Math" w:eastAsia="Times New Roman" w:hAnsi="Cambria Math"/>
                <w:lang w:eastAsia="pt-BR" w:bidi="ar-SA"/>
              </w:rPr>
              <m:t>Valor</m:t>
            </m:r>
            <m:r>
              <w:rPr>
                <w:rFonts w:ascii="Cambria Math" w:eastAsia="Times New Roman"/>
                <w:lang w:val="pt-BR" w:eastAsia="pt-BR" w:bidi="ar-SA"/>
              </w:rPr>
              <m:t xml:space="preserve"> </m:t>
            </m:r>
            <m:r>
              <w:rPr>
                <w:rFonts w:ascii="Cambria Math" w:eastAsia="Times New Roman"/>
                <w:lang w:eastAsia="pt-BR" w:bidi="ar-SA"/>
              </w:rPr>
              <m:t>c</m:t>
            </m:r>
            <m:r>
              <w:rPr>
                <w:rFonts w:ascii="Cambria Math" w:eastAsia="Times New Roman" w:hAnsi="Cambria Math"/>
                <w:lang w:eastAsia="pt-BR" w:bidi="ar-SA"/>
              </w:rPr>
              <m:t>ont</m:t>
            </m:r>
            <m:r>
              <w:rPr>
                <w:rFonts w:ascii="Cambria Math" w:eastAsia="Times New Roman" w:hAnsi="Cambria Math"/>
                <w:lang w:val="pt-BR" w:eastAsia="pt-BR" w:bidi="ar-SA"/>
              </w:rPr>
              <m:t>á</m:t>
            </m:r>
            <m:r>
              <w:rPr>
                <w:rFonts w:ascii="Cambria Math" w:eastAsia="Times New Roman" w:hAnsi="Cambria Math"/>
                <w:lang w:eastAsia="pt-BR" w:bidi="ar-SA"/>
              </w:rPr>
              <m:t>bil</m:t>
            </m:r>
            <m:r>
              <w:rPr>
                <w:rFonts w:ascii="Cambria Math" w:eastAsia="Times New Roman" w:hAnsi="Cambria Math"/>
                <w:lang w:val="pt-BR" w:eastAsia="pt-BR" w:bidi="ar-SA"/>
              </w:rPr>
              <m:t xml:space="preserve"> </m:t>
            </m:r>
            <m:r>
              <w:rPr>
                <w:rFonts w:ascii="Cambria Math" w:eastAsia="Times New Roman" w:hAnsi="Cambria Math"/>
                <w:lang w:eastAsia="pt-BR" w:bidi="ar-SA"/>
              </w:rPr>
              <m:t>da</m:t>
            </m:r>
            <m:r>
              <w:rPr>
                <w:rFonts w:ascii="Cambria Math" w:eastAsia="Times New Roman" w:hAnsi="Cambria Math"/>
                <w:lang w:val="pt-BR" w:eastAsia="pt-BR" w:bidi="ar-SA"/>
              </w:rPr>
              <m:t xml:space="preserve"> </m:t>
            </m:r>
            <m:r>
              <w:rPr>
                <w:rFonts w:ascii="Cambria Math" w:eastAsia="Times New Roman" w:hAnsi="Cambria Math"/>
                <w:lang w:eastAsia="pt-BR" w:bidi="ar-SA"/>
              </w:rPr>
              <m:t>a</m:t>
            </m:r>
            <m:r>
              <w:rPr>
                <w:rFonts w:ascii="Cambria Math" w:eastAsia="Times New Roman" w:hAnsi="Cambria Math"/>
                <w:lang w:val="pt-BR" w:eastAsia="pt-BR" w:bidi="ar-SA"/>
              </w:rPr>
              <m:t>çã</m:t>
            </m:r>
            <m:r>
              <w:rPr>
                <w:rFonts w:ascii="Cambria Math" w:eastAsia="Times New Roman" w:hAnsi="Cambria Math"/>
                <w:lang w:eastAsia="pt-BR" w:bidi="ar-SA"/>
              </w:rPr>
              <m:t>o</m:t>
            </m:r>
          </m:den>
        </m:f>
      </m:oMath>
      <w:r>
        <w:rPr>
          <w:rFonts w:eastAsia="Times New Roman"/>
          <w:i/>
          <w:lang w:val="pt-BR" w:eastAsia="pt-BR" w:bidi="ar-SA"/>
        </w:rPr>
        <w:tab/>
      </w:r>
      <w:r>
        <w:rPr>
          <w:rFonts w:eastAsia="Times New Roman"/>
          <w:i/>
          <w:lang w:val="pt-BR" w:eastAsia="pt-BR" w:bidi="ar-SA"/>
        </w:rPr>
        <w:tab/>
        <w:t xml:space="preserve"> </w:t>
      </w:r>
      <w:r w:rsidRPr="00875D8C">
        <w:rPr>
          <w:rFonts w:eastAsia="Times New Roman"/>
          <w:lang w:val="pt-BR" w:eastAsia="pt-BR" w:bidi="ar-SA"/>
        </w:rPr>
        <w:tab/>
      </w:r>
      <w:r>
        <w:rPr>
          <w:rFonts w:eastAsia="Times New Roman"/>
          <w:lang w:val="pt-BR" w:eastAsia="pt-BR" w:bidi="ar-SA"/>
        </w:rPr>
        <w:t xml:space="preserve">       </w:t>
      </w:r>
      <w:r w:rsidRPr="00875D8C">
        <w:rPr>
          <w:rFonts w:eastAsia="Times New Roman"/>
          <w:lang w:val="pt-BR" w:eastAsia="pt-BR" w:bidi="ar-SA"/>
        </w:rPr>
        <w:t>(3)</w:t>
      </w:r>
    </w:p>
    <w:p w14:paraId="69097BE9" w14:textId="77777777" w:rsidR="00356C7B" w:rsidRDefault="00356C7B" w:rsidP="00356C7B">
      <w:pPr>
        <w:pStyle w:val="SemEspaamento"/>
        <w:rPr>
          <w:rFonts w:eastAsia="Times New Roman"/>
          <w:lang w:val="pt-BR" w:eastAsia="pt-BR" w:bidi="ar-SA"/>
        </w:rPr>
      </w:pPr>
    </w:p>
    <w:p w14:paraId="2BE382C6" w14:textId="19B8363F" w:rsidR="00356C7B" w:rsidRDefault="00356C7B" w:rsidP="00356C7B">
      <w:pPr>
        <w:pStyle w:val="SemEspaamento"/>
        <w:rPr>
          <w:rFonts w:eastAsia="Times New Roman"/>
          <w:lang w:val="pt-BR" w:eastAsia="pt-BR" w:bidi="ar-SA"/>
        </w:rPr>
      </w:pPr>
      <w:r>
        <w:rPr>
          <w:rFonts w:eastAsia="Times New Roman"/>
          <w:lang w:val="pt-BR" w:eastAsia="pt-BR" w:bidi="ar-SA"/>
        </w:rPr>
        <w:t>O P/B</w:t>
      </w:r>
      <w:r w:rsidRPr="00691E73">
        <w:rPr>
          <w:rFonts w:eastAsia="Times New Roman"/>
          <w:lang w:val="pt-BR" w:eastAsia="pt-BR" w:bidi="ar-SA"/>
        </w:rPr>
        <w:t xml:space="preserve"> é uma medida útil para situações em que ativos tangíveis são fontes geradoras de valor. </w:t>
      </w:r>
      <w:r>
        <w:rPr>
          <w:rFonts w:eastAsia="Times New Roman"/>
          <w:lang w:val="pt-BR" w:eastAsia="pt-BR" w:bidi="ar-SA"/>
        </w:rPr>
        <w:t>Ele</w:t>
      </w:r>
      <w:r w:rsidRPr="00691E73">
        <w:rPr>
          <w:rFonts w:eastAsia="Times New Roman"/>
          <w:lang w:val="pt-BR" w:eastAsia="pt-BR" w:bidi="ar-SA"/>
        </w:rPr>
        <w:t xml:space="preserve"> é muito utilizado para avaliar financeiras, uma vez que elas geram </w:t>
      </w:r>
      <w:r w:rsidRPr="00691E73">
        <w:rPr>
          <w:rFonts w:eastAsia="Times New Roman"/>
          <w:i/>
          <w:lang w:val="pt-BR" w:eastAsia="pt-BR" w:bidi="ar-SA"/>
        </w:rPr>
        <w:t>spread</w:t>
      </w:r>
      <w:r w:rsidRPr="00691E73">
        <w:rPr>
          <w:rFonts w:eastAsia="Times New Roman"/>
          <w:lang w:val="pt-BR" w:eastAsia="pt-BR" w:bidi="ar-SA"/>
        </w:rPr>
        <w:t xml:space="preserve"> a partir de uma grande base de ativos (empréstimos concedidos) e o multiplicam por alavancagem (depósitos). </w:t>
      </w:r>
      <w:r>
        <w:rPr>
          <w:rFonts w:eastAsia="Times New Roman"/>
          <w:lang w:val="pt-BR" w:eastAsia="pt-BR" w:bidi="ar-SA"/>
        </w:rPr>
        <w:t>Na avaliação desse múltiplo deve-se</w:t>
      </w:r>
      <w:r w:rsidRPr="00691E73">
        <w:rPr>
          <w:rFonts w:eastAsia="Times New Roman"/>
          <w:lang w:val="pt-BR" w:eastAsia="pt-BR" w:bidi="ar-SA"/>
        </w:rPr>
        <w:t xml:space="preserve"> partir do valor registrado pela contabilidade </w:t>
      </w:r>
      <w:r w:rsidRPr="00691E73">
        <w:rPr>
          <w:rFonts w:eastAsia="Times New Roman"/>
          <w:lang w:val="pt-BR" w:eastAsia="pt-BR" w:bidi="ar-SA"/>
        </w:rPr>
        <w:lastRenderedPageBreak/>
        <w:t>(</w:t>
      </w:r>
      <w:r w:rsidRPr="00691E73">
        <w:rPr>
          <w:rFonts w:eastAsia="Times New Roman"/>
          <w:i/>
          <w:lang w:val="pt-BR" w:eastAsia="pt-BR" w:bidi="ar-SA"/>
        </w:rPr>
        <w:t xml:space="preserve">book </w:t>
      </w:r>
      <w:proofErr w:type="spellStart"/>
      <w:r w:rsidRPr="00691E73">
        <w:rPr>
          <w:rFonts w:eastAsia="Times New Roman"/>
          <w:i/>
          <w:lang w:val="pt-BR" w:eastAsia="pt-BR" w:bidi="ar-SA"/>
        </w:rPr>
        <w:t>value</w:t>
      </w:r>
      <w:proofErr w:type="spellEnd"/>
      <w:r w:rsidRPr="00691E73">
        <w:rPr>
          <w:rFonts w:eastAsia="Times New Roman"/>
          <w:lang w:val="pt-BR" w:eastAsia="pt-BR" w:bidi="ar-SA"/>
        </w:rPr>
        <w:t>) e examinar como as atividades da empresa agem para que o mercado a premie (tendo um preço de ação maior que seu valor em patrimônio líquido, gerando um múltiplo maior do que 1) ou a desconte (precificando a ação em um valor menor que sua cota de patrimônio líquido, ou seja, com um múltiplo menor do que 1)</w:t>
      </w:r>
      <w:r>
        <w:rPr>
          <w:rFonts w:eastAsia="Times New Roman"/>
          <w:lang w:val="pt-BR" w:eastAsia="pt-BR" w:bidi="ar-SA"/>
        </w:rPr>
        <w:t xml:space="preserve"> (</w:t>
      </w:r>
      <w:r w:rsidR="00C70C6E">
        <w:rPr>
          <w:rFonts w:eastAsia="Times New Roman"/>
          <w:lang w:val="pt-BR" w:eastAsia="pt-BR" w:bidi="ar-SA"/>
        </w:rPr>
        <w:t xml:space="preserve">SUOZZO </w:t>
      </w:r>
      <w:r w:rsidRPr="00C70C6E">
        <w:rPr>
          <w:rFonts w:eastAsia="Times New Roman"/>
          <w:iCs/>
          <w:lang w:val="pt-BR" w:eastAsia="pt-BR" w:bidi="ar-SA"/>
        </w:rPr>
        <w:t>et al</w:t>
      </w:r>
      <w:r w:rsidRPr="00C70C6E">
        <w:rPr>
          <w:rFonts w:eastAsia="Times New Roman"/>
          <w:lang w:val="pt-BR" w:eastAsia="pt-BR" w:bidi="ar-SA"/>
        </w:rPr>
        <w:t>.,</w:t>
      </w:r>
      <w:r>
        <w:rPr>
          <w:rFonts w:eastAsia="Times New Roman"/>
          <w:lang w:val="pt-BR" w:eastAsia="pt-BR" w:bidi="ar-SA"/>
        </w:rPr>
        <w:t xml:space="preserve"> 2001)</w:t>
      </w:r>
      <w:r w:rsidRPr="00691E73">
        <w:rPr>
          <w:rFonts w:eastAsia="Times New Roman"/>
          <w:lang w:val="pt-BR" w:eastAsia="pt-BR" w:bidi="ar-SA"/>
        </w:rPr>
        <w:t>.</w:t>
      </w:r>
    </w:p>
    <w:p w14:paraId="521C9ECD" w14:textId="11674AB5" w:rsidR="00356C7B" w:rsidRPr="00C70C6E" w:rsidRDefault="00356C7B" w:rsidP="00356C7B">
      <w:pPr>
        <w:pStyle w:val="SemEspaamento"/>
        <w:ind w:firstLine="0"/>
        <w:rPr>
          <w:lang w:val="pt-BR"/>
        </w:rPr>
      </w:pPr>
      <w:r>
        <w:rPr>
          <w:rFonts w:eastAsia="Times New Roman"/>
          <w:i/>
          <w:lang w:val="pt-BR" w:eastAsia="pt-BR" w:bidi="ar-SA"/>
        </w:rPr>
        <w:tab/>
      </w:r>
      <w:r>
        <w:rPr>
          <w:rFonts w:eastAsia="Times New Roman"/>
          <w:lang w:val="pt-BR" w:eastAsia="pt-BR" w:bidi="ar-SA"/>
        </w:rPr>
        <w:t>Por fim, o</w:t>
      </w:r>
      <w:r w:rsidRPr="007C3EF3">
        <w:rPr>
          <w:lang w:val="pt-BR"/>
        </w:rPr>
        <w:t xml:space="preserve"> índice P/</w:t>
      </w:r>
      <w:r>
        <w:rPr>
          <w:lang w:val="pt-BR"/>
        </w:rPr>
        <w:t>LO</w:t>
      </w:r>
      <w:r w:rsidRPr="007C3EF3">
        <w:rPr>
          <w:lang w:val="pt-BR"/>
        </w:rPr>
        <w:t xml:space="preserve"> </w:t>
      </w:r>
      <w:r>
        <w:rPr>
          <w:lang w:val="pt-BR"/>
        </w:rPr>
        <w:t>é</w:t>
      </w:r>
      <w:r w:rsidRPr="007C3EF3">
        <w:rPr>
          <w:lang w:val="pt-BR"/>
        </w:rPr>
        <w:t xml:space="preserve"> uma medida de fluxo de caixa operacional corporativo,</w:t>
      </w:r>
      <w:r w:rsidR="00FD12B8">
        <w:rPr>
          <w:lang w:val="pt-BR"/>
        </w:rPr>
        <w:t xml:space="preserve"> visto que o lucro operacional realça apenas valores gerados exclusivamente pelas operações do empreendimento, ou seja, não abrange receitas ou despesas com juros oriundos de investimentos ou aquisição de endividamentos nem despesas com imposto de renda.</w:t>
      </w:r>
      <w:r w:rsidRPr="007C3EF3">
        <w:rPr>
          <w:lang w:val="pt-BR"/>
        </w:rPr>
        <w:t xml:space="preserve"> </w:t>
      </w:r>
      <w:r>
        <w:rPr>
          <w:lang w:val="pt-BR"/>
        </w:rPr>
        <w:t xml:space="preserve">Assim, sua utilização torna-se adequada para empresas que estão em fase de expansão e com alto endividamento </w:t>
      </w:r>
      <w:r w:rsidRPr="007C3EF3">
        <w:rPr>
          <w:lang w:val="pt-BR"/>
        </w:rPr>
        <w:t>(</w:t>
      </w:r>
      <w:r w:rsidR="00C70C6E" w:rsidRPr="007C3EF3">
        <w:rPr>
          <w:lang w:val="pt-BR"/>
        </w:rPr>
        <w:t>PURNANANDAM</w:t>
      </w:r>
      <w:r w:rsidR="00C70C6E">
        <w:rPr>
          <w:lang w:val="pt-BR"/>
        </w:rPr>
        <w:t xml:space="preserve">; </w:t>
      </w:r>
      <w:r w:rsidR="00C70C6E" w:rsidRPr="007C3EF3">
        <w:rPr>
          <w:lang w:val="pt-BR"/>
        </w:rPr>
        <w:t>SWAMINATHAN</w:t>
      </w:r>
      <w:r w:rsidRPr="007C3EF3">
        <w:rPr>
          <w:lang w:val="pt-BR"/>
        </w:rPr>
        <w:t>, 2004).</w:t>
      </w:r>
      <w:r>
        <w:rPr>
          <w:lang w:val="pt-BR"/>
        </w:rPr>
        <w:t xml:space="preserve"> Sua representação matemática é evidenciada na equação 4:</w:t>
      </w:r>
    </w:p>
    <w:p w14:paraId="2F04F325" w14:textId="77777777" w:rsidR="00356C7B" w:rsidRDefault="00356C7B" w:rsidP="00356C7B">
      <w:pPr>
        <w:pStyle w:val="SemEspaamento"/>
        <w:ind w:left="1414"/>
        <w:rPr>
          <w:rFonts w:eastAsia="Times New Roman"/>
          <w:i/>
          <w:lang w:val="pt-BR" w:eastAsia="pt-BR" w:bidi="ar-SA"/>
        </w:rPr>
      </w:pPr>
    </w:p>
    <w:p w14:paraId="6BF08FA8" w14:textId="77777777" w:rsidR="00356C7B" w:rsidRPr="00875D8C" w:rsidRDefault="00356C7B" w:rsidP="00356C7B">
      <w:pPr>
        <w:pStyle w:val="SemEspaamento"/>
        <w:ind w:left="1414"/>
        <w:rPr>
          <w:rFonts w:eastAsia="Times New Roman"/>
          <w:lang w:val="pt-BR" w:eastAsia="pt-BR" w:bidi="ar-SA"/>
        </w:rPr>
      </w:pPr>
      <w:r w:rsidRPr="00875D8C">
        <w:rPr>
          <w:rFonts w:eastAsia="Times New Roman"/>
          <w:i/>
          <w:lang w:val="pt-BR" w:eastAsia="pt-BR" w:bidi="ar-SA"/>
        </w:rPr>
        <w:t xml:space="preserve"> </w:t>
      </w:r>
      <w:r>
        <w:rPr>
          <w:rFonts w:eastAsia="Times New Roman"/>
          <w:i/>
          <w:lang w:val="pt-BR" w:eastAsia="pt-BR" w:bidi="ar-SA"/>
        </w:rPr>
        <w:t xml:space="preserve">     </w:t>
      </w:r>
      <m:oMath>
        <m:r>
          <w:rPr>
            <w:rFonts w:ascii="Cambria Math" w:eastAsia="Times New Roman" w:hAnsi="Cambria Math"/>
            <w:lang w:val="pt-BR" w:eastAsia="pt-BR" w:bidi="ar-SA"/>
          </w:rPr>
          <m:t>P/LO =</m:t>
        </m:r>
        <m:f>
          <m:fPr>
            <m:ctrlPr>
              <w:rPr>
                <w:rFonts w:ascii="Cambria Math" w:eastAsia="Times New Roman" w:hAnsi="Cambria Math"/>
                <w:i/>
                <w:lang w:val="pt-BR" w:eastAsia="pt-BR" w:bidi="ar-SA"/>
              </w:rPr>
            </m:ctrlPr>
          </m:fPr>
          <m:num>
            <m:r>
              <w:rPr>
                <w:rFonts w:ascii="Cambria Math" w:eastAsia="Times New Roman" w:hAnsi="Cambria Math"/>
                <w:lang w:eastAsia="pt-BR" w:bidi="ar-SA"/>
              </w:rPr>
              <m:t>Valor</m:t>
            </m:r>
            <m:r>
              <w:rPr>
                <w:rFonts w:ascii="Cambria Math" w:eastAsia="Times New Roman"/>
                <w:lang w:val="pt-BR" w:eastAsia="pt-BR" w:bidi="ar-SA"/>
              </w:rPr>
              <m:t xml:space="preserve"> </m:t>
            </m:r>
            <m:r>
              <w:rPr>
                <w:rFonts w:ascii="Cambria Math" w:eastAsia="Times New Roman" w:hAnsi="Cambria Math"/>
                <w:lang w:eastAsia="pt-BR" w:bidi="ar-SA"/>
              </w:rPr>
              <m:t>de</m:t>
            </m:r>
            <m:r>
              <w:rPr>
                <w:rFonts w:ascii="Cambria Math" w:eastAsia="Times New Roman"/>
                <w:lang w:val="pt-BR" w:eastAsia="pt-BR" w:bidi="ar-SA"/>
              </w:rPr>
              <m:t xml:space="preserve"> </m:t>
            </m:r>
            <m:r>
              <w:rPr>
                <w:rFonts w:ascii="Cambria Math" w:eastAsia="Times New Roman" w:hAnsi="Cambria Math"/>
                <w:lang w:eastAsia="pt-BR" w:bidi="ar-SA"/>
              </w:rPr>
              <m:t>mercado</m:t>
            </m:r>
            <m:r>
              <w:rPr>
                <w:rFonts w:ascii="Cambria Math" w:eastAsia="Times New Roman" w:hAnsi="Cambria Math"/>
                <w:lang w:val="pt-BR" w:eastAsia="pt-BR" w:bidi="ar-SA"/>
              </w:rPr>
              <m:t xml:space="preserve"> </m:t>
            </m:r>
            <m:r>
              <w:rPr>
                <w:rFonts w:ascii="Cambria Math" w:eastAsia="Times New Roman" w:hAnsi="Cambria Math"/>
                <w:lang w:eastAsia="pt-BR" w:bidi="ar-SA"/>
              </w:rPr>
              <m:t>da</m:t>
            </m:r>
            <m:r>
              <w:rPr>
                <w:rFonts w:ascii="Cambria Math" w:eastAsia="Times New Roman" w:hAnsi="Cambria Math"/>
                <w:lang w:val="pt-BR" w:eastAsia="pt-BR" w:bidi="ar-SA"/>
              </w:rPr>
              <m:t xml:space="preserve"> </m:t>
            </m:r>
            <m:r>
              <w:rPr>
                <w:rFonts w:ascii="Cambria Math" w:eastAsia="Times New Roman" w:hAnsi="Cambria Math"/>
                <w:lang w:eastAsia="pt-BR" w:bidi="ar-SA"/>
              </w:rPr>
              <m:t>a</m:t>
            </m:r>
            <m:r>
              <w:rPr>
                <w:rFonts w:ascii="Cambria Math" w:eastAsia="Times New Roman" w:hAnsi="Cambria Math"/>
                <w:lang w:val="pt-BR" w:eastAsia="pt-BR" w:bidi="ar-SA"/>
              </w:rPr>
              <m:t>çã</m:t>
            </m:r>
            <m:r>
              <w:rPr>
                <w:rFonts w:ascii="Cambria Math" w:eastAsia="Times New Roman" w:hAnsi="Cambria Math"/>
                <w:lang w:eastAsia="pt-BR" w:bidi="ar-SA"/>
              </w:rPr>
              <m:t>o</m:t>
            </m:r>
          </m:num>
          <m:den>
            <m:r>
              <w:rPr>
                <w:rFonts w:ascii="Cambria Math" w:eastAsia="Times New Roman" w:hAnsi="Cambria Math"/>
                <w:lang w:eastAsia="pt-BR" w:bidi="ar-SA"/>
              </w:rPr>
              <m:t>Lucro</m:t>
            </m:r>
            <m:r>
              <w:rPr>
                <w:rFonts w:ascii="Cambria Math" w:eastAsia="Times New Roman" w:hAnsi="Cambria Math"/>
                <w:lang w:val="pt-BR" w:eastAsia="pt-BR" w:bidi="ar-SA"/>
              </w:rPr>
              <m:t xml:space="preserve"> </m:t>
            </m:r>
            <m:r>
              <w:rPr>
                <w:rFonts w:ascii="Cambria Math" w:eastAsia="Times New Roman" w:hAnsi="Cambria Math"/>
                <w:lang w:eastAsia="pt-BR" w:bidi="ar-SA"/>
              </w:rPr>
              <m:t>Operacional</m:t>
            </m:r>
            <m:r>
              <w:rPr>
                <w:rFonts w:ascii="Cambria Math" w:eastAsia="Times New Roman" w:hAnsi="Cambria Math"/>
                <w:lang w:val="pt-BR" w:eastAsia="pt-BR" w:bidi="ar-SA"/>
              </w:rPr>
              <m:t xml:space="preserve"> </m:t>
            </m:r>
            <m:r>
              <w:rPr>
                <w:rFonts w:ascii="Cambria Math" w:eastAsia="Times New Roman" w:hAnsi="Cambria Math"/>
                <w:lang w:eastAsia="pt-BR" w:bidi="ar-SA"/>
              </w:rPr>
              <m:t>por</m:t>
            </m:r>
            <m:r>
              <w:rPr>
                <w:rFonts w:ascii="Cambria Math" w:eastAsia="Times New Roman" w:hAnsi="Cambria Math"/>
                <w:lang w:val="pt-BR" w:eastAsia="pt-BR" w:bidi="ar-SA"/>
              </w:rPr>
              <m:t xml:space="preserve"> </m:t>
            </m:r>
            <m:r>
              <w:rPr>
                <w:rFonts w:ascii="Cambria Math" w:eastAsia="Times New Roman" w:hAnsi="Cambria Math"/>
                <w:lang w:eastAsia="pt-BR" w:bidi="ar-SA"/>
              </w:rPr>
              <m:t>a</m:t>
            </m:r>
            <m:r>
              <w:rPr>
                <w:rFonts w:ascii="Cambria Math" w:eastAsia="Times New Roman" w:hAnsi="Cambria Math"/>
                <w:lang w:val="pt-BR" w:eastAsia="pt-BR" w:bidi="ar-SA"/>
              </w:rPr>
              <m:t>çã</m:t>
            </m:r>
            <m:r>
              <w:rPr>
                <w:rFonts w:ascii="Cambria Math" w:eastAsia="Times New Roman" w:hAnsi="Cambria Math"/>
                <w:lang w:eastAsia="pt-BR" w:bidi="ar-SA"/>
              </w:rPr>
              <m:t>o</m:t>
            </m:r>
          </m:den>
        </m:f>
      </m:oMath>
      <w:r>
        <w:rPr>
          <w:rFonts w:eastAsia="Times New Roman"/>
          <w:i/>
          <w:lang w:val="pt-BR" w:eastAsia="pt-BR" w:bidi="ar-SA"/>
        </w:rPr>
        <w:t xml:space="preserve"> </w:t>
      </w:r>
      <w:r>
        <w:rPr>
          <w:rFonts w:eastAsia="Times New Roman"/>
          <w:i/>
          <w:lang w:val="pt-BR" w:eastAsia="pt-BR" w:bidi="ar-SA"/>
        </w:rPr>
        <w:tab/>
      </w:r>
      <w:r>
        <w:rPr>
          <w:rFonts w:eastAsia="Times New Roman"/>
          <w:i/>
          <w:lang w:val="pt-BR" w:eastAsia="pt-BR" w:bidi="ar-SA"/>
        </w:rPr>
        <w:tab/>
      </w:r>
      <w:r>
        <w:rPr>
          <w:rFonts w:eastAsia="Times New Roman"/>
          <w:i/>
          <w:lang w:val="pt-BR" w:eastAsia="pt-BR" w:bidi="ar-SA"/>
        </w:rPr>
        <w:tab/>
        <w:t xml:space="preserve">       </w:t>
      </w:r>
      <w:r>
        <w:rPr>
          <w:rFonts w:eastAsia="Times New Roman"/>
          <w:lang w:val="pt-BR" w:eastAsia="pt-BR" w:bidi="ar-SA"/>
        </w:rPr>
        <w:t>(4)</w:t>
      </w:r>
    </w:p>
    <w:p w14:paraId="06C4093C" w14:textId="77777777" w:rsidR="00356C7B" w:rsidRDefault="00356C7B" w:rsidP="00356C7B">
      <w:pPr>
        <w:pStyle w:val="SemEspaamento"/>
        <w:rPr>
          <w:rFonts w:eastAsia="Times New Roman"/>
          <w:noProof/>
          <w:lang w:val="pt-BR" w:eastAsia="pt-BR" w:bidi="ar-SA"/>
        </w:rPr>
      </w:pPr>
    </w:p>
    <w:p w14:paraId="29A2F72C" w14:textId="3D1D8358" w:rsidR="00356C7B" w:rsidRDefault="00356C7B" w:rsidP="00356C7B">
      <w:pPr>
        <w:pStyle w:val="SemEspaamento"/>
        <w:rPr>
          <w:rFonts w:eastAsia="Times New Roman"/>
          <w:noProof/>
          <w:lang w:val="pt-BR" w:eastAsia="pt-BR" w:bidi="ar-SA"/>
        </w:rPr>
      </w:pPr>
      <w:r>
        <w:rPr>
          <w:rFonts w:eastAsia="Times New Roman"/>
          <w:noProof/>
          <w:lang w:val="pt-BR" w:eastAsia="pt-BR" w:bidi="ar-SA"/>
        </w:rPr>
        <w:t xml:space="preserve">Dentre os múltiplos citados acima, o analista ou qualquer outro </w:t>
      </w:r>
      <w:r w:rsidRPr="006D4BBF">
        <w:rPr>
          <w:rFonts w:eastAsia="Times New Roman"/>
          <w:i/>
          <w:noProof/>
          <w:lang w:val="pt-BR" w:eastAsia="pt-BR" w:bidi="ar-SA"/>
        </w:rPr>
        <w:t>stakeholder</w:t>
      </w:r>
      <w:r>
        <w:rPr>
          <w:rFonts w:eastAsia="Times New Roman"/>
          <w:noProof/>
          <w:lang w:val="pt-BR" w:eastAsia="pt-BR" w:bidi="ar-SA"/>
        </w:rPr>
        <w:t xml:space="preserve"> que esteja interessado na avaliação da empresa deve ponderar qual desses tipos </w:t>
      </w:r>
      <w:r w:rsidR="00383A93">
        <w:rPr>
          <w:rFonts w:eastAsia="Times New Roman"/>
          <w:noProof/>
          <w:lang w:val="pt-BR" w:eastAsia="pt-BR" w:bidi="ar-SA"/>
        </w:rPr>
        <w:t xml:space="preserve">de múltiplos </w:t>
      </w:r>
      <w:r>
        <w:rPr>
          <w:rFonts w:eastAsia="Times New Roman"/>
          <w:noProof/>
          <w:lang w:val="pt-BR" w:eastAsia="pt-BR" w:bidi="ar-SA"/>
        </w:rPr>
        <w:t>melhor se adequa às caractéristicas da firma analisada. No caso deste trabalho, o intuito é investigar qual desses múltiplos</w:t>
      </w:r>
      <w:r w:rsidR="00E47B46">
        <w:rPr>
          <w:rFonts w:eastAsia="Times New Roman"/>
          <w:noProof/>
          <w:lang w:val="pt-BR" w:eastAsia="pt-BR" w:bidi="ar-SA"/>
        </w:rPr>
        <w:t>, que são os que melhor se adequam para análise dos bancos,</w:t>
      </w:r>
      <w:r>
        <w:rPr>
          <w:rFonts w:eastAsia="Times New Roman"/>
          <w:noProof/>
          <w:lang w:val="pt-BR" w:eastAsia="pt-BR" w:bidi="ar-SA"/>
        </w:rPr>
        <w:t xml:space="preserve"> melhor precifica as instituições bancárias do mercado brasileiro. </w:t>
      </w:r>
    </w:p>
    <w:bookmarkEnd w:id="1"/>
    <w:p w14:paraId="50477629" w14:textId="77777777" w:rsidR="00106054" w:rsidRDefault="00106054" w:rsidP="00356C7B">
      <w:pPr>
        <w:spacing w:before="0" w:after="0" w:line="240" w:lineRule="auto"/>
        <w:rPr>
          <w:rFonts w:eastAsia="Times New Roman" w:cs="Times New Roman"/>
          <w:b/>
          <w:noProof/>
          <w:szCs w:val="24"/>
          <w:lang w:val="pt-BR" w:eastAsia="pt-BR" w:bidi="ar-SA"/>
        </w:rPr>
      </w:pPr>
    </w:p>
    <w:p w14:paraId="1E208E86" w14:textId="77777777" w:rsidR="00356C7B" w:rsidRPr="008A76E9" w:rsidRDefault="00356C7B" w:rsidP="002E04DA">
      <w:pPr>
        <w:pStyle w:val="SemEspaamento"/>
        <w:spacing w:after="120"/>
        <w:ind w:firstLine="0"/>
        <w:rPr>
          <w:rFonts w:eastAsia="Times New Roman"/>
          <w:b/>
          <w:noProof/>
          <w:lang w:val="pt-BR" w:eastAsia="pt-BR" w:bidi="ar-SA"/>
        </w:rPr>
      </w:pPr>
      <w:r w:rsidRPr="008A76E9">
        <w:rPr>
          <w:rFonts w:eastAsia="Times New Roman"/>
          <w:b/>
          <w:lang w:val="pt-BR" w:eastAsia="pt-BR" w:bidi="ar-SA"/>
        </w:rPr>
        <w:t>2.2 Estudos Empíricos sobre Avaliação por Múltiplos</w:t>
      </w:r>
    </w:p>
    <w:p w14:paraId="62087D79" w14:textId="77777777" w:rsidR="00356C7B" w:rsidRDefault="00356C7B" w:rsidP="00356C7B">
      <w:pPr>
        <w:pStyle w:val="SemEspaamento"/>
        <w:rPr>
          <w:rFonts w:eastAsiaTheme="minorHAnsi"/>
          <w:lang w:val="pt-BR" w:bidi="ar-SA"/>
        </w:rPr>
      </w:pPr>
      <w:r>
        <w:rPr>
          <w:rFonts w:eastAsiaTheme="minorHAnsi"/>
          <w:lang w:val="pt-BR" w:bidi="ar-SA"/>
        </w:rPr>
        <w:t>Trabalhos anteriores tanto no mercado brasileiro quanto no mercado internacional buscaram testar a eficácia dos múltiplos na avaliação de empresas bem como a forma mais adequada de determinar as empresas comparáveis visando maior precisão da análise relativa. Os principais estudos envolvendo essa temática são dispostos a seguir.</w:t>
      </w:r>
    </w:p>
    <w:p w14:paraId="1ECCD45F" w14:textId="78F15CAC" w:rsidR="00825784" w:rsidRDefault="00825784" w:rsidP="00825784">
      <w:pPr>
        <w:pStyle w:val="SemEspaamento"/>
        <w:rPr>
          <w:rFonts w:eastAsiaTheme="minorHAnsi"/>
          <w:lang w:val="pt-BR" w:bidi="ar-SA"/>
        </w:rPr>
      </w:pPr>
      <w:r>
        <w:rPr>
          <w:rFonts w:eastAsiaTheme="minorHAnsi"/>
          <w:lang w:val="pt-BR" w:bidi="ar-SA"/>
        </w:rPr>
        <w:t>Lie e Lie (2002) analisaram</w:t>
      </w:r>
      <w:r w:rsidRPr="006E7E18">
        <w:rPr>
          <w:rFonts w:eastAsiaTheme="minorHAnsi"/>
          <w:lang w:val="pt-BR" w:bidi="ar-SA"/>
        </w:rPr>
        <w:t xml:space="preserve"> vários múltiplos praticados por profissionais para estimar o valor </w:t>
      </w:r>
      <w:r w:rsidR="00D70E9B">
        <w:rPr>
          <w:rFonts w:eastAsiaTheme="minorHAnsi"/>
          <w:lang w:val="pt-BR" w:bidi="ar-SA"/>
        </w:rPr>
        <w:t xml:space="preserve">de </w:t>
      </w:r>
      <w:r w:rsidR="00D70E9B" w:rsidRPr="00D70E9B">
        <w:rPr>
          <w:rFonts w:eastAsiaTheme="minorHAnsi"/>
          <w:lang w:val="pt-BR" w:bidi="ar-SA"/>
        </w:rPr>
        <w:t>todas</w:t>
      </w:r>
      <w:r w:rsidR="00D70E9B">
        <w:rPr>
          <w:rFonts w:eastAsiaTheme="minorHAnsi"/>
          <w:lang w:val="pt-BR" w:bidi="ar-SA"/>
        </w:rPr>
        <w:t xml:space="preserve"> as</w:t>
      </w:r>
      <w:r w:rsidR="00D70E9B" w:rsidRPr="00D70E9B">
        <w:rPr>
          <w:rFonts w:eastAsiaTheme="minorHAnsi"/>
          <w:lang w:val="pt-BR" w:bidi="ar-SA"/>
        </w:rPr>
        <w:t xml:space="preserve"> empresas ativas (financeiras e não financeiras) no banco de dados </w:t>
      </w:r>
      <w:proofErr w:type="spellStart"/>
      <w:r w:rsidR="00D70E9B" w:rsidRPr="00D70E9B">
        <w:rPr>
          <w:rFonts w:eastAsiaTheme="minorHAnsi"/>
          <w:lang w:val="pt-BR" w:bidi="ar-SA"/>
        </w:rPr>
        <w:t>Compustat</w:t>
      </w:r>
      <w:proofErr w:type="spellEnd"/>
      <w:r w:rsidR="00D70E9B">
        <w:rPr>
          <w:rFonts w:eastAsiaTheme="minorHAnsi"/>
          <w:lang w:val="pt-BR" w:bidi="ar-SA"/>
        </w:rPr>
        <w:t xml:space="preserve"> para o período de 1998. Os autores concluíram</w:t>
      </w:r>
      <w:r w:rsidRPr="006E7E18">
        <w:rPr>
          <w:rFonts w:eastAsiaTheme="minorHAnsi"/>
          <w:lang w:val="pt-BR" w:bidi="ar-SA"/>
        </w:rPr>
        <w:t xml:space="preserve"> que o múltiplo de ativos (valor de mercado </w:t>
      </w:r>
      <w:r w:rsidR="00D70E9B">
        <w:rPr>
          <w:rFonts w:eastAsiaTheme="minorHAnsi"/>
          <w:lang w:val="pt-BR" w:bidi="ar-SA"/>
        </w:rPr>
        <w:t>e</w:t>
      </w:r>
      <w:r w:rsidRPr="006E7E18">
        <w:rPr>
          <w:rFonts w:eastAsiaTheme="minorHAnsi"/>
          <w:lang w:val="pt-BR" w:bidi="ar-SA"/>
        </w:rPr>
        <w:t xml:space="preserve"> valor contábil dos ativos) geralmente gera estimativas mais precisas e menos tendenciosas do que os múltiplos de vendas e ganhos. </w:t>
      </w:r>
      <w:r w:rsidR="00D70E9B">
        <w:rPr>
          <w:rFonts w:eastAsiaTheme="minorHAnsi"/>
          <w:lang w:val="pt-BR" w:bidi="ar-SA"/>
        </w:rPr>
        <w:t>Além disso, o</w:t>
      </w:r>
      <w:r w:rsidRPr="006E7E18">
        <w:rPr>
          <w:rFonts w:eastAsiaTheme="minorHAnsi"/>
          <w:lang w:val="pt-BR" w:bidi="ar-SA"/>
        </w:rPr>
        <w:t xml:space="preserve"> lucro antes dos juros, impostos, depreciação e amortização (EBITDA) geralmente produz estimativas melhores do que o múltiplo EBIT. Finalmente, a precisão e o viés das estimativas de valor, bem como o desempenho relativo dos múltiplos, variam muito de acordo com o tamanho da empresa, </w:t>
      </w:r>
      <w:r w:rsidR="00D70E9B">
        <w:rPr>
          <w:rFonts w:eastAsiaTheme="minorHAnsi"/>
          <w:lang w:val="pt-BR" w:bidi="ar-SA"/>
        </w:rPr>
        <w:t xml:space="preserve">sua </w:t>
      </w:r>
      <w:r w:rsidRPr="006E7E18">
        <w:rPr>
          <w:rFonts w:eastAsiaTheme="minorHAnsi"/>
          <w:lang w:val="pt-BR" w:bidi="ar-SA"/>
        </w:rPr>
        <w:t xml:space="preserve">lucratividade e </w:t>
      </w:r>
      <w:r w:rsidR="00D70E9B">
        <w:rPr>
          <w:rFonts w:eastAsiaTheme="minorHAnsi"/>
          <w:lang w:val="pt-BR" w:bidi="ar-SA"/>
        </w:rPr>
        <w:t>o tamanho do</w:t>
      </w:r>
      <w:r w:rsidRPr="006E7E18">
        <w:rPr>
          <w:rFonts w:eastAsiaTheme="minorHAnsi"/>
          <w:lang w:val="pt-BR" w:bidi="ar-SA"/>
        </w:rPr>
        <w:t xml:space="preserve"> intangível.</w:t>
      </w:r>
    </w:p>
    <w:p w14:paraId="212329A4" w14:textId="77777777" w:rsidR="00256978" w:rsidRDefault="00356C7B" w:rsidP="00356C7B">
      <w:pPr>
        <w:pStyle w:val="SemEspaamento"/>
        <w:rPr>
          <w:rFonts w:eastAsiaTheme="minorHAnsi"/>
          <w:lang w:val="pt-BR" w:bidi="ar-SA"/>
        </w:rPr>
      </w:pPr>
      <w:proofErr w:type="spellStart"/>
      <w:r w:rsidRPr="00CE7D85">
        <w:rPr>
          <w:rFonts w:eastAsiaTheme="minorHAnsi"/>
          <w:lang w:val="pt-BR" w:bidi="ar-SA"/>
        </w:rPr>
        <w:t>Demirakos</w:t>
      </w:r>
      <w:proofErr w:type="spellEnd"/>
      <w:r w:rsidRPr="00CE7D85">
        <w:rPr>
          <w:rFonts w:eastAsiaTheme="minorHAnsi"/>
          <w:lang w:val="pt-BR" w:bidi="ar-SA"/>
        </w:rPr>
        <w:t>, Strong</w:t>
      </w:r>
      <w:r>
        <w:rPr>
          <w:rFonts w:eastAsiaTheme="minorHAnsi"/>
          <w:lang w:val="pt-BR" w:bidi="ar-SA"/>
        </w:rPr>
        <w:t xml:space="preserve"> e</w:t>
      </w:r>
      <w:r w:rsidRPr="00CE7D85">
        <w:rPr>
          <w:rFonts w:eastAsiaTheme="minorHAnsi"/>
          <w:lang w:val="pt-BR" w:bidi="ar-SA"/>
        </w:rPr>
        <w:t xml:space="preserve"> Walker</w:t>
      </w:r>
      <w:r>
        <w:rPr>
          <w:rFonts w:eastAsiaTheme="minorHAnsi"/>
          <w:lang w:val="pt-BR" w:bidi="ar-SA"/>
        </w:rPr>
        <w:t xml:space="preserve"> (2004)</w:t>
      </w:r>
      <w:r w:rsidRPr="00CE7D85">
        <w:rPr>
          <w:rFonts w:eastAsiaTheme="minorHAnsi"/>
          <w:lang w:val="pt-BR" w:bidi="ar-SA"/>
        </w:rPr>
        <w:t xml:space="preserve"> estuda</w:t>
      </w:r>
      <w:r>
        <w:rPr>
          <w:rFonts w:eastAsiaTheme="minorHAnsi"/>
          <w:lang w:val="pt-BR" w:bidi="ar-SA"/>
        </w:rPr>
        <w:t xml:space="preserve">ram </w:t>
      </w:r>
      <w:r w:rsidRPr="00CE7D85">
        <w:rPr>
          <w:rFonts w:eastAsiaTheme="minorHAnsi"/>
          <w:lang w:val="pt-BR" w:bidi="ar-SA"/>
        </w:rPr>
        <w:t>as metodologias de avaliação contidas em relatórios de 104 analistas de bancos de investimento internacionais para 26 grandes empresas listadas no Reino Unido</w:t>
      </w:r>
      <w:r>
        <w:rPr>
          <w:rFonts w:eastAsiaTheme="minorHAnsi"/>
          <w:lang w:val="pt-BR" w:bidi="ar-SA"/>
        </w:rPr>
        <w:t xml:space="preserve"> pertencentes a</w:t>
      </w:r>
      <w:r w:rsidRPr="00CE7D85">
        <w:rPr>
          <w:rFonts w:eastAsiaTheme="minorHAnsi"/>
          <w:lang w:val="pt-BR" w:bidi="ar-SA"/>
        </w:rPr>
        <w:t xml:space="preserve">os setores de bebidas, eletrônicos e farmacêuticos. </w:t>
      </w:r>
      <w:r>
        <w:rPr>
          <w:rFonts w:eastAsiaTheme="minorHAnsi"/>
          <w:lang w:val="pt-BR" w:bidi="ar-SA"/>
        </w:rPr>
        <w:t>Os resultados mostraram que</w:t>
      </w:r>
      <w:r w:rsidRPr="00CE7D85">
        <w:rPr>
          <w:rFonts w:eastAsiaTheme="minorHAnsi"/>
          <w:lang w:val="pt-BR" w:bidi="ar-SA"/>
        </w:rPr>
        <w:t xml:space="preserve"> (1) o uso de avaliação por comparativos é maior no setor de bebidas do que em produtos eletrônicos ou farmacêuticos; (2) os analistas normalmente escolhem um modelo de P</w:t>
      </w:r>
      <w:r>
        <w:rPr>
          <w:rFonts w:eastAsiaTheme="minorHAnsi"/>
          <w:lang w:val="pt-BR" w:bidi="ar-SA"/>
        </w:rPr>
        <w:t>/L</w:t>
      </w:r>
      <w:r w:rsidRPr="00CE7D85">
        <w:rPr>
          <w:rFonts w:eastAsiaTheme="minorHAnsi"/>
          <w:lang w:val="pt-BR" w:bidi="ar-SA"/>
        </w:rPr>
        <w:t xml:space="preserve"> ou um modelo </w:t>
      </w:r>
      <w:proofErr w:type="spellStart"/>
      <w:r w:rsidRPr="00CE7D85">
        <w:rPr>
          <w:rFonts w:eastAsiaTheme="minorHAnsi"/>
          <w:lang w:val="pt-BR" w:bidi="ar-SA"/>
        </w:rPr>
        <w:t>multiperíodo</w:t>
      </w:r>
      <w:proofErr w:type="spellEnd"/>
      <w:r w:rsidRPr="00CE7D85">
        <w:rPr>
          <w:rFonts w:eastAsiaTheme="minorHAnsi"/>
          <w:lang w:val="pt-BR" w:bidi="ar-SA"/>
        </w:rPr>
        <w:t xml:space="preserve"> de avaliação</w:t>
      </w:r>
      <w:r w:rsidR="0080143A">
        <w:rPr>
          <w:rFonts w:eastAsiaTheme="minorHAnsi"/>
          <w:lang w:val="pt-BR" w:bidi="ar-SA"/>
        </w:rPr>
        <w:t xml:space="preserve"> de fluxos de caixa descontados</w:t>
      </w:r>
      <w:r w:rsidRPr="00CE7D85">
        <w:rPr>
          <w:rFonts w:eastAsiaTheme="minorHAnsi"/>
          <w:lang w:val="pt-BR" w:bidi="ar-SA"/>
        </w:rPr>
        <w:t xml:space="preserve"> explícito como seu modelo de avaliação dominante; (3) nenhum dos analistas usa o preço para o fluxo de caixa como seu modelo de avaliação dominante; e (4) alguns analistas que constroem modelos explícitos de avaliação </w:t>
      </w:r>
      <w:proofErr w:type="spellStart"/>
      <w:r w:rsidRPr="00CE7D85">
        <w:rPr>
          <w:rFonts w:eastAsiaTheme="minorHAnsi"/>
          <w:lang w:val="pt-BR" w:bidi="ar-SA"/>
        </w:rPr>
        <w:t>multiperíodo</w:t>
      </w:r>
      <w:proofErr w:type="spellEnd"/>
      <w:r w:rsidRPr="00CE7D85">
        <w:rPr>
          <w:rFonts w:eastAsiaTheme="minorHAnsi"/>
          <w:lang w:val="pt-BR" w:bidi="ar-SA"/>
        </w:rPr>
        <w:t xml:space="preserve"> ainda adotam um modelo de avaliação comparativa como seu modelo preferido. </w:t>
      </w:r>
    </w:p>
    <w:p w14:paraId="12BAE895" w14:textId="64941CD6" w:rsidR="00356C7B" w:rsidRDefault="00356C7B" w:rsidP="00356C7B">
      <w:pPr>
        <w:pStyle w:val="SemEspaamento"/>
        <w:rPr>
          <w:rFonts w:eastAsiaTheme="minorHAnsi"/>
          <w:lang w:val="pt-BR" w:bidi="ar-SA"/>
        </w:rPr>
      </w:pPr>
      <w:r>
        <w:rPr>
          <w:rFonts w:eastAsiaTheme="minorHAnsi"/>
          <w:lang w:val="pt-BR" w:bidi="ar-SA"/>
        </w:rPr>
        <w:t xml:space="preserve">O estudo de Saliba (2008) </w:t>
      </w:r>
      <w:r w:rsidRPr="00591B98">
        <w:rPr>
          <w:rFonts w:eastAsiaTheme="minorHAnsi"/>
          <w:lang w:val="pt-BR" w:bidi="ar-SA"/>
        </w:rPr>
        <w:t>test</w:t>
      </w:r>
      <w:r>
        <w:rPr>
          <w:rFonts w:eastAsiaTheme="minorHAnsi"/>
          <w:lang w:val="pt-BR" w:bidi="ar-SA"/>
        </w:rPr>
        <w:t>ou</w:t>
      </w:r>
      <w:r w:rsidRPr="00591B98">
        <w:rPr>
          <w:rFonts w:eastAsiaTheme="minorHAnsi"/>
          <w:lang w:val="pt-BR" w:bidi="ar-SA"/>
        </w:rPr>
        <w:t xml:space="preserve">, a partir de duas amostras distintas, o desempenho de </w:t>
      </w:r>
      <w:r w:rsidRPr="00204401">
        <w:rPr>
          <w:rFonts w:eastAsiaTheme="minorHAnsi"/>
          <w:i/>
          <w:lang w:val="pt-BR" w:bidi="ar-SA"/>
        </w:rPr>
        <w:t>Drivers</w:t>
      </w:r>
      <w:r w:rsidRPr="00591B98">
        <w:rPr>
          <w:rFonts w:eastAsiaTheme="minorHAnsi"/>
          <w:lang w:val="pt-BR" w:bidi="ar-SA"/>
        </w:rPr>
        <w:t xml:space="preserve"> de Valor</w:t>
      </w:r>
      <w:r>
        <w:rPr>
          <w:rFonts w:eastAsiaTheme="minorHAnsi"/>
          <w:lang w:val="pt-BR" w:bidi="ar-SA"/>
        </w:rPr>
        <w:t xml:space="preserve"> (variáveis econômicas) </w:t>
      </w:r>
      <w:r w:rsidRPr="00591B98">
        <w:rPr>
          <w:rFonts w:eastAsiaTheme="minorHAnsi"/>
          <w:lang w:val="pt-BR" w:bidi="ar-SA"/>
        </w:rPr>
        <w:t>comumente utilizados pelos pr</w:t>
      </w:r>
      <w:r>
        <w:rPr>
          <w:rFonts w:eastAsiaTheme="minorHAnsi"/>
          <w:lang w:val="pt-BR" w:bidi="ar-SA"/>
        </w:rPr>
        <w:t>át</w:t>
      </w:r>
      <w:r w:rsidRPr="00591B98">
        <w:rPr>
          <w:rFonts w:eastAsiaTheme="minorHAnsi"/>
          <w:lang w:val="pt-BR" w:bidi="ar-SA"/>
        </w:rPr>
        <w:t>icos em finan</w:t>
      </w:r>
      <w:r>
        <w:rPr>
          <w:rFonts w:eastAsiaTheme="minorHAnsi"/>
          <w:lang w:val="pt-BR" w:bidi="ar-SA"/>
        </w:rPr>
        <w:t>ç</w:t>
      </w:r>
      <w:r w:rsidRPr="00591B98">
        <w:rPr>
          <w:rFonts w:eastAsiaTheme="minorHAnsi"/>
          <w:lang w:val="pt-BR" w:bidi="ar-SA"/>
        </w:rPr>
        <w:t>as na avalia</w:t>
      </w:r>
      <w:r>
        <w:rPr>
          <w:rFonts w:eastAsiaTheme="minorHAnsi"/>
          <w:lang w:val="pt-BR" w:bidi="ar-SA"/>
        </w:rPr>
        <w:t>çã</w:t>
      </w:r>
      <w:r w:rsidRPr="00591B98">
        <w:rPr>
          <w:rFonts w:eastAsiaTheme="minorHAnsi"/>
          <w:lang w:val="pt-BR" w:bidi="ar-SA"/>
        </w:rPr>
        <w:t>o de empresas atra</w:t>
      </w:r>
      <w:r>
        <w:rPr>
          <w:rFonts w:eastAsiaTheme="minorHAnsi"/>
          <w:lang w:val="pt-BR" w:bidi="ar-SA"/>
        </w:rPr>
        <w:t>vé</w:t>
      </w:r>
      <w:r w:rsidRPr="00591B98">
        <w:rPr>
          <w:rFonts w:eastAsiaTheme="minorHAnsi"/>
          <w:lang w:val="pt-BR" w:bidi="ar-SA"/>
        </w:rPr>
        <w:t>s de modelos de regress</w:t>
      </w:r>
      <w:r>
        <w:rPr>
          <w:rFonts w:eastAsiaTheme="minorHAnsi"/>
          <w:lang w:val="pt-BR" w:bidi="ar-SA"/>
        </w:rPr>
        <w:t>ã</w:t>
      </w:r>
      <w:r w:rsidRPr="00591B98">
        <w:rPr>
          <w:rFonts w:eastAsiaTheme="minorHAnsi"/>
          <w:lang w:val="pt-BR" w:bidi="ar-SA"/>
        </w:rPr>
        <w:t>o simples que estimam os par</w:t>
      </w:r>
      <w:r>
        <w:rPr>
          <w:rFonts w:eastAsiaTheme="minorHAnsi"/>
          <w:lang w:val="pt-BR" w:bidi="ar-SA"/>
        </w:rPr>
        <w:t>â</w:t>
      </w:r>
      <w:r w:rsidRPr="00591B98">
        <w:rPr>
          <w:rFonts w:eastAsiaTheme="minorHAnsi"/>
          <w:lang w:val="pt-BR" w:bidi="ar-SA"/>
        </w:rPr>
        <w:t>metros associados a</w:t>
      </w:r>
      <w:r>
        <w:rPr>
          <w:rFonts w:eastAsiaTheme="minorHAnsi"/>
          <w:lang w:val="pt-BR" w:bidi="ar-SA"/>
        </w:rPr>
        <w:t xml:space="preserve"> </w:t>
      </w:r>
      <w:r w:rsidRPr="00591B98">
        <w:rPr>
          <w:rFonts w:eastAsiaTheme="minorHAnsi"/>
          <w:lang w:val="pt-BR" w:bidi="ar-SA"/>
        </w:rPr>
        <w:t xml:space="preserve">cada um dos </w:t>
      </w:r>
      <w:r w:rsidRPr="00204401">
        <w:rPr>
          <w:rFonts w:eastAsiaTheme="minorHAnsi"/>
          <w:i/>
          <w:lang w:val="pt-BR" w:bidi="ar-SA"/>
        </w:rPr>
        <w:t>Drivers</w:t>
      </w:r>
      <w:r w:rsidRPr="00591B98">
        <w:rPr>
          <w:rFonts w:eastAsiaTheme="minorHAnsi"/>
          <w:lang w:val="pt-BR" w:bidi="ar-SA"/>
        </w:rPr>
        <w:t xml:space="preserve">. </w:t>
      </w:r>
      <w:r>
        <w:rPr>
          <w:rFonts w:eastAsiaTheme="minorHAnsi"/>
          <w:lang w:val="pt-BR" w:bidi="ar-SA"/>
        </w:rPr>
        <w:t>O período de análise abrangeu mais de uma década (1994-2004). Saliba (2008) avançou no estudo de múltiplos por ter ultrapassado</w:t>
      </w:r>
      <w:r w:rsidRPr="00591B98">
        <w:rPr>
          <w:rFonts w:eastAsiaTheme="minorHAnsi"/>
          <w:lang w:val="pt-BR" w:bidi="ar-SA"/>
        </w:rPr>
        <w:t xml:space="preserve"> os padr</w:t>
      </w:r>
      <w:r>
        <w:rPr>
          <w:rFonts w:eastAsiaTheme="minorHAnsi"/>
          <w:lang w:val="pt-BR" w:bidi="ar-SA"/>
        </w:rPr>
        <w:t>õ</w:t>
      </w:r>
      <w:r w:rsidRPr="00591B98">
        <w:rPr>
          <w:rFonts w:eastAsiaTheme="minorHAnsi"/>
          <w:lang w:val="pt-BR" w:bidi="ar-SA"/>
        </w:rPr>
        <w:t xml:space="preserve">es de </w:t>
      </w:r>
      <w:r w:rsidRPr="00591B98">
        <w:rPr>
          <w:rFonts w:eastAsiaTheme="minorHAnsi"/>
          <w:lang w:val="pt-BR" w:bidi="ar-SA"/>
        </w:rPr>
        <w:lastRenderedPageBreak/>
        <w:t>avalia</w:t>
      </w:r>
      <w:r>
        <w:rPr>
          <w:rFonts w:eastAsiaTheme="minorHAnsi"/>
          <w:lang w:val="pt-BR" w:bidi="ar-SA"/>
        </w:rPr>
        <w:t>çã</w:t>
      </w:r>
      <w:r w:rsidRPr="00591B98">
        <w:rPr>
          <w:rFonts w:eastAsiaTheme="minorHAnsi"/>
          <w:lang w:val="pt-BR" w:bidi="ar-SA"/>
        </w:rPr>
        <w:t xml:space="preserve">o </w:t>
      </w:r>
      <w:r>
        <w:rPr>
          <w:rFonts w:eastAsiaTheme="minorHAnsi"/>
          <w:lang w:val="pt-BR" w:bidi="ar-SA"/>
        </w:rPr>
        <w:t>relativa que eram</w:t>
      </w:r>
      <w:r w:rsidRPr="00591B98">
        <w:rPr>
          <w:rFonts w:eastAsiaTheme="minorHAnsi"/>
          <w:lang w:val="pt-BR" w:bidi="ar-SA"/>
        </w:rPr>
        <w:t xml:space="preserve"> usados</w:t>
      </w:r>
      <w:r>
        <w:rPr>
          <w:rFonts w:eastAsiaTheme="minorHAnsi"/>
          <w:lang w:val="pt-BR" w:bidi="ar-SA"/>
        </w:rPr>
        <w:t xml:space="preserve"> </w:t>
      </w:r>
      <w:r w:rsidRPr="00591B98">
        <w:rPr>
          <w:rFonts w:eastAsiaTheme="minorHAnsi"/>
          <w:lang w:val="pt-BR" w:bidi="ar-SA"/>
        </w:rPr>
        <w:t>pelos analistas d</w:t>
      </w:r>
      <w:r>
        <w:rPr>
          <w:rFonts w:eastAsiaTheme="minorHAnsi"/>
          <w:lang w:val="pt-BR" w:bidi="ar-SA"/>
        </w:rPr>
        <w:t xml:space="preserve">e investimento no Brasil até então considerando a influência do intercepto da regressão no resultado esperado de um múltiplo. </w:t>
      </w:r>
      <w:r w:rsidRPr="00591B98">
        <w:rPr>
          <w:rFonts w:eastAsiaTheme="minorHAnsi"/>
          <w:lang w:val="pt-BR" w:bidi="ar-SA"/>
        </w:rPr>
        <w:t>Os resultados encontrados</w:t>
      </w:r>
      <w:r>
        <w:rPr>
          <w:rFonts w:eastAsiaTheme="minorHAnsi"/>
          <w:lang w:val="pt-BR" w:bidi="ar-SA"/>
        </w:rPr>
        <w:t xml:space="preserve"> e</w:t>
      </w:r>
      <w:r w:rsidRPr="00591B98">
        <w:rPr>
          <w:rFonts w:eastAsiaTheme="minorHAnsi"/>
          <w:lang w:val="pt-BR" w:bidi="ar-SA"/>
        </w:rPr>
        <w:t>videnciar</w:t>
      </w:r>
      <w:r>
        <w:rPr>
          <w:rFonts w:eastAsiaTheme="minorHAnsi"/>
          <w:lang w:val="pt-BR" w:bidi="ar-SA"/>
        </w:rPr>
        <w:t>a</w:t>
      </w:r>
      <w:r w:rsidRPr="00591B98">
        <w:rPr>
          <w:rFonts w:eastAsiaTheme="minorHAnsi"/>
          <w:lang w:val="pt-BR" w:bidi="ar-SA"/>
        </w:rPr>
        <w:t>m</w:t>
      </w:r>
      <w:r>
        <w:rPr>
          <w:rFonts w:eastAsiaTheme="minorHAnsi"/>
          <w:lang w:val="pt-BR" w:bidi="ar-SA"/>
        </w:rPr>
        <w:t xml:space="preserve"> que existe </w:t>
      </w:r>
      <w:r w:rsidRPr="00591B98">
        <w:rPr>
          <w:rFonts w:eastAsiaTheme="minorHAnsi"/>
          <w:lang w:val="pt-BR" w:bidi="ar-SA"/>
        </w:rPr>
        <w:t>certa superioridade de performance relativa e absoluta entre os</w:t>
      </w:r>
      <w:r>
        <w:rPr>
          <w:rFonts w:eastAsiaTheme="minorHAnsi"/>
          <w:lang w:val="pt-BR" w:bidi="ar-SA"/>
        </w:rPr>
        <w:t xml:space="preserve"> tipos de</w:t>
      </w:r>
      <w:r w:rsidRPr="00591B98">
        <w:rPr>
          <w:rFonts w:eastAsiaTheme="minorHAnsi"/>
          <w:lang w:val="pt-BR" w:bidi="ar-SA"/>
        </w:rPr>
        <w:t xml:space="preserve"> m</w:t>
      </w:r>
      <w:r>
        <w:rPr>
          <w:rFonts w:eastAsiaTheme="minorHAnsi"/>
          <w:lang w:val="pt-BR" w:bidi="ar-SA"/>
        </w:rPr>
        <w:t>ú</w:t>
      </w:r>
      <w:r w:rsidRPr="00591B98">
        <w:rPr>
          <w:rFonts w:eastAsiaTheme="minorHAnsi"/>
          <w:lang w:val="pt-BR" w:bidi="ar-SA"/>
        </w:rPr>
        <w:t>ltiplo</w:t>
      </w:r>
      <w:r>
        <w:rPr>
          <w:rFonts w:eastAsiaTheme="minorHAnsi"/>
          <w:lang w:val="pt-BR" w:bidi="ar-SA"/>
        </w:rPr>
        <w:t xml:space="preserve">s, sendo que </w:t>
      </w:r>
      <w:r w:rsidRPr="00345CDC">
        <w:rPr>
          <w:lang w:val="pt-BR"/>
        </w:rPr>
        <w:t xml:space="preserve">o </w:t>
      </w:r>
      <w:r>
        <w:rPr>
          <w:lang w:val="pt-BR"/>
        </w:rPr>
        <w:t>v</w:t>
      </w:r>
      <w:r w:rsidRPr="00345CDC">
        <w:rPr>
          <w:lang w:val="pt-BR"/>
        </w:rPr>
        <w:t xml:space="preserve">alor </w:t>
      </w:r>
      <w:r>
        <w:rPr>
          <w:lang w:val="pt-BR"/>
        </w:rPr>
        <w:t>p</w:t>
      </w:r>
      <w:r w:rsidRPr="00345CDC">
        <w:rPr>
          <w:lang w:val="pt-BR"/>
        </w:rPr>
        <w:t xml:space="preserve">atrimonial </w:t>
      </w:r>
      <w:r>
        <w:rPr>
          <w:lang w:val="pt-BR"/>
        </w:rPr>
        <w:t xml:space="preserve">foi quem </w:t>
      </w:r>
      <w:r w:rsidRPr="00345CDC">
        <w:rPr>
          <w:lang w:val="pt-BR"/>
        </w:rPr>
        <w:t>obt</w:t>
      </w:r>
      <w:r>
        <w:rPr>
          <w:lang w:val="pt-BR"/>
        </w:rPr>
        <w:t>eve</w:t>
      </w:r>
      <w:r w:rsidRPr="00345CDC">
        <w:rPr>
          <w:lang w:val="pt-BR"/>
        </w:rPr>
        <w:t xml:space="preserve"> o melhor desempenho</w:t>
      </w:r>
      <w:r>
        <w:rPr>
          <w:lang w:val="pt-BR"/>
        </w:rPr>
        <w:t xml:space="preserve"> entre os históricos não-caixa, ou seja, o melhor índice foi o P/B</w:t>
      </w:r>
      <w:r>
        <w:rPr>
          <w:rFonts w:eastAsiaTheme="minorHAnsi"/>
          <w:lang w:val="pt-BR" w:bidi="ar-SA"/>
        </w:rPr>
        <w:t>.</w:t>
      </w:r>
    </w:p>
    <w:p w14:paraId="4A96351A" w14:textId="7CC1D10A" w:rsidR="009B44F8" w:rsidRPr="004460D2" w:rsidRDefault="000127FC" w:rsidP="004460D2">
      <w:pPr>
        <w:pStyle w:val="SemEspaamento"/>
        <w:rPr>
          <w:rFonts w:cs="Times New Roman"/>
          <w:color w:val="222222"/>
          <w:szCs w:val="24"/>
          <w:shd w:val="clear" w:color="auto" w:fill="FFFFFF"/>
          <w:lang w:val="pt-BR"/>
        </w:rPr>
      </w:pPr>
      <w:proofErr w:type="spellStart"/>
      <w:r w:rsidRPr="004E62ED">
        <w:rPr>
          <w:rFonts w:cs="Times New Roman"/>
          <w:color w:val="222222"/>
          <w:szCs w:val="24"/>
          <w:shd w:val="clear" w:color="auto" w:fill="FFFFFF"/>
          <w:lang w:val="pt-BR"/>
        </w:rPr>
        <w:t>Sehgal</w:t>
      </w:r>
      <w:proofErr w:type="spellEnd"/>
      <w:r w:rsidR="004E62ED">
        <w:rPr>
          <w:rFonts w:cs="Times New Roman"/>
          <w:color w:val="222222"/>
          <w:szCs w:val="24"/>
          <w:shd w:val="clear" w:color="auto" w:fill="FFFFFF"/>
          <w:lang w:val="pt-BR"/>
        </w:rPr>
        <w:t xml:space="preserve"> e</w:t>
      </w:r>
      <w:r w:rsidRPr="004E62ED">
        <w:rPr>
          <w:rFonts w:cs="Times New Roman"/>
          <w:color w:val="222222"/>
          <w:szCs w:val="24"/>
          <w:shd w:val="clear" w:color="auto" w:fill="FFFFFF"/>
          <w:lang w:val="pt-BR"/>
        </w:rPr>
        <w:t xml:space="preserve"> </w:t>
      </w:r>
      <w:proofErr w:type="spellStart"/>
      <w:r w:rsidRPr="004E62ED">
        <w:rPr>
          <w:rFonts w:cs="Times New Roman"/>
          <w:color w:val="222222"/>
          <w:szCs w:val="24"/>
          <w:shd w:val="clear" w:color="auto" w:fill="FFFFFF"/>
          <w:lang w:val="pt-BR"/>
        </w:rPr>
        <w:t>Pandey</w:t>
      </w:r>
      <w:proofErr w:type="spellEnd"/>
      <w:r w:rsidRPr="004E62ED">
        <w:rPr>
          <w:rFonts w:cs="Times New Roman"/>
          <w:color w:val="222222"/>
          <w:szCs w:val="24"/>
          <w:shd w:val="clear" w:color="auto" w:fill="FFFFFF"/>
          <w:lang w:val="pt-BR"/>
        </w:rPr>
        <w:t xml:space="preserve"> (2010</w:t>
      </w:r>
      <w:r w:rsidR="004E62ED">
        <w:rPr>
          <w:rFonts w:cs="Times New Roman"/>
          <w:color w:val="222222"/>
          <w:szCs w:val="24"/>
          <w:shd w:val="clear" w:color="auto" w:fill="FFFFFF"/>
          <w:lang w:val="pt-BR"/>
        </w:rPr>
        <w:t xml:space="preserve">) também buscaram </w:t>
      </w:r>
      <w:r w:rsidRPr="004E62ED">
        <w:rPr>
          <w:rFonts w:cs="Times New Roman"/>
          <w:color w:val="222222"/>
          <w:szCs w:val="24"/>
          <w:shd w:val="clear" w:color="auto" w:fill="FFFFFF"/>
          <w:lang w:val="pt-BR"/>
        </w:rPr>
        <w:t>avalia</w:t>
      </w:r>
      <w:r w:rsidR="004E62ED">
        <w:rPr>
          <w:rFonts w:cs="Times New Roman"/>
          <w:color w:val="222222"/>
          <w:szCs w:val="24"/>
          <w:shd w:val="clear" w:color="auto" w:fill="FFFFFF"/>
          <w:lang w:val="pt-BR"/>
        </w:rPr>
        <w:t>r</w:t>
      </w:r>
      <w:r w:rsidRPr="004E62ED">
        <w:rPr>
          <w:rFonts w:cs="Times New Roman"/>
          <w:color w:val="222222"/>
          <w:szCs w:val="24"/>
          <w:shd w:val="clear" w:color="auto" w:fill="FFFFFF"/>
          <w:lang w:val="pt-BR"/>
        </w:rPr>
        <w:t xml:space="preserve"> a eficácia </w:t>
      </w:r>
      <w:r w:rsidR="004E62ED">
        <w:rPr>
          <w:rFonts w:cs="Times New Roman"/>
          <w:color w:val="222222"/>
          <w:szCs w:val="24"/>
          <w:shd w:val="clear" w:color="auto" w:fill="FFFFFF"/>
          <w:lang w:val="pt-BR"/>
        </w:rPr>
        <w:t xml:space="preserve">de diferentes múltiplos, sendo considerados como </w:t>
      </w:r>
      <w:r w:rsidR="004E62ED" w:rsidRPr="004E62ED">
        <w:rPr>
          <w:rFonts w:cs="Times New Roman"/>
          <w:i/>
          <w:color w:val="222222"/>
          <w:szCs w:val="24"/>
          <w:shd w:val="clear" w:color="auto" w:fill="FFFFFF"/>
          <w:lang w:val="pt-BR"/>
        </w:rPr>
        <w:t>Drivers</w:t>
      </w:r>
      <w:r w:rsidR="004E62ED">
        <w:rPr>
          <w:rFonts w:cs="Times New Roman"/>
          <w:color w:val="222222"/>
          <w:szCs w:val="24"/>
          <w:shd w:val="clear" w:color="auto" w:fill="FFFFFF"/>
          <w:lang w:val="pt-BR"/>
        </w:rPr>
        <w:t xml:space="preserve"> de valor</w:t>
      </w:r>
      <w:r w:rsidRPr="004E62ED">
        <w:rPr>
          <w:rFonts w:cs="Times New Roman"/>
          <w:color w:val="222222"/>
          <w:szCs w:val="24"/>
          <w:shd w:val="clear" w:color="auto" w:fill="FFFFFF"/>
          <w:lang w:val="pt-BR"/>
        </w:rPr>
        <w:t xml:space="preserve"> lucro por ação, valor contábil e vendas</w:t>
      </w:r>
      <w:r w:rsidR="004E62ED">
        <w:rPr>
          <w:rFonts w:cs="Times New Roman"/>
          <w:color w:val="222222"/>
          <w:szCs w:val="24"/>
          <w:shd w:val="clear" w:color="auto" w:fill="FFFFFF"/>
          <w:lang w:val="pt-BR"/>
        </w:rPr>
        <w:t xml:space="preserve">. A amostra abrangeu os países que fazem parte do </w:t>
      </w:r>
      <w:r w:rsidRPr="004E62ED">
        <w:rPr>
          <w:rFonts w:cs="Times New Roman"/>
          <w:color w:val="222222"/>
          <w:szCs w:val="24"/>
          <w:shd w:val="clear" w:color="auto" w:fill="FFFFFF"/>
          <w:lang w:val="pt-BR"/>
        </w:rPr>
        <w:t>BRICKS, exc</w:t>
      </w:r>
      <w:r w:rsidR="004E62ED">
        <w:rPr>
          <w:rFonts w:cs="Times New Roman"/>
          <w:color w:val="222222"/>
          <w:szCs w:val="24"/>
          <w:shd w:val="clear" w:color="auto" w:fill="FFFFFF"/>
          <w:lang w:val="pt-BR"/>
        </w:rPr>
        <w:t>eto</w:t>
      </w:r>
      <w:r w:rsidRPr="004E62ED">
        <w:rPr>
          <w:rFonts w:cs="Times New Roman"/>
          <w:color w:val="222222"/>
          <w:szCs w:val="24"/>
          <w:shd w:val="clear" w:color="auto" w:fill="FFFFFF"/>
          <w:lang w:val="pt-BR"/>
        </w:rPr>
        <w:t xml:space="preserve"> a Rússia</w:t>
      </w:r>
      <w:r w:rsidR="004E62ED">
        <w:rPr>
          <w:rFonts w:cs="Times New Roman"/>
          <w:color w:val="222222"/>
          <w:szCs w:val="24"/>
          <w:shd w:val="clear" w:color="auto" w:fill="FFFFFF"/>
          <w:lang w:val="pt-BR"/>
        </w:rPr>
        <w:t xml:space="preserve">, com dados </w:t>
      </w:r>
      <w:r w:rsidRPr="004E62ED">
        <w:rPr>
          <w:rFonts w:cs="Times New Roman"/>
          <w:color w:val="222222"/>
          <w:szCs w:val="24"/>
          <w:shd w:val="clear" w:color="auto" w:fill="FFFFFF"/>
          <w:lang w:val="pt-BR"/>
        </w:rPr>
        <w:t xml:space="preserve">de 1993 a 2007. </w:t>
      </w:r>
      <w:r w:rsidR="004E62ED">
        <w:rPr>
          <w:rFonts w:cs="Times New Roman"/>
          <w:color w:val="222222"/>
          <w:szCs w:val="24"/>
          <w:shd w:val="clear" w:color="auto" w:fill="FFFFFF"/>
          <w:lang w:val="pt-BR"/>
        </w:rPr>
        <w:t xml:space="preserve">Os autores </w:t>
      </w:r>
      <w:r w:rsidRPr="004E62ED">
        <w:rPr>
          <w:rFonts w:cs="Times New Roman"/>
          <w:color w:val="222222"/>
          <w:szCs w:val="24"/>
          <w:shd w:val="clear" w:color="auto" w:fill="FFFFFF"/>
          <w:lang w:val="pt-BR"/>
        </w:rPr>
        <w:t>constata</w:t>
      </w:r>
      <w:r w:rsidR="004E62ED">
        <w:rPr>
          <w:rFonts w:cs="Times New Roman"/>
          <w:color w:val="222222"/>
          <w:szCs w:val="24"/>
          <w:shd w:val="clear" w:color="auto" w:fill="FFFFFF"/>
          <w:lang w:val="pt-BR"/>
        </w:rPr>
        <w:t>ram</w:t>
      </w:r>
      <w:r w:rsidRPr="004E62ED">
        <w:rPr>
          <w:rFonts w:cs="Times New Roman"/>
          <w:color w:val="222222"/>
          <w:szCs w:val="24"/>
          <w:shd w:val="clear" w:color="auto" w:fill="FFFFFF"/>
          <w:lang w:val="pt-BR"/>
        </w:rPr>
        <w:t xml:space="preserve"> que o </w:t>
      </w:r>
      <w:r w:rsidR="004E62ED">
        <w:rPr>
          <w:rFonts w:cs="Times New Roman"/>
          <w:color w:val="222222"/>
          <w:szCs w:val="24"/>
          <w:shd w:val="clear" w:color="auto" w:fill="FFFFFF"/>
          <w:lang w:val="pt-BR"/>
        </w:rPr>
        <w:t>P/B</w:t>
      </w:r>
      <w:r w:rsidRPr="004E62ED">
        <w:rPr>
          <w:rFonts w:cs="Times New Roman"/>
          <w:color w:val="222222"/>
          <w:szCs w:val="24"/>
          <w:shd w:val="clear" w:color="auto" w:fill="FFFFFF"/>
          <w:lang w:val="pt-BR"/>
        </w:rPr>
        <w:t xml:space="preserve"> é o melhor múltiplo para as economias asiáticas (Índia, China e Coréia do Sul), enquanto </w:t>
      </w:r>
      <w:r w:rsidR="004E62ED">
        <w:rPr>
          <w:rFonts w:cs="Times New Roman"/>
          <w:color w:val="222222"/>
          <w:szCs w:val="24"/>
          <w:shd w:val="clear" w:color="auto" w:fill="FFFFFF"/>
          <w:lang w:val="pt-BR"/>
        </w:rPr>
        <w:t xml:space="preserve">que </w:t>
      </w:r>
      <w:r w:rsidRPr="004E62ED">
        <w:rPr>
          <w:rFonts w:cs="Times New Roman"/>
          <w:color w:val="222222"/>
          <w:szCs w:val="24"/>
          <w:shd w:val="clear" w:color="auto" w:fill="FFFFFF"/>
          <w:lang w:val="pt-BR"/>
        </w:rPr>
        <w:t xml:space="preserve">o </w:t>
      </w:r>
      <w:r w:rsidR="004E62ED">
        <w:rPr>
          <w:rFonts w:cs="Times New Roman"/>
          <w:color w:val="222222"/>
          <w:szCs w:val="24"/>
          <w:shd w:val="clear" w:color="auto" w:fill="FFFFFF"/>
          <w:lang w:val="pt-BR"/>
        </w:rPr>
        <w:t>P/L</w:t>
      </w:r>
      <w:r w:rsidRPr="004E62ED">
        <w:rPr>
          <w:rFonts w:cs="Times New Roman"/>
          <w:color w:val="222222"/>
          <w:szCs w:val="24"/>
          <w:shd w:val="clear" w:color="auto" w:fill="FFFFFF"/>
          <w:lang w:val="pt-BR"/>
        </w:rPr>
        <w:t xml:space="preserve"> </w:t>
      </w:r>
      <w:r w:rsidR="004E62ED">
        <w:rPr>
          <w:rFonts w:cs="Times New Roman"/>
          <w:color w:val="222222"/>
          <w:szCs w:val="24"/>
          <w:shd w:val="clear" w:color="auto" w:fill="FFFFFF"/>
          <w:lang w:val="pt-BR"/>
        </w:rPr>
        <w:t>tem melhores resultados n</w:t>
      </w:r>
      <w:r w:rsidRPr="004E62ED">
        <w:rPr>
          <w:rFonts w:cs="Times New Roman"/>
          <w:color w:val="222222"/>
          <w:szCs w:val="24"/>
          <w:shd w:val="clear" w:color="auto" w:fill="FFFFFF"/>
          <w:lang w:val="pt-BR"/>
        </w:rPr>
        <w:t xml:space="preserve">o caso do Brasil e da África do Sul. </w:t>
      </w:r>
      <w:r w:rsidR="004E62ED">
        <w:rPr>
          <w:rFonts w:cs="Times New Roman"/>
          <w:color w:val="222222"/>
          <w:szCs w:val="24"/>
          <w:shd w:val="clear" w:color="auto" w:fill="FFFFFF"/>
          <w:lang w:val="pt-BR"/>
        </w:rPr>
        <w:t xml:space="preserve">Além disso, os resultados </w:t>
      </w:r>
      <w:r w:rsidRPr="004E62ED">
        <w:rPr>
          <w:rFonts w:cs="Times New Roman"/>
          <w:color w:val="222222"/>
          <w:szCs w:val="24"/>
          <w:shd w:val="clear" w:color="auto" w:fill="FFFFFF"/>
          <w:lang w:val="pt-BR"/>
        </w:rPr>
        <w:t>mostra</w:t>
      </w:r>
      <w:r w:rsidR="004E62ED">
        <w:rPr>
          <w:rFonts w:cs="Times New Roman"/>
          <w:color w:val="222222"/>
          <w:szCs w:val="24"/>
          <w:shd w:val="clear" w:color="auto" w:fill="FFFFFF"/>
          <w:lang w:val="pt-BR"/>
        </w:rPr>
        <w:t>ram</w:t>
      </w:r>
      <w:r w:rsidRPr="004E62ED">
        <w:rPr>
          <w:rFonts w:cs="Times New Roman"/>
          <w:color w:val="222222"/>
          <w:szCs w:val="24"/>
          <w:shd w:val="clear" w:color="auto" w:fill="FFFFFF"/>
          <w:lang w:val="pt-BR"/>
        </w:rPr>
        <w:t xml:space="preserve"> que a combinação de </w:t>
      </w:r>
      <w:r w:rsidR="00AE50BA" w:rsidRPr="00AE50BA">
        <w:rPr>
          <w:rFonts w:cs="Times New Roman"/>
          <w:i/>
          <w:color w:val="222222"/>
          <w:szCs w:val="24"/>
          <w:shd w:val="clear" w:color="auto" w:fill="FFFFFF"/>
          <w:lang w:val="pt-BR"/>
        </w:rPr>
        <w:t>Drivers</w:t>
      </w:r>
      <w:r w:rsidRPr="004E62ED">
        <w:rPr>
          <w:rFonts w:cs="Times New Roman"/>
          <w:color w:val="222222"/>
          <w:szCs w:val="24"/>
          <w:shd w:val="clear" w:color="auto" w:fill="FFFFFF"/>
          <w:lang w:val="pt-BR"/>
        </w:rPr>
        <w:t xml:space="preserve"> de valor não melhora significativamente a previsão de preços em relação a múltiplos independentes. Nossas descobertas estão em contraste com as dos mercados desenvolvidos.</w:t>
      </w:r>
    </w:p>
    <w:p w14:paraId="72ADCD76" w14:textId="327D657E" w:rsidR="00356C7B" w:rsidRDefault="00356C7B" w:rsidP="00356C7B">
      <w:pPr>
        <w:pStyle w:val="SemEspaamento"/>
        <w:rPr>
          <w:rFonts w:eastAsiaTheme="minorHAnsi"/>
          <w:lang w:val="pt-BR" w:bidi="ar-SA"/>
        </w:rPr>
      </w:pPr>
      <w:r w:rsidRPr="00CE7D85">
        <w:rPr>
          <w:lang w:val="pt-BR"/>
        </w:rPr>
        <w:t xml:space="preserve">Pazarzi </w:t>
      </w:r>
      <w:r>
        <w:rPr>
          <w:lang w:val="pt-BR"/>
        </w:rPr>
        <w:t xml:space="preserve">(2014), por outro lado, buscou desvendar qual </w:t>
      </w:r>
      <w:r w:rsidRPr="00CE7D85">
        <w:rPr>
          <w:rFonts w:eastAsiaTheme="minorHAnsi"/>
          <w:lang w:val="pt-BR" w:bidi="ar-SA"/>
        </w:rPr>
        <w:t>modelo de avaliação patrimonial</w:t>
      </w:r>
      <w:r>
        <w:rPr>
          <w:rFonts w:eastAsiaTheme="minorHAnsi"/>
          <w:lang w:val="pt-BR" w:bidi="ar-SA"/>
        </w:rPr>
        <w:t xml:space="preserve"> é melhor entre </w:t>
      </w:r>
      <w:r w:rsidRPr="00CE7D85">
        <w:rPr>
          <w:rFonts w:eastAsiaTheme="minorHAnsi"/>
          <w:lang w:val="pt-BR" w:bidi="ar-SA"/>
        </w:rPr>
        <w:t>o lucro residual</w:t>
      </w:r>
      <w:r>
        <w:rPr>
          <w:rFonts w:eastAsiaTheme="minorHAnsi"/>
          <w:lang w:val="pt-BR" w:bidi="ar-SA"/>
        </w:rPr>
        <w:t xml:space="preserve"> </w:t>
      </w:r>
      <w:r w:rsidRPr="00CE7D85">
        <w:rPr>
          <w:rFonts w:eastAsiaTheme="minorHAnsi"/>
          <w:lang w:val="pt-BR" w:bidi="ar-SA"/>
        </w:rPr>
        <w:t>e o modelo de múltiplos</w:t>
      </w:r>
      <w:r>
        <w:rPr>
          <w:rFonts w:eastAsiaTheme="minorHAnsi"/>
          <w:lang w:val="pt-BR" w:bidi="ar-SA"/>
        </w:rPr>
        <w:t xml:space="preserve"> no mercado inglês, sendo consideradas 473 empresas nos anos de 2001 e 2002. Para as empresas ingles</w:t>
      </w:r>
      <w:r w:rsidR="00C31F2B">
        <w:rPr>
          <w:rFonts w:eastAsiaTheme="minorHAnsi"/>
          <w:lang w:val="pt-BR" w:bidi="ar-SA"/>
        </w:rPr>
        <w:t>a</w:t>
      </w:r>
      <w:r>
        <w:rPr>
          <w:rFonts w:eastAsiaTheme="minorHAnsi"/>
          <w:lang w:val="pt-BR" w:bidi="ar-SA"/>
        </w:rPr>
        <w:t>s dessa amostra, que excluiu as empresas financeiras da análise, a</w:t>
      </w:r>
      <w:r w:rsidRPr="00CE7D85">
        <w:rPr>
          <w:rFonts w:eastAsiaTheme="minorHAnsi"/>
          <w:lang w:val="pt-BR" w:bidi="ar-SA"/>
        </w:rPr>
        <w:t xml:space="preserve"> abordagem de preços-múltiplos é, na maioria dos casos, um melhor preditor de preços de mercado do que o modelo de avaliação de rendimentos residuais. Além disso, a média harmônica produz estimativas de valor mais confiáveis para um conjunto de diferentes setores. Finalmente, há alguns </w:t>
      </w:r>
      <w:r w:rsidRPr="00D87630">
        <w:rPr>
          <w:rFonts w:eastAsiaTheme="minorHAnsi"/>
          <w:i/>
          <w:lang w:val="pt-BR" w:bidi="ar-SA"/>
        </w:rPr>
        <w:t>drivers</w:t>
      </w:r>
      <w:r w:rsidRPr="00CE7D85">
        <w:rPr>
          <w:rFonts w:eastAsiaTheme="minorHAnsi"/>
          <w:lang w:val="pt-BR" w:bidi="ar-SA"/>
        </w:rPr>
        <w:t xml:space="preserve"> que devem ser mais confiáveis do que outros em indústrias específicas, mas não há valor de </w:t>
      </w:r>
      <w:r w:rsidRPr="00D87630">
        <w:rPr>
          <w:rFonts w:eastAsiaTheme="minorHAnsi"/>
          <w:i/>
          <w:lang w:val="pt-BR" w:bidi="ar-SA"/>
        </w:rPr>
        <w:t>driver</w:t>
      </w:r>
      <w:r w:rsidRPr="00CE7D85">
        <w:rPr>
          <w:rFonts w:eastAsiaTheme="minorHAnsi"/>
          <w:lang w:val="pt-BR" w:bidi="ar-SA"/>
        </w:rPr>
        <w:t xml:space="preserve"> que domine todas as indústrias</w:t>
      </w:r>
      <w:r>
        <w:rPr>
          <w:rFonts w:eastAsiaTheme="minorHAnsi"/>
          <w:lang w:val="pt-BR" w:bidi="ar-SA"/>
        </w:rPr>
        <w:t>, confirmando os achados de Saliba (2008) de existência de superioridade entre os tipos de múltiplos.</w:t>
      </w:r>
    </w:p>
    <w:p w14:paraId="10B028D2" w14:textId="07EB8B12" w:rsidR="00356C7B" w:rsidRPr="00F145AA" w:rsidRDefault="00356C7B" w:rsidP="00356C7B">
      <w:pPr>
        <w:pStyle w:val="SemEspaamento"/>
        <w:rPr>
          <w:lang w:val="pt-BR"/>
        </w:rPr>
      </w:pPr>
      <w:r>
        <w:rPr>
          <w:rFonts w:eastAsiaTheme="minorHAnsi"/>
          <w:lang w:val="pt-BR" w:bidi="ar-SA"/>
        </w:rPr>
        <w:t xml:space="preserve">Serra e Fávero (2016) se mostraram preocupados com a determinação das empresas similares. Assim, o objetivo do estudo foi investigar qual a melhor forma de determinar as empresas comparáveis, se através da abordagem tradicional do agrupamento por setor ou empresas agrupadas por análise de </w:t>
      </w:r>
      <w:r>
        <w:rPr>
          <w:rFonts w:eastAsiaTheme="minorHAnsi"/>
          <w:i/>
          <w:iCs/>
          <w:lang w:val="pt-BR" w:bidi="ar-SA"/>
        </w:rPr>
        <w:t>cluster</w:t>
      </w:r>
      <w:r>
        <w:rPr>
          <w:rFonts w:eastAsiaTheme="minorHAnsi"/>
          <w:lang w:val="pt-BR" w:bidi="ar-SA"/>
        </w:rPr>
        <w:t>. O múltiplo estudado foi o P/B e a amostra foi composta por 70 empresas brasileiras de diferentes setores no quarto trimestre de 2014.</w:t>
      </w:r>
      <w:r w:rsidR="000127FC">
        <w:rPr>
          <w:rFonts w:eastAsiaTheme="minorHAnsi"/>
          <w:lang w:val="pt-BR" w:bidi="ar-SA"/>
        </w:rPr>
        <w:t xml:space="preserve"> O</w:t>
      </w:r>
      <w:r>
        <w:rPr>
          <w:rFonts w:eastAsiaTheme="minorHAnsi"/>
          <w:lang w:val="pt-BR" w:bidi="ar-SA"/>
        </w:rPr>
        <w:t xml:space="preserve">s resultados confirmaram a hipótese de que o agrupamento por </w:t>
      </w:r>
      <w:r w:rsidRPr="002215B2">
        <w:rPr>
          <w:rFonts w:eastAsiaTheme="minorHAnsi"/>
          <w:i/>
          <w:lang w:val="pt-BR" w:bidi="ar-SA"/>
        </w:rPr>
        <w:t>cluster</w:t>
      </w:r>
      <w:r>
        <w:rPr>
          <w:rFonts w:eastAsiaTheme="minorHAnsi"/>
          <w:lang w:val="pt-BR" w:bidi="ar-SA"/>
        </w:rPr>
        <w:t xml:space="preserve"> detém melhores resultados que o agrupamento por setor. Além disso, os autores analisaram os determinantes do P/B através de uma regressão linear múltipla e os resultados apontaram que o retorno sobre o patrimônio líquido (ROE), custo de capital, crescimento e tamanho da firma são estatisticamente significativos para determinar o P/B das empresas. </w:t>
      </w:r>
    </w:p>
    <w:p w14:paraId="511ACAFE" w14:textId="77777777" w:rsidR="00356C7B" w:rsidRDefault="00356C7B" w:rsidP="00356C7B">
      <w:pPr>
        <w:pStyle w:val="SemEspaamento"/>
        <w:rPr>
          <w:rFonts w:eastAsiaTheme="minorHAnsi"/>
          <w:lang w:val="pt-BR" w:bidi="ar-SA"/>
        </w:rPr>
      </w:pPr>
      <w:r>
        <w:rPr>
          <w:rFonts w:eastAsiaTheme="minorHAnsi"/>
          <w:lang w:val="pt-BR" w:bidi="ar-SA"/>
        </w:rPr>
        <w:t>Por fim, Serra e Saito (2016)</w:t>
      </w:r>
      <w:r w:rsidRPr="005848D2">
        <w:rPr>
          <w:lang w:val="pt-BR"/>
        </w:rPr>
        <w:t xml:space="preserve"> </w:t>
      </w:r>
      <w:r>
        <w:rPr>
          <w:rFonts w:eastAsiaTheme="minorHAnsi"/>
          <w:lang w:val="pt-BR" w:bidi="ar-SA"/>
        </w:rPr>
        <w:t xml:space="preserve">analisaram </w:t>
      </w:r>
      <w:r w:rsidRPr="005848D2">
        <w:rPr>
          <w:rFonts w:eastAsiaTheme="minorHAnsi"/>
          <w:lang w:val="pt-BR" w:bidi="ar-SA"/>
        </w:rPr>
        <w:t>os determinantes do</w:t>
      </w:r>
      <w:r>
        <w:rPr>
          <w:rFonts w:eastAsiaTheme="minorHAnsi"/>
          <w:lang w:val="pt-BR" w:bidi="ar-SA"/>
        </w:rPr>
        <w:t xml:space="preserve"> múltiplo</w:t>
      </w:r>
      <w:r w:rsidRPr="005848D2">
        <w:rPr>
          <w:rFonts w:eastAsiaTheme="minorHAnsi"/>
          <w:lang w:val="pt-BR" w:bidi="ar-SA"/>
        </w:rPr>
        <w:t xml:space="preserve"> P/B</w:t>
      </w:r>
      <w:r>
        <w:rPr>
          <w:rFonts w:eastAsiaTheme="minorHAnsi"/>
          <w:lang w:val="pt-BR" w:bidi="ar-SA"/>
        </w:rPr>
        <w:t xml:space="preserve"> de forma semelhante à Serra e Fávero (2016)</w:t>
      </w:r>
      <w:r w:rsidRPr="005848D2">
        <w:rPr>
          <w:rFonts w:eastAsiaTheme="minorHAnsi"/>
          <w:lang w:val="pt-BR" w:bidi="ar-SA"/>
        </w:rPr>
        <w:t>. Por meio de uma</w:t>
      </w:r>
      <w:r>
        <w:rPr>
          <w:rFonts w:eastAsiaTheme="minorHAnsi"/>
          <w:lang w:val="pt-BR" w:bidi="ar-SA"/>
        </w:rPr>
        <w:t xml:space="preserve"> </w:t>
      </w:r>
      <w:r w:rsidRPr="005848D2">
        <w:rPr>
          <w:rFonts w:eastAsiaTheme="minorHAnsi"/>
          <w:lang w:val="pt-BR" w:bidi="ar-SA"/>
        </w:rPr>
        <w:t>análise de painel, para 168 empresas com ações listadas na B</w:t>
      </w:r>
      <w:r>
        <w:rPr>
          <w:rFonts w:eastAsiaTheme="minorHAnsi"/>
          <w:lang w:val="pt-BR" w:bidi="ar-SA"/>
        </w:rPr>
        <w:t>3 em</w:t>
      </w:r>
      <w:r w:rsidRPr="005848D2">
        <w:rPr>
          <w:rFonts w:eastAsiaTheme="minorHAnsi"/>
          <w:lang w:val="pt-BR" w:bidi="ar-SA"/>
        </w:rPr>
        <w:t xml:space="preserve"> 40 trimestres</w:t>
      </w:r>
      <w:r>
        <w:rPr>
          <w:rFonts w:eastAsiaTheme="minorHAnsi"/>
          <w:lang w:val="pt-BR" w:bidi="ar-SA"/>
        </w:rPr>
        <w:t xml:space="preserve"> </w:t>
      </w:r>
      <w:r w:rsidRPr="00312E9A">
        <w:rPr>
          <w:rFonts w:eastAsiaTheme="minorHAnsi"/>
          <w:lang w:val="pt-BR" w:bidi="ar-SA"/>
        </w:rPr>
        <w:t>(4</w:t>
      </w:r>
      <w:r>
        <w:rPr>
          <w:rFonts w:eastAsiaTheme="minorHAnsi"/>
          <w:lang w:val="pt-BR" w:bidi="ar-SA"/>
        </w:rPr>
        <w:t xml:space="preserve">º </w:t>
      </w:r>
      <w:r w:rsidRPr="00312E9A">
        <w:rPr>
          <w:rFonts w:eastAsiaTheme="minorHAnsi"/>
          <w:lang w:val="pt-BR" w:bidi="ar-SA"/>
        </w:rPr>
        <w:t>trimestre de</w:t>
      </w:r>
      <w:r>
        <w:rPr>
          <w:rFonts w:eastAsiaTheme="minorHAnsi"/>
          <w:lang w:val="pt-BR" w:bidi="ar-SA"/>
        </w:rPr>
        <w:t xml:space="preserve"> </w:t>
      </w:r>
      <w:r w:rsidRPr="00312E9A">
        <w:rPr>
          <w:rFonts w:eastAsiaTheme="minorHAnsi"/>
          <w:lang w:val="pt-BR" w:bidi="ar-SA"/>
        </w:rPr>
        <w:t>2004 ao 3</w:t>
      </w:r>
      <w:r>
        <w:rPr>
          <w:rFonts w:eastAsiaTheme="minorHAnsi"/>
          <w:lang w:val="pt-BR" w:bidi="ar-SA"/>
        </w:rPr>
        <w:t xml:space="preserve">º </w:t>
      </w:r>
      <w:r w:rsidRPr="00312E9A">
        <w:rPr>
          <w:rFonts w:eastAsiaTheme="minorHAnsi"/>
          <w:lang w:val="pt-BR" w:bidi="ar-SA"/>
        </w:rPr>
        <w:t>trimestre de 2014)</w:t>
      </w:r>
      <w:r w:rsidRPr="005848D2">
        <w:rPr>
          <w:rFonts w:eastAsiaTheme="minorHAnsi"/>
          <w:lang w:val="pt-BR" w:bidi="ar-SA"/>
        </w:rPr>
        <w:t>, identificaram-se os determinantes retorno</w:t>
      </w:r>
      <w:r>
        <w:rPr>
          <w:rFonts w:eastAsiaTheme="minorHAnsi"/>
          <w:lang w:val="pt-BR" w:bidi="ar-SA"/>
        </w:rPr>
        <w:t xml:space="preserve">, crescimento histórico e tamanho com relação positiva e custo de capital e pertencer a um setor regulado com relação negativa. </w:t>
      </w:r>
    </w:p>
    <w:p w14:paraId="0BEA4FCA" w14:textId="7242E696" w:rsidR="00356C7B" w:rsidRDefault="00356C7B" w:rsidP="00356C7B">
      <w:pPr>
        <w:pStyle w:val="SemEspaamento"/>
        <w:rPr>
          <w:rFonts w:eastAsia="Times New Roman"/>
          <w:lang w:val="pt-BR" w:eastAsia="pt-BR" w:bidi="ar-SA"/>
        </w:rPr>
      </w:pPr>
      <w:r>
        <w:rPr>
          <w:rFonts w:eastAsia="Times New Roman"/>
          <w:lang w:val="pt-BR" w:eastAsia="pt-BR" w:bidi="ar-SA"/>
        </w:rPr>
        <w:t xml:space="preserve">Mediante esta breve revisão de literatura é possível constatar a escassez de trabalhos que tenham como foco a avaliação de instituições bancárias por múltiplos. Assim, </w:t>
      </w:r>
      <w:r w:rsidR="00AF4BCC">
        <w:rPr>
          <w:rFonts w:eastAsia="Times New Roman"/>
          <w:lang w:val="pt-BR" w:eastAsia="pt-BR" w:bidi="ar-SA"/>
        </w:rPr>
        <w:t>as</w:t>
      </w:r>
      <w:r>
        <w:rPr>
          <w:rFonts w:eastAsia="Times New Roman"/>
          <w:lang w:val="pt-BR" w:eastAsia="pt-BR" w:bidi="ar-SA"/>
        </w:rPr>
        <w:t xml:space="preserve"> pesquisas envolvendo esse setor para verificar se o poder preditivo dessa ferramenta é tão preciso quanto para a avaliação das empresas em geral</w:t>
      </w:r>
      <w:r w:rsidR="00AF4BCC">
        <w:rPr>
          <w:rFonts w:eastAsia="Times New Roman"/>
          <w:lang w:val="pt-BR" w:eastAsia="pt-BR" w:bidi="ar-SA"/>
        </w:rPr>
        <w:t xml:space="preserve"> além de muito relevantes tornam-se de grande necessidade</w:t>
      </w:r>
      <w:r>
        <w:rPr>
          <w:rFonts w:eastAsia="Times New Roman"/>
          <w:lang w:val="pt-BR" w:eastAsia="pt-BR" w:bidi="ar-SA"/>
        </w:rPr>
        <w:t xml:space="preserve">. </w:t>
      </w:r>
    </w:p>
    <w:p w14:paraId="37039FDF" w14:textId="77777777" w:rsidR="00356C7B" w:rsidRDefault="00356C7B" w:rsidP="00356C7B">
      <w:pPr>
        <w:spacing w:before="0" w:after="0" w:line="240" w:lineRule="auto"/>
        <w:jc w:val="left"/>
        <w:rPr>
          <w:rFonts w:eastAsia="Times New Roman" w:cs="Times New Roman"/>
          <w:b/>
          <w:szCs w:val="24"/>
          <w:lang w:val="pt-BR" w:eastAsia="pt-BR" w:bidi="ar-SA"/>
        </w:rPr>
      </w:pPr>
    </w:p>
    <w:p w14:paraId="2118FD4A" w14:textId="77777777" w:rsidR="00356C7B" w:rsidRDefault="00356C7B" w:rsidP="002E04DA">
      <w:pPr>
        <w:spacing w:before="0" w:after="120" w:line="240" w:lineRule="auto"/>
        <w:jc w:val="left"/>
        <w:rPr>
          <w:rFonts w:eastAsia="Times New Roman" w:cs="Times New Roman"/>
          <w:b/>
          <w:szCs w:val="24"/>
          <w:lang w:val="pt-BR" w:eastAsia="pt-BR" w:bidi="ar-SA"/>
        </w:rPr>
      </w:pPr>
      <w:r>
        <w:rPr>
          <w:rFonts w:eastAsia="Times New Roman" w:cs="Times New Roman"/>
          <w:b/>
          <w:szCs w:val="24"/>
          <w:lang w:val="pt-BR" w:eastAsia="pt-BR" w:bidi="ar-SA"/>
        </w:rPr>
        <w:t>2.3 Hipóteses da Pesquisa</w:t>
      </w:r>
    </w:p>
    <w:p w14:paraId="56B9BA1A" w14:textId="6F1B26AD" w:rsidR="00356C7B" w:rsidRDefault="00356C7B" w:rsidP="00356C7B">
      <w:pPr>
        <w:pStyle w:val="SemEspaamento"/>
        <w:rPr>
          <w:rFonts w:eastAsiaTheme="minorHAnsi"/>
          <w:lang w:val="pt-BR" w:bidi="ar-SA"/>
        </w:rPr>
      </w:pPr>
      <w:r>
        <w:rPr>
          <w:rFonts w:eastAsiaTheme="minorHAnsi"/>
          <w:lang w:val="pt-BR" w:bidi="ar-SA"/>
        </w:rPr>
        <w:t xml:space="preserve">Por meio dos </w:t>
      </w:r>
      <w:r w:rsidR="00C5568E" w:rsidRPr="00210A16">
        <w:rPr>
          <w:rFonts w:eastAsiaTheme="minorHAnsi"/>
          <w:lang w:val="pt-BR" w:bidi="ar-SA"/>
        </w:rPr>
        <w:t>resultados</w:t>
      </w:r>
      <w:r w:rsidRPr="00210A16">
        <w:rPr>
          <w:rFonts w:eastAsiaTheme="minorHAnsi"/>
          <w:lang w:val="pt-BR" w:bidi="ar-SA"/>
        </w:rPr>
        <w:t xml:space="preserve"> </w:t>
      </w:r>
      <w:r>
        <w:rPr>
          <w:rFonts w:eastAsiaTheme="minorHAnsi"/>
          <w:lang w:val="pt-BR" w:bidi="ar-SA"/>
        </w:rPr>
        <w:t xml:space="preserve">encontrados nos estudos anteriores fica claro que os múltiplos ainda são uma técnica de avaliação de empresas muito utilizada na prática e que o tipo de índice que o analista escolhe para precificar uma firma depende do setor que ela está inserida. </w:t>
      </w:r>
    </w:p>
    <w:p w14:paraId="2E255675" w14:textId="155282E3" w:rsidR="00356C7B" w:rsidRPr="00E22CE5" w:rsidRDefault="00356C7B" w:rsidP="00356C7B">
      <w:pPr>
        <w:pStyle w:val="SemEspaamento"/>
        <w:rPr>
          <w:lang w:val="pt-BR"/>
        </w:rPr>
      </w:pPr>
      <w:r>
        <w:rPr>
          <w:lang w:val="pt-BR"/>
        </w:rPr>
        <w:t xml:space="preserve">As instituições bancárias, devido à natureza da operação que executam, tendem a obter baixos valores de ativos tangíveis e alta quantidade de ativos financeiros de boa liquidez. Dessa </w:t>
      </w:r>
      <w:r>
        <w:rPr>
          <w:lang w:val="pt-BR"/>
        </w:rPr>
        <w:lastRenderedPageBreak/>
        <w:t xml:space="preserve">forma, espera-se que os índices P/L e P/LO consigam precificar melhor os bancos do que o índice P/B, já que este último é mais indicado para empresas que detém valor elevado de patrimônio tangível e ativos de fácil mensuração. Assim, </w:t>
      </w:r>
      <w:r w:rsidRPr="00E22CE5">
        <w:rPr>
          <w:lang w:val="pt-BR"/>
        </w:rPr>
        <w:t>formulou-se a</w:t>
      </w:r>
      <w:r>
        <w:rPr>
          <w:lang w:val="pt-BR"/>
        </w:rPr>
        <w:t>s</w:t>
      </w:r>
      <w:r w:rsidRPr="00E22CE5">
        <w:rPr>
          <w:lang w:val="pt-BR"/>
        </w:rPr>
        <w:t xml:space="preserve"> seguinte</w:t>
      </w:r>
      <w:r>
        <w:rPr>
          <w:lang w:val="pt-BR"/>
        </w:rPr>
        <w:t>s</w:t>
      </w:r>
      <w:r w:rsidRPr="00E22CE5">
        <w:rPr>
          <w:lang w:val="pt-BR"/>
        </w:rPr>
        <w:t xml:space="preserve"> hipótese</w:t>
      </w:r>
      <w:r>
        <w:rPr>
          <w:lang w:val="pt-BR"/>
        </w:rPr>
        <w:t>s</w:t>
      </w:r>
      <w:r w:rsidRPr="00E22CE5">
        <w:rPr>
          <w:lang w:val="pt-BR"/>
        </w:rPr>
        <w:t>:</w:t>
      </w:r>
    </w:p>
    <w:p w14:paraId="69728644" w14:textId="77777777" w:rsidR="00356C7B" w:rsidRPr="00E22CE5" w:rsidRDefault="00356C7B" w:rsidP="00356C7B">
      <w:pPr>
        <w:pStyle w:val="SemEspaamento"/>
        <w:rPr>
          <w:lang w:val="pt-BR"/>
        </w:rPr>
      </w:pPr>
    </w:p>
    <w:p w14:paraId="6995CEA5" w14:textId="77777777" w:rsidR="00356C7B" w:rsidRDefault="00356C7B" w:rsidP="00356C7B">
      <w:pPr>
        <w:pStyle w:val="SemEspaamento"/>
        <w:ind w:left="708" w:firstLine="1"/>
        <w:rPr>
          <w:lang w:val="pt-BR"/>
        </w:rPr>
      </w:pPr>
      <w:r w:rsidRPr="00E22CE5">
        <w:rPr>
          <w:lang w:val="pt-BR"/>
        </w:rPr>
        <w:t>H1: o múltiplo preço/lucro (P/L) oferece melhor precisão para precificar os bancos do que o múltiplo preço/valor contábil (P/B).</w:t>
      </w:r>
    </w:p>
    <w:p w14:paraId="33257805" w14:textId="77777777" w:rsidR="00356C7B" w:rsidRDefault="00356C7B" w:rsidP="00356C7B">
      <w:pPr>
        <w:pStyle w:val="SemEspaamento"/>
        <w:ind w:left="708" w:firstLine="1"/>
        <w:rPr>
          <w:lang w:val="pt-BR"/>
        </w:rPr>
      </w:pPr>
    </w:p>
    <w:p w14:paraId="3F7A16C2" w14:textId="77777777" w:rsidR="00356C7B" w:rsidRPr="00E22CE5" w:rsidRDefault="00356C7B" w:rsidP="00356C7B">
      <w:pPr>
        <w:pStyle w:val="SemEspaamento"/>
        <w:ind w:left="708" w:firstLine="1"/>
        <w:rPr>
          <w:lang w:val="pt-BR"/>
        </w:rPr>
      </w:pPr>
      <w:r>
        <w:rPr>
          <w:lang w:val="pt-BR"/>
        </w:rPr>
        <w:t>H2: o múltiplo preço/lucro operacional (P/LO) oferece melhor precisão para precificar os bancos do que o múltiplo preço/valor contábil (P/B).</w:t>
      </w:r>
    </w:p>
    <w:p w14:paraId="49C7DA21" w14:textId="77777777" w:rsidR="00356C7B" w:rsidRDefault="00356C7B" w:rsidP="00356C7B">
      <w:pPr>
        <w:pStyle w:val="SemEspaamento"/>
        <w:rPr>
          <w:lang w:val="pt-BR"/>
        </w:rPr>
      </w:pPr>
    </w:p>
    <w:p w14:paraId="13081309" w14:textId="77777777" w:rsidR="00356C7B" w:rsidRDefault="00356C7B" w:rsidP="00356C7B">
      <w:pPr>
        <w:pStyle w:val="SemEspaamento"/>
        <w:rPr>
          <w:lang w:val="pt-BR"/>
        </w:rPr>
      </w:pPr>
      <w:r>
        <w:rPr>
          <w:rFonts w:eastAsiaTheme="minorHAnsi"/>
          <w:lang w:val="pt-BR" w:bidi="ar-SA"/>
        </w:rPr>
        <w:t xml:space="preserve">Além disso, o setor bancário é um setor altamente regulado e o estudo de Serra e Saito (2016) encontrou que </w:t>
      </w:r>
      <w:r w:rsidRPr="005848D2">
        <w:rPr>
          <w:rFonts w:eastAsiaTheme="minorHAnsi"/>
          <w:lang w:val="pt-BR" w:bidi="ar-SA"/>
        </w:rPr>
        <w:t>empresas pertencentes a setores regulados</w:t>
      </w:r>
      <w:r>
        <w:rPr>
          <w:rFonts w:eastAsiaTheme="minorHAnsi"/>
          <w:lang w:val="pt-BR" w:bidi="ar-SA"/>
        </w:rPr>
        <w:t xml:space="preserve"> </w:t>
      </w:r>
      <w:r w:rsidRPr="005848D2">
        <w:rPr>
          <w:rFonts w:eastAsiaTheme="minorHAnsi"/>
          <w:lang w:val="pt-BR" w:bidi="ar-SA"/>
        </w:rPr>
        <w:t>te</w:t>
      </w:r>
      <w:r>
        <w:rPr>
          <w:rFonts w:eastAsiaTheme="minorHAnsi"/>
          <w:lang w:val="pt-BR" w:bidi="ar-SA"/>
        </w:rPr>
        <w:t>m</w:t>
      </w:r>
      <w:r w:rsidRPr="005848D2">
        <w:rPr>
          <w:rFonts w:eastAsiaTheme="minorHAnsi"/>
          <w:lang w:val="pt-BR" w:bidi="ar-SA"/>
        </w:rPr>
        <w:t xml:space="preserve"> menor P/B. </w:t>
      </w:r>
      <w:r w:rsidRPr="00312E9A">
        <w:rPr>
          <w:lang w:val="pt-BR"/>
        </w:rPr>
        <w:t>O</w:t>
      </w:r>
      <w:r>
        <w:rPr>
          <w:lang w:val="pt-BR"/>
        </w:rPr>
        <w:t xml:space="preserve">s autores afirmam que a relação negativa entre empresas de setor regulado e o P/B podem indicar que: </w:t>
      </w:r>
    </w:p>
    <w:p w14:paraId="37CEFB17" w14:textId="743CD387" w:rsidR="00356C7B" w:rsidRPr="00E22CE5" w:rsidRDefault="00356C7B" w:rsidP="00356C7B">
      <w:pPr>
        <w:pStyle w:val="SemEspaamento"/>
        <w:ind w:left="2268" w:firstLine="0"/>
        <w:rPr>
          <w:lang w:val="pt-BR"/>
        </w:rPr>
      </w:pPr>
      <w:r>
        <w:rPr>
          <w:sz w:val="20"/>
          <w:lang w:val="pt-BR"/>
        </w:rPr>
        <w:t>“</w:t>
      </w:r>
      <w:r w:rsidRPr="00504CA9">
        <w:rPr>
          <w:sz w:val="20"/>
          <w:lang w:val="pt-BR"/>
        </w:rPr>
        <w:t>(i) os agentes de mercado confiam que as agências reguladoras restringirão a capacidade de as empresas pertencentes a setores regulados de obter retornos anormais, além do que a competição nos níveis brasileiros restringiria (neste caso, ou as agências regulatórias são muito rígidas ou a concorrência no mercado brasileiro é baixa); ou (</w:t>
      </w:r>
      <w:proofErr w:type="spellStart"/>
      <w:r w:rsidRPr="00504CA9">
        <w:rPr>
          <w:sz w:val="20"/>
          <w:lang w:val="pt-BR"/>
        </w:rPr>
        <w:t>ii</w:t>
      </w:r>
      <w:proofErr w:type="spellEnd"/>
      <w:r w:rsidRPr="00504CA9">
        <w:rPr>
          <w:sz w:val="20"/>
          <w:lang w:val="pt-BR"/>
        </w:rPr>
        <w:t xml:space="preserve">) os agentes de mercado enxergam um adicional de risco nesses setores (talvez por enxergarem um intervencionismo excessivo), o que estaria refletindo em uma </w:t>
      </w:r>
      <w:proofErr w:type="spellStart"/>
      <w:r w:rsidRPr="00504CA9">
        <w:rPr>
          <w:sz w:val="20"/>
          <w:lang w:val="pt-BR"/>
        </w:rPr>
        <w:t>subprecificação</w:t>
      </w:r>
      <w:proofErr w:type="spellEnd"/>
      <w:r w:rsidRPr="00504CA9">
        <w:rPr>
          <w:sz w:val="20"/>
          <w:lang w:val="pt-BR"/>
        </w:rPr>
        <w:t xml:space="preserve"> das mesmas, podendo, dependendo das expectativas de transparência nas regras regulatórias, implicar em uma boa oportunidade de investimento</w:t>
      </w:r>
      <w:r>
        <w:rPr>
          <w:sz w:val="20"/>
          <w:lang w:val="pt-BR"/>
        </w:rPr>
        <w:t>” (</w:t>
      </w:r>
      <w:r w:rsidR="00E7044E">
        <w:rPr>
          <w:sz w:val="20"/>
          <w:lang w:val="pt-BR"/>
        </w:rPr>
        <w:t>SERRA; SAITO</w:t>
      </w:r>
      <w:r>
        <w:rPr>
          <w:sz w:val="20"/>
          <w:lang w:val="pt-BR"/>
        </w:rPr>
        <w:t>, 2016, p. 91).</w:t>
      </w:r>
    </w:p>
    <w:p w14:paraId="1A836B63" w14:textId="77777777" w:rsidR="00356C7B" w:rsidRPr="007E0D78" w:rsidRDefault="00356C7B" w:rsidP="00356C7B">
      <w:pPr>
        <w:spacing w:before="0" w:after="0" w:line="240" w:lineRule="auto"/>
        <w:jc w:val="left"/>
        <w:rPr>
          <w:rFonts w:eastAsia="Times New Roman" w:cs="Times New Roman"/>
          <w:b/>
          <w:szCs w:val="24"/>
          <w:lang w:val="pt-BR" w:eastAsia="pt-BR" w:bidi="ar-SA"/>
        </w:rPr>
      </w:pPr>
    </w:p>
    <w:p w14:paraId="3EBB7A20" w14:textId="77777777" w:rsidR="00356C7B" w:rsidRDefault="00356C7B" w:rsidP="002E04DA">
      <w:pPr>
        <w:spacing w:before="0" w:after="120" w:line="240" w:lineRule="auto"/>
        <w:rPr>
          <w:rFonts w:eastAsia="Times New Roman" w:cs="Times New Roman"/>
          <w:b/>
          <w:szCs w:val="24"/>
          <w:lang w:val="pt-BR" w:eastAsia="pt-BR" w:bidi="ar-SA"/>
        </w:rPr>
      </w:pPr>
      <w:r w:rsidRPr="00691E73">
        <w:rPr>
          <w:rFonts w:eastAsia="Times New Roman" w:cs="Times New Roman"/>
          <w:b/>
          <w:szCs w:val="24"/>
          <w:lang w:val="pt-BR" w:eastAsia="pt-BR" w:bidi="ar-SA"/>
        </w:rPr>
        <w:t xml:space="preserve">3 </w:t>
      </w:r>
      <w:r>
        <w:rPr>
          <w:rFonts w:eastAsia="Times New Roman" w:cs="Times New Roman"/>
          <w:b/>
          <w:szCs w:val="24"/>
          <w:lang w:val="pt-BR" w:eastAsia="pt-BR" w:bidi="ar-SA"/>
        </w:rPr>
        <w:t>Metodologia</w:t>
      </w:r>
    </w:p>
    <w:p w14:paraId="3948EA34" w14:textId="591B3CC8" w:rsidR="00356C7B" w:rsidRDefault="00356C7B" w:rsidP="00875AA4">
      <w:pPr>
        <w:pStyle w:val="SemEspaamento"/>
        <w:rPr>
          <w:rFonts w:eastAsia="Times New Roman"/>
          <w:lang w:val="pt-BR" w:eastAsia="pt-BR" w:bidi="ar-SA"/>
        </w:rPr>
      </w:pPr>
      <w:r w:rsidRPr="00740B20">
        <w:rPr>
          <w:rFonts w:eastAsia="Times New Roman"/>
          <w:lang w:val="pt-BR" w:eastAsia="pt-BR" w:bidi="ar-SA"/>
        </w:rPr>
        <w:t xml:space="preserve">Este artigo se classifica, segundo seus objetivos, como descritivo. </w:t>
      </w:r>
      <w:r w:rsidR="00875AA4" w:rsidRPr="00F376B0">
        <w:rPr>
          <w:rFonts w:eastAsia="Times New Roman"/>
          <w:lang w:val="pt-BR" w:eastAsia="pt-BR" w:bidi="ar-SA"/>
        </w:rPr>
        <w:t>Para</w:t>
      </w:r>
      <w:r w:rsidR="006D7BD3" w:rsidRPr="00F376B0">
        <w:rPr>
          <w:rFonts w:eastAsia="Times New Roman"/>
          <w:lang w:val="pt-BR" w:eastAsia="pt-BR" w:bidi="ar-SA"/>
        </w:rPr>
        <w:t xml:space="preserve"> </w:t>
      </w:r>
      <w:r w:rsidR="00332557" w:rsidRPr="00F376B0">
        <w:rPr>
          <w:rFonts w:eastAsia="Times New Roman"/>
          <w:lang w:val="pt-BR" w:eastAsia="pt-BR" w:bidi="ar-SA"/>
        </w:rPr>
        <w:t>Gil</w:t>
      </w:r>
      <w:r w:rsidR="006D7BD3" w:rsidRPr="00F376B0">
        <w:rPr>
          <w:rFonts w:eastAsia="Times New Roman"/>
          <w:lang w:val="pt-BR" w:eastAsia="pt-BR" w:bidi="ar-SA"/>
        </w:rPr>
        <w:t xml:space="preserve"> (</w:t>
      </w:r>
      <w:r w:rsidR="003B0C6B" w:rsidRPr="00F376B0">
        <w:rPr>
          <w:rFonts w:eastAsia="Times New Roman"/>
          <w:lang w:val="pt-BR" w:eastAsia="pt-BR" w:bidi="ar-SA"/>
        </w:rPr>
        <w:t>201</w:t>
      </w:r>
      <w:r w:rsidR="00332557" w:rsidRPr="00F376B0">
        <w:rPr>
          <w:rFonts w:eastAsia="Times New Roman"/>
          <w:lang w:val="pt-BR" w:eastAsia="pt-BR" w:bidi="ar-SA"/>
        </w:rPr>
        <w:t>9</w:t>
      </w:r>
      <w:r w:rsidR="006D7BD3" w:rsidRPr="00F376B0">
        <w:rPr>
          <w:rFonts w:eastAsia="Times New Roman"/>
          <w:lang w:val="pt-BR" w:eastAsia="pt-BR" w:bidi="ar-SA"/>
        </w:rPr>
        <w:t>), a</w:t>
      </w:r>
      <w:r w:rsidR="00875AA4" w:rsidRPr="00F376B0">
        <w:rPr>
          <w:rFonts w:eastAsia="Times New Roman"/>
          <w:lang w:val="pt-BR" w:eastAsia="pt-BR" w:bidi="ar-SA"/>
        </w:rPr>
        <w:t xml:space="preserve"> pesquisa descritiva </w:t>
      </w:r>
      <w:r w:rsidR="00332557" w:rsidRPr="00F376B0">
        <w:rPr>
          <w:rFonts w:eastAsia="Times New Roman"/>
          <w:lang w:val="pt-BR" w:eastAsia="pt-BR" w:bidi="ar-SA"/>
        </w:rPr>
        <w:t>tem como objetivo principal descrever características de determinada população ou amostra e de relações entre variáveis utilizando técnicas padronizadas de coletas de dados.</w:t>
      </w:r>
      <w:r w:rsidRPr="00740B20">
        <w:rPr>
          <w:rFonts w:eastAsia="Times New Roman"/>
          <w:lang w:val="pt-BR" w:eastAsia="pt-BR" w:bidi="ar-SA"/>
        </w:rPr>
        <w:t xml:space="preserve"> Quanto aos procedimentos o estudo é classificado como documental (</w:t>
      </w:r>
      <w:r w:rsidR="005A71F3" w:rsidRPr="00740B20">
        <w:rPr>
          <w:rFonts w:eastAsia="Times New Roman"/>
          <w:lang w:val="pt-BR" w:eastAsia="pt-BR" w:bidi="ar-SA"/>
        </w:rPr>
        <w:t>MARTINS</w:t>
      </w:r>
      <w:r w:rsidR="005A71F3">
        <w:rPr>
          <w:rFonts w:eastAsia="Times New Roman"/>
          <w:lang w:val="pt-BR" w:eastAsia="pt-BR" w:bidi="ar-SA"/>
        </w:rPr>
        <w:t xml:space="preserve">; </w:t>
      </w:r>
      <w:r w:rsidR="005A71F3" w:rsidRPr="00740B20">
        <w:rPr>
          <w:rFonts w:eastAsia="Times New Roman"/>
          <w:lang w:val="pt-BR" w:eastAsia="pt-BR" w:bidi="ar-SA"/>
        </w:rPr>
        <w:t>THEÓP</w:t>
      </w:r>
      <w:r w:rsidR="005A71F3">
        <w:rPr>
          <w:rFonts w:eastAsia="Times New Roman"/>
          <w:lang w:val="pt-BR" w:eastAsia="pt-BR" w:bidi="ar-SA"/>
        </w:rPr>
        <w:t>H</w:t>
      </w:r>
      <w:r w:rsidR="005A71F3" w:rsidRPr="00740B20">
        <w:rPr>
          <w:rFonts w:eastAsia="Times New Roman"/>
          <w:lang w:val="pt-BR" w:eastAsia="pt-BR" w:bidi="ar-SA"/>
        </w:rPr>
        <w:t>ILO</w:t>
      </w:r>
      <w:r w:rsidRPr="00740B20">
        <w:rPr>
          <w:rFonts w:eastAsia="Times New Roman"/>
          <w:lang w:val="pt-BR" w:eastAsia="pt-BR" w:bidi="ar-SA"/>
        </w:rPr>
        <w:t xml:space="preserve">, 2009), visto que os dados </w:t>
      </w:r>
      <w:r w:rsidR="00E45D5A">
        <w:rPr>
          <w:rFonts w:eastAsia="Times New Roman"/>
          <w:lang w:val="pt-BR" w:eastAsia="pt-BR" w:bidi="ar-SA"/>
        </w:rPr>
        <w:t>provêm d</w:t>
      </w:r>
      <w:r w:rsidRPr="00740B20">
        <w:rPr>
          <w:rFonts w:eastAsia="Times New Roman"/>
          <w:lang w:val="pt-BR" w:eastAsia="pt-BR" w:bidi="ar-SA"/>
        </w:rPr>
        <w:t>o Balanço Patrimonial</w:t>
      </w:r>
      <w:r>
        <w:rPr>
          <w:rFonts w:eastAsia="Times New Roman"/>
          <w:lang w:val="pt-BR" w:eastAsia="pt-BR" w:bidi="ar-SA"/>
        </w:rPr>
        <w:t xml:space="preserve"> e </w:t>
      </w:r>
      <w:r w:rsidR="00E45D5A">
        <w:rPr>
          <w:rFonts w:eastAsia="Times New Roman"/>
          <w:lang w:val="pt-BR" w:eastAsia="pt-BR" w:bidi="ar-SA"/>
        </w:rPr>
        <w:t>d</w:t>
      </w:r>
      <w:r>
        <w:rPr>
          <w:rFonts w:eastAsia="Times New Roman"/>
          <w:lang w:val="pt-BR" w:eastAsia="pt-BR" w:bidi="ar-SA"/>
        </w:rPr>
        <w:t xml:space="preserve">a Demonstração de Resultado do Exercício. </w:t>
      </w:r>
      <w:r w:rsidRPr="00740B20">
        <w:rPr>
          <w:rFonts w:eastAsia="Times New Roman"/>
          <w:lang w:val="pt-BR" w:eastAsia="pt-BR" w:bidi="ar-SA"/>
        </w:rPr>
        <w:t>Quanto a abordagem, é de natureza quantitativa por se tratar de uma pesquisa que utiliza métodos estatísticos na construção d</w:t>
      </w:r>
      <w:r>
        <w:rPr>
          <w:rFonts w:eastAsia="Times New Roman"/>
          <w:lang w:val="pt-BR" w:eastAsia="pt-BR" w:bidi="ar-SA"/>
        </w:rPr>
        <w:t xml:space="preserve">e </w:t>
      </w:r>
      <w:r w:rsidRPr="00740B20">
        <w:rPr>
          <w:rFonts w:eastAsia="Times New Roman"/>
          <w:lang w:val="pt-BR" w:eastAsia="pt-BR" w:bidi="ar-SA"/>
        </w:rPr>
        <w:t>modelo</w:t>
      </w:r>
      <w:r>
        <w:rPr>
          <w:rFonts w:eastAsia="Times New Roman"/>
          <w:lang w:val="pt-BR" w:eastAsia="pt-BR" w:bidi="ar-SA"/>
        </w:rPr>
        <w:t>s econométricos</w:t>
      </w:r>
      <w:r w:rsidRPr="00740B20">
        <w:rPr>
          <w:rFonts w:eastAsia="Times New Roman"/>
          <w:lang w:val="pt-BR" w:eastAsia="pt-BR" w:bidi="ar-SA"/>
        </w:rPr>
        <w:t>. O</w:t>
      </w:r>
      <w:r>
        <w:rPr>
          <w:rFonts w:eastAsia="Times New Roman"/>
          <w:lang w:val="pt-BR" w:eastAsia="pt-BR" w:bidi="ar-SA"/>
        </w:rPr>
        <w:t>s dado</w:t>
      </w:r>
      <w:r w:rsidRPr="00740B20">
        <w:rPr>
          <w:rFonts w:eastAsia="Times New Roman"/>
          <w:lang w:val="pt-BR" w:eastAsia="pt-BR" w:bidi="ar-SA"/>
        </w:rPr>
        <w:t xml:space="preserve">s </w:t>
      </w:r>
      <w:r>
        <w:rPr>
          <w:rFonts w:eastAsia="Times New Roman"/>
          <w:lang w:val="pt-BR" w:eastAsia="pt-BR" w:bidi="ar-SA"/>
        </w:rPr>
        <w:t>f</w:t>
      </w:r>
      <w:r w:rsidRPr="00740B20">
        <w:rPr>
          <w:rFonts w:eastAsia="Times New Roman"/>
          <w:lang w:val="pt-BR" w:eastAsia="pt-BR" w:bidi="ar-SA"/>
        </w:rPr>
        <w:t>o</w:t>
      </w:r>
      <w:r>
        <w:rPr>
          <w:rFonts w:eastAsia="Times New Roman"/>
          <w:lang w:val="pt-BR" w:eastAsia="pt-BR" w:bidi="ar-SA"/>
        </w:rPr>
        <w:t>ram</w:t>
      </w:r>
      <w:r w:rsidRPr="00740B20">
        <w:rPr>
          <w:rFonts w:eastAsia="Times New Roman"/>
          <w:lang w:val="pt-BR" w:eastAsia="pt-BR" w:bidi="ar-SA"/>
        </w:rPr>
        <w:t xml:space="preserve"> manipulados </w:t>
      </w:r>
      <w:r>
        <w:rPr>
          <w:rFonts w:eastAsia="Times New Roman"/>
          <w:lang w:val="pt-BR" w:eastAsia="pt-BR" w:bidi="ar-SA"/>
        </w:rPr>
        <w:t>n</w:t>
      </w:r>
      <w:r w:rsidRPr="00740B20">
        <w:rPr>
          <w:rFonts w:eastAsia="Times New Roman"/>
          <w:lang w:val="pt-BR" w:eastAsia="pt-BR" w:bidi="ar-SA"/>
        </w:rPr>
        <w:t>o STATA® e a</w:t>
      </w:r>
      <w:r>
        <w:rPr>
          <w:rFonts w:eastAsia="Times New Roman"/>
          <w:lang w:val="pt-BR" w:eastAsia="pt-BR" w:bidi="ar-SA"/>
        </w:rPr>
        <w:t>s</w:t>
      </w:r>
      <w:r w:rsidRPr="00740B20">
        <w:rPr>
          <w:rFonts w:eastAsia="Times New Roman"/>
          <w:lang w:val="pt-BR" w:eastAsia="pt-BR" w:bidi="ar-SA"/>
        </w:rPr>
        <w:t xml:space="preserve"> técnica</w:t>
      </w:r>
      <w:r>
        <w:rPr>
          <w:rFonts w:eastAsia="Times New Roman"/>
          <w:lang w:val="pt-BR" w:eastAsia="pt-BR" w:bidi="ar-SA"/>
        </w:rPr>
        <w:t>s</w:t>
      </w:r>
      <w:r w:rsidRPr="00740B20">
        <w:rPr>
          <w:rFonts w:eastAsia="Times New Roman"/>
          <w:lang w:val="pt-BR" w:eastAsia="pt-BR" w:bidi="ar-SA"/>
        </w:rPr>
        <w:t xml:space="preserve"> empregada</w:t>
      </w:r>
      <w:r>
        <w:rPr>
          <w:rFonts w:eastAsia="Times New Roman"/>
          <w:lang w:val="pt-BR" w:eastAsia="pt-BR" w:bidi="ar-SA"/>
        </w:rPr>
        <w:t>s</w:t>
      </w:r>
      <w:r w:rsidRPr="00740B20">
        <w:rPr>
          <w:rFonts w:eastAsia="Times New Roman"/>
          <w:lang w:val="pt-BR" w:eastAsia="pt-BR" w:bidi="ar-SA"/>
        </w:rPr>
        <w:t xml:space="preserve"> </w:t>
      </w:r>
      <w:r>
        <w:rPr>
          <w:rFonts w:eastAsia="Times New Roman"/>
          <w:lang w:val="pt-BR" w:eastAsia="pt-BR" w:bidi="ar-SA"/>
        </w:rPr>
        <w:t>foram estatística descritiva e a</w:t>
      </w:r>
      <w:r w:rsidRPr="00740B20">
        <w:rPr>
          <w:rFonts w:eastAsia="Times New Roman"/>
          <w:lang w:val="pt-BR" w:eastAsia="pt-BR" w:bidi="ar-SA"/>
        </w:rPr>
        <w:t xml:space="preserve"> regressão </w:t>
      </w:r>
      <w:r>
        <w:rPr>
          <w:rFonts w:eastAsia="Times New Roman"/>
          <w:lang w:val="pt-BR" w:eastAsia="pt-BR" w:bidi="ar-SA"/>
        </w:rPr>
        <w:t>linear múltipla com dados em painel.</w:t>
      </w:r>
    </w:p>
    <w:p w14:paraId="3D4D98CB" w14:textId="77777777" w:rsidR="00BE39BA" w:rsidRDefault="00356C7B" w:rsidP="00356C7B">
      <w:pPr>
        <w:pStyle w:val="SemEspaamento"/>
        <w:rPr>
          <w:rFonts w:eastAsia="Times New Roman" w:cs="Times New Roman"/>
          <w:szCs w:val="24"/>
          <w:lang w:val="pt-BR" w:eastAsia="pt-BR" w:bidi="ar-SA"/>
        </w:rPr>
      </w:pPr>
      <w:r>
        <w:rPr>
          <w:rFonts w:eastAsia="Times New Roman" w:cs="Times New Roman"/>
          <w:szCs w:val="24"/>
          <w:lang w:val="pt-BR" w:eastAsia="pt-BR" w:bidi="ar-SA"/>
        </w:rPr>
        <w:t xml:space="preserve">A amostra foi composta pelas empresas brasileiras de capital aberto que integram o subsetor “Bancos” de acordo com a classificação da B3. As cotações das ações foram coletadas no </w:t>
      </w:r>
      <w:r w:rsidRPr="00CE4B37">
        <w:rPr>
          <w:rFonts w:eastAsia="Times New Roman" w:cs="Times New Roman"/>
          <w:i/>
          <w:szCs w:val="24"/>
          <w:lang w:val="pt-BR" w:eastAsia="pt-BR" w:bidi="ar-SA"/>
        </w:rPr>
        <w:t>site</w:t>
      </w:r>
      <w:r>
        <w:rPr>
          <w:rFonts w:eastAsia="Times New Roman" w:cs="Times New Roman"/>
          <w:szCs w:val="24"/>
          <w:lang w:val="pt-BR" w:eastAsia="pt-BR" w:bidi="ar-SA"/>
        </w:rPr>
        <w:t xml:space="preserve"> </w:t>
      </w:r>
      <w:r w:rsidRPr="00CE4B37">
        <w:rPr>
          <w:rFonts w:eastAsia="Times New Roman" w:cs="Times New Roman"/>
          <w:i/>
          <w:szCs w:val="24"/>
          <w:lang w:val="pt-BR" w:eastAsia="pt-BR" w:bidi="ar-SA"/>
        </w:rPr>
        <w:t xml:space="preserve">Yahoo </w:t>
      </w:r>
      <w:proofErr w:type="spellStart"/>
      <w:r w:rsidRPr="00CE4B37">
        <w:rPr>
          <w:rFonts w:eastAsia="Times New Roman" w:cs="Times New Roman"/>
          <w:i/>
          <w:szCs w:val="24"/>
          <w:lang w:val="pt-BR" w:eastAsia="pt-BR" w:bidi="ar-SA"/>
        </w:rPr>
        <w:t>Finance</w:t>
      </w:r>
      <w:proofErr w:type="spellEnd"/>
      <w:r>
        <w:rPr>
          <w:rFonts w:eastAsia="Times New Roman" w:cs="Times New Roman"/>
          <w:szCs w:val="24"/>
          <w:lang w:val="pt-BR" w:eastAsia="pt-BR" w:bidi="ar-SA"/>
        </w:rPr>
        <w:t xml:space="preserve"> e os demais dados necessários foram coletados no </w:t>
      </w:r>
      <w:proofErr w:type="spellStart"/>
      <w:r>
        <w:rPr>
          <w:rFonts w:eastAsia="Times New Roman" w:cs="Times New Roman"/>
          <w:szCs w:val="24"/>
          <w:lang w:val="pt-BR" w:eastAsia="pt-BR" w:bidi="ar-SA"/>
        </w:rPr>
        <w:t>Economática</w:t>
      </w:r>
      <w:proofErr w:type="spellEnd"/>
      <w:r>
        <w:rPr>
          <w:rFonts w:eastAsia="Times New Roman" w:cs="Times New Roman"/>
          <w:szCs w:val="24"/>
          <w:lang w:val="pt-BR" w:eastAsia="pt-BR" w:bidi="ar-SA"/>
        </w:rPr>
        <w:t>. O período de análise foi do primeiro trimestre de 2016 até o primeiro trimestre de 2019 com periodicidade trimestral.</w:t>
      </w:r>
      <w:r w:rsidR="00875AA4">
        <w:rPr>
          <w:rFonts w:eastAsia="Times New Roman" w:cs="Times New Roman"/>
          <w:szCs w:val="24"/>
          <w:lang w:val="pt-BR" w:eastAsia="pt-BR" w:bidi="ar-SA"/>
        </w:rPr>
        <w:t xml:space="preserve"> A escolha de um período curto de tempo para </w:t>
      </w:r>
      <w:r w:rsidR="006D7BD3">
        <w:rPr>
          <w:rFonts w:eastAsia="Times New Roman" w:cs="Times New Roman"/>
          <w:szCs w:val="24"/>
          <w:lang w:val="pt-BR" w:eastAsia="pt-BR" w:bidi="ar-SA"/>
        </w:rPr>
        <w:t>a</w:t>
      </w:r>
      <w:r w:rsidR="00875AA4">
        <w:rPr>
          <w:rFonts w:eastAsia="Times New Roman" w:cs="Times New Roman"/>
          <w:szCs w:val="24"/>
          <w:lang w:val="pt-BR" w:eastAsia="pt-BR" w:bidi="ar-SA"/>
        </w:rPr>
        <w:t xml:space="preserve"> realiza</w:t>
      </w:r>
      <w:r w:rsidR="006D7BD3">
        <w:rPr>
          <w:rFonts w:eastAsia="Times New Roman" w:cs="Times New Roman"/>
          <w:szCs w:val="24"/>
          <w:lang w:val="pt-BR" w:eastAsia="pt-BR" w:bidi="ar-SA"/>
        </w:rPr>
        <w:t>ção d</w:t>
      </w:r>
      <w:r w:rsidR="00875AA4">
        <w:rPr>
          <w:rFonts w:eastAsia="Times New Roman" w:cs="Times New Roman"/>
          <w:szCs w:val="24"/>
          <w:lang w:val="pt-BR" w:eastAsia="pt-BR" w:bidi="ar-SA"/>
        </w:rPr>
        <w:t xml:space="preserve">a análise deve-se à tentativa de se trabalhar com dados com dispersão </w:t>
      </w:r>
      <w:r w:rsidR="006D7BD3">
        <w:rPr>
          <w:rFonts w:eastAsia="Times New Roman" w:cs="Times New Roman"/>
          <w:szCs w:val="24"/>
          <w:lang w:val="pt-BR" w:eastAsia="pt-BR" w:bidi="ar-SA"/>
        </w:rPr>
        <w:t xml:space="preserve">baixa a </w:t>
      </w:r>
      <w:r w:rsidR="00875AA4">
        <w:rPr>
          <w:rFonts w:eastAsia="Times New Roman" w:cs="Times New Roman"/>
          <w:szCs w:val="24"/>
          <w:lang w:val="pt-BR" w:eastAsia="pt-BR" w:bidi="ar-SA"/>
        </w:rPr>
        <w:t>moderada, já que o valor da ação tende a ter alta volatilidade ao longo dos anos</w:t>
      </w:r>
      <w:r w:rsidR="006D7BD3">
        <w:rPr>
          <w:rFonts w:eastAsia="Times New Roman" w:cs="Times New Roman"/>
          <w:szCs w:val="24"/>
          <w:lang w:val="pt-BR" w:eastAsia="pt-BR" w:bidi="ar-SA"/>
        </w:rPr>
        <w:t xml:space="preserve">. Como se trata de um estudo que envolve previsão do </w:t>
      </w:r>
      <w:proofErr w:type="spellStart"/>
      <w:r w:rsidR="006D7BD3" w:rsidRPr="006D7BD3">
        <w:rPr>
          <w:rFonts w:eastAsia="Times New Roman" w:cs="Times New Roman"/>
          <w:i/>
          <w:szCs w:val="24"/>
          <w:lang w:val="pt-BR" w:eastAsia="pt-BR" w:bidi="ar-SA"/>
        </w:rPr>
        <w:t>valuation</w:t>
      </w:r>
      <w:proofErr w:type="spellEnd"/>
      <w:r w:rsidR="006D7BD3">
        <w:rPr>
          <w:rFonts w:eastAsia="Times New Roman" w:cs="Times New Roman"/>
          <w:szCs w:val="24"/>
          <w:lang w:val="pt-BR" w:eastAsia="pt-BR" w:bidi="ar-SA"/>
        </w:rPr>
        <w:t>, preferiu-se empregar dados a curto prazo.</w:t>
      </w:r>
    </w:p>
    <w:p w14:paraId="39409509" w14:textId="77777777" w:rsidR="00356C7B" w:rsidRDefault="00356C7B" w:rsidP="00356C7B">
      <w:pPr>
        <w:spacing w:before="0" w:after="0" w:line="240" w:lineRule="auto"/>
        <w:rPr>
          <w:rFonts w:eastAsia="Times New Roman" w:cs="Times New Roman"/>
          <w:szCs w:val="24"/>
          <w:lang w:val="pt-BR" w:eastAsia="pt-BR"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2"/>
        <w:gridCol w:w="1165"/>
        <w:gridCol w:w="1743"/>
        <w:gridCol w:w="1165"/>
        <w:gridCol w:w="1903"/>
        <w:gridCol w:w="1163"/>
      </w:tblGrid>
      <w:tr w:rsidR="00356C7B" w:rsidRPr="00733555" w14:paraId="0A41ECCD" w14:textId="77777777" w:rsidTr="00356C7B">
        <w:trPr>
          <w:trHeight w:val="255"/>
        </w:trPr>
        <w:tc>
          <w:tcPr>
            <w:tcW w:w="1060" w:type="pct"/>
            <w:shd w:val="clear" w:color="000000" w:fill="FFFFFF"/>
            <w:noWrap/>
            <w:vAlign w:val="bottom"/>
          </w:tcPr>
          <w:p w14:paraId="7DA24F89" w14:textId="77777777" w:rsidR="00356C7B" w:rsidRPr="00733555" w:rsidRDefault="00356C7B" w:rsidP="00356C7B">
            <w:pPr>
              <w:spacing w:before="0" w:after="0" w:line="240" w:lineRule="auto"/>
              <w:jc w:val="left"/>
              <w:rPr>
                <w:rFonts w:eastAsia="Times New Roman" w:cs="Times New Roman"/>
                <w:color w:val="000000"/>
                <w:sz w:val="20"/>
                <w:szCs w:val="20"/>
                <w:lang w:val="pt-BR" w:eastAsia="pt-BR" w:bidi="ar-SA"/>
              </w:rPr>
            </w:pPr>
            <w:r>
              <w:rPr>
                <w:rFonts w:eastAsia="Times New Roman" w:cs="Times New Roman"/>
                <w:color w:val="000000"/>
                <w:sz w:val="20"/>
                <w:szCs w:val="20"/>
                <w:lang w:val="pt-BR" w:eastAsia="pt-BR" w:bidi="ar-SA"/>
              </w:rPr>
              <w:t>Banco</w:t>
            </w:r>
          </w:p>
        </w:tc>
        <w:tc>
          <w:tcPr>
            <w:tcW w:w="643" w:type="pct"/>
            <w:shd w:val="clear" w:color="000000" w:fill="FFFFFF"/>
            <w:noWrap/>
            <w:vAlign w:val="bottom"/>
          </w:tcPr>
          <w:p w14:paraId="56D22FBB" w14:textId="77777777" w:rsidR="00356C7B" w:rsidRPr="00733555" w:rsidRDefault="00356C7B" w:rsidP="00356C7B">
            <w:pPr>
              <w:spacing w:before="0" w:after="0" w:line="240" w:lineRule="auto"/>
              <w:jc w:val="center"/>
              <w:rPr>
                <w:rFonts w:eastAsia="Times New Roman" w:cs="Times New Roman"/>
                <w:color w:val="000000"/>
                <w:sz w:val="20"/>
                <w:szCs w:val="20"/>
                <w:lang w:val="pt-BR" w:eastAsia="pt-BR" w:bidi="ar-SA"/>
              </w:rPr>
            </w:pPr>
            <w:r>
              <w:rPr>
                <w:rFonts w:eastAsia="Times New Roman" w:cs="Times New Roman"/>
                <w:color w:val="000000"/>
                <w:sz w:val="20"/>
                <w:szCs w:val="20"/>
                <w:lang w:val="pt-BR" w:eastAsia="pt-BR" w:bidi="ar-SA"/>
              </w:rPr>
              <w:t>Código</w:t>
            </w:r>
          </w:p>
        </w:tc>
        <w:tc>
          <w:tcPr>
            <w:tcW w:w="962" w:type="pct"/>
            <w:shd w:val="clear" w:color="000000" w:fill="FFFFFF"/>
          </w:tcPr>
          <w:p w14:paraId="587E079A" w14:textId="77777777" w:rsidR="00356C7B" w:rsidRDefault="00356C7B" w:rsidP="00356C7B">
            <w:pPr>
              <w:spacing w:before="0" w:after="0" w:line="240" w:lineRule="auto"/>
              <w:jc w:val="center"/>
              <w:rPr>
                <w:rFonts w:eastAsia="Times New Roman" w:cs="Times New Roman"/>
                <w:color w:val="000000"/>
                <w:sz w:val="20"/>
                <w:szCs w:val="20"/>
                <w:lang w:val="pt-BR" w:eastAsia="pt-BR" w:bidi="ar-SA"/>
              </w:rPr>
            </w:pPr>
            <w:r>
              <w:rPr>
                <w:rFonts w:eastAsia="Times New Roman" w:cs="Times New Roman"/>
                <w:color w:val="000000"/>
                <w:sz w:val="20"/>
                <w:szCs w:val="20"/>
                <w:lang w:val="pt-BR" w:eastAsia="pt-BR" w:bidi="ar-SA"/>
              </w:rPr>
              <w:t>Banco</w:t>
            </w:r>
          </w:p>
        </w:tc>
        <w:tc>
          <w:tcPr>
            <w:tcW w:w="643" w:type="pct"/>
            <w:shd w:val="clear" w:color="000000" w:fill="FFFFFF"/>
          </w:tcPr>
          <w:p w14:paraId="75F683A5" w14:textId="77777777" w:rsidR="00356C7B" w:rsidRDefault="00356C7B" w:rsidP="00356C7B">
            <w:pPr>
              <w:spacing w:before="0" w:after="0" w:line="240" w:lineRule="auto"/>
              <w:jc w:val="center"/>
              <w:rPr>
                <w:rFonts w:eastAsia="Times New Roman" w:cs="Times New Roman"/>
                <w:color w:val="000000"/>
                <w:sz w:val="20"/>
                <w:szCs w:val="20"/>
                <w:lang w:val="pt-BR" w:eastAsia="pt-BR" w:bidi="ar-SA"/>
              </w:rPr>
            </w:pPr>
            <w:r>
              <w:rPr>
                <w:rFonts w:eastAsia="Times New Roman" w:cs="Times New Roman"/>
                <w:color w:val="000000"/>
                <w:sz w:val="20"/>
                <w:szCs w:val="20"/>
                <w:lang w:val="pt-BR" w:eastAsia="pt-BR" w:bidi="ar-SA"/>
              </w:rPr>
              <w:t>Código</w:t>
            </w:r>
          </w:p>
        </w:tc>
        <w:tc>
          <w:tcPr>
            <w:tcW w:w="1050" w:type="pct"/>
            <w:shd w:val="clear" w:color="000000" w:fill="FFFFFF"/>
          </w:tcPr>
          <w:p w14:paraId="0D2555F1" w14:textId="77777777" w:rsidR="00356C7B" w:rsidRDefault="00356C7B" w:rsidP="00356C7B">
            <w:pPr>
              <w:spacing w:before="0" w:after="0" w:line="240" w:lineRule="auto"/>
              <w:jc w:val="center"/>
              <w:rPr>
                <w:rFonts w:eastAsia="Times New Roman" w:cs="Times New Roman"/>
                <w:color w:val="000000"/>
                <w:sz w:val="20"/>
                <w:szCs w:val="20"/>
                <w:lang w:val="pt-BR" w:eastAsia="pt-BR" w:bidi="ar-SA"/>
              </w:rPr>
            </w:pPr>
            <w:r>
              <w:rPr>
                <w:rFonts w:eastAsia="Times New Roman" w:cs="Times New Roman"/>
                <w:color w:val="000000"/>
                <w:sz w:val="20"/>
                <w:szCs w:val="20"/>
                <w:lang w:val="pt-BR" w:eastAsia="pt-BR" w:bidi="ar-SA"/>
              </w:rPr>
              <w:t>Banco</w:t>
            </w:r>
          </w:p>
        </w:tc>
        <w:tc>
          <w:tcPr>
            <w:tcW w:w="642" w:type="pct"/>
            <w:shd w:val="clear" w:color="000000" w:fill="FFFFFF"/>
          </w:tcPr>
          <w:p w14:paraId="6C5EC1E9" w14:textId="77777777" w:rsidR="00356C7B" w:rsidRDefault="00356C7B" w:rsidP="00356C7B">
            <w:pPr>
              <w:spacing w:before="0" w:after="0" w:line="240" w:lineRule="auto"/>
              <w:jc w:val="center"/>
              <w:rPr>
                <w:rFonts w:eastAsia="Times New Roman" w:cs="Times New Roman"/>
                <w:color w:val="000000"/>
                <w:sz w:val="20"/>
                <w:szCs w:val="20"/>
                <w:lang w:val="pt-BR" w:eastAsia="pt-BR" w:bidi="ar-SA"/>
              </w:rPr>
            </w:pPr>
            <w:r>
              <w:rPr>
                <w:rFonts w:eastAsia="Times New Roman" w:cs="Times New Roman"/>
                <w:color w:val="000000"/>
                <w:sz w:val="20"/>
                <w:szCs w:val="20"/>
                <w:lang w:val="pt-BR" w:eastAsia="pt-BR" w:bidi="ar-SA"/>
              </w:rPr>
              <w:t>Código</w:t>
            </w:r>
          </w:p>
        </w:tc>
      </w:tr>
      <w:tr w:rsidR="00356C7B" w:rsidRPr="00733555" w14:paraId="5C585025" w14:textId="77777777" w:rsidTr="00356C7B">
        <w:trPr>
          <w:trHeight w:val="255"/>
        </w:trPr>
        <w:tc>
          <w:tcPr>
            <w:tcW w:w="1060" w:type="pct"/>
            <w:shd w:val="clear" w:color="000000" w:fill="FFFFFF"/>
            <w:noWrap/>
            <w:vAlign w:val="bottom"/>
            <w:hideMark/>
          </w:tcPr>
          <w:p w14:paraId="1E263058" w14:textId="77777777" w:rsidR="00356C7B" w:rsidRPr="00733555" w:rsidRDefault="00356C7B" w:rsidP="00356C7B">
            <w:pPr>
              <w:spacing w:before="0" w:after="0" w:line="240" w:lineRule="auto"/>
              <w:jc w:val="left"/>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 xml:space="preserve">Abc Brasil  </w:t>
            </w:r>
          </w:p>
        </w:tc>
        <w:tc>
          <w:tcPr>
            <w:tcW w:w="643" w:type="pct"/>
            <w:shd w:val="clear" w:color="000000" w:fill="FFFFFF"/>
            <w:noWrap/>
            <w:vAlign w:val="bottom"/>
            <w:hideMark/>
          </w:tcPr>
          <w:p w14:paraId="3A195877" w14:textId="77777777" w:rsidR="00356C7B" w:rsidRPr="00733555" w:rsidRDefault="00356C7B" w:rsidP="00356C7B">
            <w:pPr>
              <w:spacing w:before="0" w:after="0" w:line="240" w:lineRule="auto"/>
              <w:jc w:val="center"/>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ABCB</w:t>
            </w:r>
          </w:p>
        </w:tc>
        <w:tc>
          <w:tcPr>
            <w:tcW w:w="962" w:type="pct"/>
            <w:shd w:val="clear" w:color="000000" w:fill="FFFFFF"/>
            <w:vAlign w:val="bottom"/>
          </w:tcPr>
          <w:p w14:paraId="7963A56B" w14:textId="77777777" w:rsidR="00356C7B" w:rsidRPr="00733555" w:rsidRDefault="00356C7B" w:rsidP="00356C7B">
            <w:pPr>
              <w:spacing w:before="0" w:after="0" w:line="240" w:lineRule="auto"/>
              <w:jc w:val="left"/>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 xml:space="preserve">Banrisul    </w:t>
            </w:r>
          </w:p>
        </w:tc>
        <w:tc>
          <w:tcPr>
            <w:tcW w:w="643" w:type="pct"/>
            <w:shd w:val="clear" w:color="000000" w:fill="FFFFFF"/>
            <w:vAlign w:val="bottom"/>
          </w:tcPr>
          <w:p w14:paraId="7ECDF20D" w14:textId="77777777" w:rsidR="00356C7B" w:rsidRPr="00733555" w:rsidRDefault="00356C7B" w:rsidP="00356C7B">
            <w:pPr>
              <w:spacing w:before="0" w:after="0" w:line="240" w:lineRule="auto"/>
              <w:jc w:val="center"/>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BRSR</w:t>
            </w:r>
          </w:p>
        </w:tc>
        <w:tc>
          <w:tcPr>
            <w:tcW w:w="1050" w:type="pct"/>
            <w:shd w:val="clear" w:color="000000" w:fill="FFFFFF"/>
            <w:vAlign w:val="bottom"/>
          </w:tcPr>
          <w:p w14:paraId="3DCBEA6A" w14:textId="77777777" w:rsidR="00356C7B" w:rsidRPr="00733555" w:rsidRDefault="00356C7B" w:rsidP="00356C7B">
            <w:pPr>
              <w:spacing w:before="0" w:after="0" w:line="240" w:lineRule="auto"/>
              <w:jc w:val="left"/>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 xml:space="preserve">Itausa      </w:t>
            </w:r>
          </w:p>
        </w:tc>
        <w:tc>
          <w:tcPr>
            <w:tcW w:w="642" w:type="pct"/>
            <w:shd w:val="clear" w:color="000000" w:fill="FFFFFF"/>
            <w:vAlign w:val="bottom"/>
          </w:tcPr>
          <w:p w14:paraId="52ECAA91" w14:textId="77777777" w:rsidR="00356C7B" w:rsidRPr="00733555" w:rsidRDefault="00356C7B" w:rsidP="00356C7B">
            <w:pPr>
              <w:spacing w:before="0" w:after="0" w:line="240" w:lineRule="auto"/>
              <w:jc w:val="center"/>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ITSA</w:t>
            </w:r>
          </w:p>
        </w:tc>
      </w:tr>
      <w:tr w:rsidR="00356C7B" w:rsidRPr="00733555" w14:paraId="29AD97C6" w14:textId="77777777" w:rsidTr="00356C7B">
        <w:trPr>
          <w:trHeight w:val="255"/>
        </w:trPr>
        <w:tc>
          <w:tcPr>
            <w:tcW w:w="1060" w:type="pct"/>
            <w:shd w:val="clear" w:color="000000" w:fill="FFFFFF"/>
            <w:noWrap/>
            <w:vAlign w:val="bottom"/>
            <w:hideMark/>
          </w:tcPr>
          <w:p w14:paraId="4307829E" w14:textId="77777777" w:rsidR="00356C7B" w:rsidRPr="00733555" w:rsidRDefault="00356C7B" w:rsidP="00356C7B">
            <w:pPr>
              <w:spacing w:before="0" w:after="0" w:line="240" w:lineRule="auto"/>
              <w:jc w:val="left"/>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Alfa Holding</w:t>
            </w:r>
          </w:p>
        </w:tc>
        <w:tc>
          <w:tcPr>
            <w:tcW w:w="643" w:type="pct"/>
            <w:shd w:val="clear" w:color="000000" w:fill="FFFFFF"/>
            <w:noWrap/>
            <w:vAlign w:val="bottom"/>
            <w:hideMark/>
          </w:tcPr>
          <w:p w14:paraId="122AC5D0" w14:textId="77777777" w:rsidR="00356C7B" w:rsidRPr="00733555" w:rsidRDefault="00356C7B" w:rsidP="00356C7B">
            <w:pPr>
              <w:spacing w:before="0" w:after="0" w:line="240" w:lineRule="auto"/>
              <w:jc w:val="center"/>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RPAD</w:t>
            </w:r>
          </w:p>
        </w:tc>
        <w:tc>
          <w:tcPr>
            <w:tcW w:w="962" w:type="pct"/>
            <w:shd w:val="clear" w:color="000000" w:fill="FFFFFF"/>
            <w:vAlign w:val="bottom"/>
          </w:tcPr>
          <w:p w14:paraId="0DF36AF2" w14:textId="77777777" w:rsidR="00356C7B" w:rsidRPr="00733555" w:rsidRDefault="00356C7B" w:rsidP="00356C7B">
            <w:pPr>
              <w:spacing w:before="0" w:after="0" w:line="240" w:lineRule="auto"/>
              <w:jc w:val="left"/>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 xml:space="preserve">Bradesco    </w:t>
            </w:r>
          </w:p>
        </w:tc>
        <w:tc>
          <w:tcPr>
            <w:tcW w:w="643" w:type="pct"/>
            <w:shd w:val="clear" w:color="000000" w:fill="FFFFFF"/>
            <w:vAlign w:val="bottom"/>
          </w:tcPr>
          <w:p w14:paraId="4E5A8A19" w14:textId="77777777" w:rsidR="00356C7B" w:rsidRPr="00733555" w:rsidRDefault="00356C7B" w:rsidP="00356C7B">
            <w:pPr>
              <w:spacing w:before="0" w:after="0" w:line="240" w:lineRule="auto"/>
              <w:jc w:val="center"/>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BBDC</w:t>
            </w:r>
          </w:p>
        </w:tc>
        <w:tc>
          <w:tcPr>
            <w:tcW w:w="1050" w:type="pct"/>
            <w:shd w:val="clear" w:color="000000" w:fill="FFFFFF"/>
            <w:vAlign w:val="bottom"/>
          </w:tcPr>
          <w:p w14:paraId="0270C62A" w14:textId="77777777" w:rsidR="00356C7B" w:rsidRPr="00733555" w:rsidRDefault="00356C7B" w:rsidP="00356C7B">
            <w:pPr>
              <w:spacing w:before="0" w:after="0" w:line="240" w:lineRule="auto"/>
              <w:jc w:val="left"/>
              <w:rPr>
                <w:rFonts w:eastAsia="Times New Roman" w:cs="Times New Roman"/>
                <w:color w:val="000000"/>
                <w:sz w:val="20"/>
                <w:szCs w:val="20"/>
                <w:lang w:val="pt-BR" w:eastAsia="pt-BR" w:bidi="ar-SA"/>
              </w:rPr>
            </w:pPr>
            <w:proofErr w:type="spellStart"/>
            <w:r w:rsidRPr="00733555">
              <w:rPr>
                <w:rFonts w:eastAsia="Times New Roman" w:cs="Times New Roman"/>
                <w:color w:val="000000"/>
                <w:sz w:val="20"/>
                <w:szCs w:val="20"/>
                <w:lang w:val="pt-BR" w:eastAsia="pt-BR" w:bidi="ar-SA"/>
              </w:rPr>
              <w:t>Itauunibanco</w:t>
            </w:r>
            <w:proofErr w:type="spellEnd"/>
          </w:p>
        </w:tc>
        <w:tc>
          <w:tcPr>
            <w:tcW w:w="642" w:type="pct"/>
            <w:shd w:val="clear" w:color="000000" w:fill="FFFFFF"/>
            <w:vAlign w:val="bottom"/>
          </w:tcPr>
          <w:p w14:paraId="3B6EEE02" w14:textId="77777777" w:rsidR="00356C7B" w:rsidRPr="00733555" w:rsidRDefault="00356C7B" w:rsidP="00356C7B">
            <w:pPr>
              <w:spacing w:before="0" w:after="0" w:line="240" w:lineRule="auto"/>
              <w:jc w:val="center"/>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ITUB</w:t>
            </w:r>
          </w:p>
        </w:tc>
      </w:tr>
      <w:tr w:rsidR="00356C7B" w:rsidRPr="00733555" w14:paraId="2FF5F8A4" w14:textId="77777777" w:rsidTr="00356C7B">
        <w:trPr>
          <w:trHeight w:val="255"/>
        </w:trPr>
        <w:tc>
          <w:tcPr>
            <w:tcW w:w="1060" w:type="pct"/>
            <w:shd w:val="clear" w:color="000000" w:fill="FFFFFF"/>
            <w:noWrap/>
            <w:vAlign w:val="bottom"/>
            <w:hideMark/>
          </w:tcPr>
          <w:p w14:paraId="03A457A2" w14:textId="77777777" w:rsidR="00356C7B" w:rsidRPr="00733555" w:rsidRDefault="00356C7B" w:rsidP="00356C7B">
            <w:pPr>
              <w:spacing w:before="0" w:after="0" w:line="240" w:lineRule="auto"/>
              <w:jc w:val="left"/>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 xml:space="preserve">Alfa </w:t>
            </w:r>
            <w:proofErr w:type="spellStart"/>
            <w:r w:rsidRPr="00733555">
              <w:rPr>
                <w:rFonts w:eastAsia="Times New Roman" w:cs="Times New Roman"/>
                <w:color w:val="000000"/>
                <w:sz w:val="20"/>
                <w:szCs w:val="20"/>
                <w:lang w:val="pt-BR" w:eastAsia="pt-BR" w:bidi="ar-SA"/>
              </w:rPr>
              <w:t>Invest</w:t>
            </w:r>
            <w:proofErr w:type="spellEnd"/>
            <w:r w:rsidRPr="00733555">
              <w:rPr>
                <w:rFonts w:eastAsia="Times New Roman" w:cs="Times New Roman"/>
                <w:color w:val="000000"/>
                <w:sz w:val="20"/>
                <w:szCs w:val="20"/>
                <w:lang w:val="pt-BR" w:eastAsia="pt-BR" w:bidi="ar-SA"/>
              </w:rPr>
              <w:t xml:space="preserve"> </w:t>
            </w:r>
          </w:p>
        </w:tc>
        <w:tc>
          <w:tcPr>
            <w:tcW w:w="643" w:type="pct"/>
            <w:shd w:val="clear" w:color="000000" w:fill="FFFFFF"/>
            <w:noWrap/>
            <w:vAlign w:val="bottom"/>
            <w:hideMark/>
          </w:tcPr>
          <w:p w14:paraId="52C28704" w14:textId="77777777" w:rsidR="00356C7B" w:rsidRPr="00733555" w:rsidRDefault="00356C7B" w:rsidP="00356C7B">
            <w:pPr>
              <w:spacing w:before="0" w:after="0" w:line="240" w:lineRule="auto"/>
              <w:jc w:val="center"/>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BRIV</w:t>
            </w:r>
          </w:p>
        </w:tc>
        <w:tc>
          <w:tcPr>
            <w:tcW w:w="962" w:type="pct"/>
            <w:shd w:val="clear" w:color="000000" w:fill="FFFFFF"/>
            <w:vAlign w:val="bottom"/>
          </w:tcPr>
          <w:p w14:paraId="0BC281E4" w14:textId="77777777" w:rsidR="00356C7B" w:rsidRPr="00733555" w:rsidRDefault="00356C7B" w:rsidP="00356C7B">
            <w:pPr>
              <w:spacing w:before="0" w:after="0" w:line="240" w:lineRule="auto"/>
              <w:jc w:val="left"/>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 xml:space="preserve">Brasil      </w:t>
            </w:r>
          </w:p>
        </w:tc>
        <w:tc>
          <w:tcPr>
            <w:tcW w:w="643" w:type="pct"/>
            <w:shd w:val="clear" w:color="000000" w:fill="FFFFFF"/>
            <w:vAlign w:val="bottom"/>
          </w:tcPr>
          <w:p w14:paraId="3FFDCEB6" w14:textId="77777777" w:rsidR="00356C7B" w:rsidRPr="00733555" w:rsidRDefault="00356C7B" w:rsidP="00356C7B">
            <w:pPr>
              <w:spacing w:before="0" w:after="0" w:line="240" w:lineRule="auto"/>
              <w:jc w:val="center"/>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BBAS</w:t>
            </w:r>
          </w:p>
        </w:tc>
        <w:tc>
          <w:tcPr>
            <w:tcW w:w="1050" w:type="pct"/>
            <w:shd w:val="clear" w:color="000000" w:fill="FFFFFF"/>
            <w:vAlign w:val="bottom"/>
          </w:tcPr>
          <w:p w14:paraId="06EFEF84" w14:textId="77777777" w:rsidR="00356C7B" w:rsidRPr="00733555" w:rsidRDefault="00356C7B" w:rsidP="00356C7B">
            <w:pPr>
              <w:spacing w:before="0" w:after="0" w:line="240" w:lineRule="auto"/>
              <w:jc w:val="left"/>
              <w:rPr>
                <w:rFonts w:eastAsia="Times New Roman" w:cs="Times New Roman"/>
                <w:color w:val="000000"/>
                <w:sz w:val="20"/>
                <w:szCs w:val="20"/>
                <w:lang w:val="pt-BR" w:eastAsia="pt-BR" w:bidi="ar-SA"/>
              </w:rPr>
            </w:pPr>
            <w:proofErr w:type="spellStart"/>
            <w:r w:rsidRPr="00733555">
              <w:rPr>
                <w:rFonts w:eastAsia="Times New Roman" w:cs="Times New Roman"/>
                <w:color w:val="000000"/>
                <w:sz w:val="20"/>
                <w:szCs w:val="20"/>
                <w:lang w:val="pt-BR" w:eastAsia="pt-BR" w:bidi="ar-SA"/>
              </w:rPr>
              <w:t>Merc</w:t>
            </w:r>
            <w:proofErr w:type="spellEnd"/>
            <w:r w:rsidRPr="00733555">
              <w:rPr>
                <w:rFonts w:eastAsia="Times New Roman" w:cs="Times New Roman"/>
                <w:color w:val="000000"/>
                <w:sz w:val="20"/>
                <w:szCs w:val="20"/>
                <w:lang w:val="pt-BR" w:eastAsia="pt-BR" w:bidi="ar-SA"/>
              </w:rPr>
              <w:t xml:space="preserve"> Brasil </w:t>
            </w:r>
          </w:p>
        </w:tc>
        <w:tc>
          <w:tcPr>
            <w:tcW w:w="642" w:type="pct"/>
            <w:shd w:val="clear" w:color="000000" w:fill="FFFFFF"/>
            <w:vAlign w:val="bottom"/>
          </w:tcPr>
          <w:p w14:paraId="3DC454CC" w14:textId="77777777" w:rsidR="00356C7B" w:rsidRPr="00733555" w:rsidRDefault="00356C7B" w:rsidP="00356C7B">
            <w:pPr>
              <w:spacing w:before="0" w:after="0" w:line="240" w:lineRule="auto"/>
              <w:jc w:val="center"/>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BMEB</w:t>
            </w:r>
          </w:p>
        </w:tc>
      </w:tr>
      <w:tr w:rsidR="00356C7B" w:rsidRPr="00733555" w14:paraId="15C8F43D" w14:textId="77777777" w:rsidTr="00356C7B">
        <w:trPr>
          <w:trHeight w:val="255"/>
        </w:trPr>
        <w:tc>
          <w:tcPr>
            <w:tcW w:w="1060" w:type="pct"/>
            <w:shd w:val="clear" w:color="000000" w:fill="FFFFFF"/>
            <w:noWrap/>
            <w:vAlign w:val="bottom"/>
            <w:hideMark/>
          </w:tcPr>
          <w:p w14:paraId="0A507FF3" w14:textId="77777777" w:rsidR="00356C7B" w:rsidRPr="00733555" w:rsidRDefault="00356C7B" w:rsidP="00356C7B">
            <w:pPr>
              <w:spacing w:before="0" w:after="0" w:line="240" w:lineRule="auto"/>
              <w:jc w:val="left"/>
              <w:rPr>
                <w:rFonts w:eastAsia="Times New Roman" w:cs="Times New Roman"/>
                <w:color w:val="000000"/>
                <w:sz w:val="20"/>
                <w:szCs w:val="20"/>
                <w:lang w:val="pt-BR" w:eastAsia="pt-BR" w:bidi="ar-SA"/>
              </w:rPr>
            </w:pPr>
            <w:proofErr w:type="spellStart"/>
            <w:r w:rsidRPr="00733555">
              <w:rPr>
                <w:rFonts w:eastAsia="Times New Roman" w:cs="Times New Roman"/>
                <w:color w:val="000000"/>
                <w:sz w:val="20"/>
                <w:szCs w:val="20"/>
                <w:lang w:val="pt-BR" w:eastAsia="pt-BR" w:bidi="ar-SA"/>
              </w:rPr>
              <w:t>Amazonia</w:t>
            </w:r>
            <w:proofErr w:type="spellEnd"/>
            <w:r w:rsidRPr="00733555">
              <w:rPr>
                <w:rFonts w:eastAsia="Times New Roman" w:cs="Times New Roman"/>
                <w:color w:val="000000"/>
                <w:sz w:val="20"/>
                <w:szCs w:val="20"/>
                <w:lang w:val="pt-BR" w:eastAsia="pt-BR" w:bidi="ar-SA"/>
              </w:rPr>
              <w:t xml:space="preserve">    </w:t>
            </w:r>
          </w:p>
        </w:tc>
        <w:tc>
          <w:tcPr>
            <w:tcW w:w="643" w:type="pct"/>
            <w:shd w:val="clear" w:color="000000" w:fill="FFFFFF"/>
            <w:noWrap/>
            <w:vAlign w:val="bottom"/>
            <w:hideMark/>
          </w:tcPr>
          <w:p w14:paraId="4D4954FC" w14:textId="77777777" w:rsidR="00356C7B" w:rsidRPr="00733555" w:rsidRDefault="00356C7B" w:rsidP="00356C7B">
            <w:pPr>
              <w:spacing w:before="0" w:after="0" w:line="240" w:lineRule="auto"/>
              <w:jc w:val="center"/>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BAZA</w:t>
            </w:r>
          </w:p>
        </w:tc>
        <w:tc>
          <w:tcPr>
            <w:tcW w:w="962" w:type="pct"/>
            <w:shd w:val="clear" w:color="000000" w:fill="FFFFFF"/>
            <w:vAlign w:val="bottom"/>
          </w:tcPr>
          <w:p w14:paraId="114E1ADF" w14:textId="77777777" w:rsidR="00356C7B" w:rsidRPr="00733555" w:rsidRDefault="00356C7B" w:rsidP="00356C7B">
            <w:pPr>
              <w:spacing w:before="0" w:after="0" w:line="240" w:lineRule="auto"/>
              <w:jc w:val="left"/>
              <w:rPr>
                <w:rFonts w:eastAsia="Times New Roman" w:cs="Times New Roman"/>
                <w:color w:val="000000"/>
                <w:sz w:val="20"/>
                <w:szCs w:val="20"/>
                <w:lang w:val="pt-BR" w:eastAsia="pt-BR" w:bidi="ar-SA"/>
              </w:rPr>
            </w:pPr>
            <w:proofErr w:type="spellStart"/>
            <w:r w:rsidRPr="00733555">
              <w:rPr>
                <w:rFonts w:eastAsia="Times New Roman" w:cs="Times New Roman"/>
                <w:color w:val="000000"/>
                <w:sz w:val="20"/>
                <w:szCs w:val="20"/>
                <w:lang w:val="pt-BR" w:eastAsia="pt-BR" w:bidi="ar-SA"/>
              </w:rPr>
              <w:t>Brb</w:t>
            </w:r>
            <w:proofErr w:type="spellEnd"/>
            <w:r w:rsidRPr="00733555">
              <w:rPr>
                <w:rFonts w:eastAsia="Times New Roman" w:cs="Times New Roman"/>
                <w:color w:val="000000"/>
                <w:sz w:val="20"/>
                <w:szCs w:val="20"/>
                <w:lang w:val="pt-BR" w:eastAsia="pt-BR" w:bidi="ar-SA"/>
              </w:rPr>
              <w:t xml:space="preserve"> Banco   </w:t>
            </w:r>
          </w:p>
        </w:tc>
        <w:tc>
          <w:tcPr>
            <w:tcW w:w="643" w:type="pct"/>
            <w:shd w:val="clear" w:color="000000" w:fill="FFFFFF"/>
            <w:vAlign w:val="bottom"/>
          </w:tcPr>
          <w:p w14:paraId="7C698FE2" w14:textId="77777777" w:rsidR="00356C7B" w:rsidRPr="00733555" w:rsidRDefault="00356C7B" w:rsidP="00356C7B">
            <w:pPr>
              <w:spacing w:before="0" w:after="0" w:line="240" w:lineRule="auto"/>
              <w:jc w:val="center"/>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BSLI</w:t>
            </w:r>
          </w:p>
        </w:tc>
        <w:tc>
          <w:tcPr>
            <w:tcW w:w="1050" w:type="pct"/>
            <w:shd w:val="clear" w:color="000000" w:fill="FFFFFF"/>
            <w:vAlign w:val="bottom"/>
          </w:tcPr>
          <w:p w14:paraId="78C1DE1D" w14:textId="77777777" w:rsidR="00356C7B" w:rsidRPr="00733555" w:rsidRDefault="00356C7B" w:rsidP="00356C7B">
            <w:pPr>
              <w:spacing w:before="0" w:after="0" w:line="240" w:lineRule="auto"/>
              <w:jc w:val="left"/>
              <w:rPr>
                <w:rFonts w:eastAsia="Times New Roman" w:cs="Times New Roman"/>
                <w:color w:val="000000"/>
                <w:sz w:val="20"/>
                <w:szCs w:val="20"/>
                <w:lang w:val="pt-BR" w:eastAsia="pt-BR" w:bidi="ar-SA"/>
              </w:rPr>
            </w:pPr>
            <w:proofErr w:type="spellStart"/>
            <w:r w:rsidRPr="00733555">
              <w:rPr>
                <w:rFonts w:eastAsia="Times New Roman" w:cs="Times New Roman"/>
                <w:color w:val="000000"/>
                <w:sz w:val="20"/>
                <w:szCs w:val="20"/>
                <w:lang w:val="pt-BR" w:eastAsia="pt-BR" w:bidi="ar-SA"/>
              </w:rPr>
              <w:t>Merc</w:t>
            </w:r>
            <w:proofErr w:type="spellEnd"/>
            <w:r w:rsidRPr="00733555">
              <w:rPr>
                <w:rFonts w:eastAsia="Times New Roman" w:cs="Times New Roman"/>
                <w:color w:val="000000"/>
                <w:sz w:val="20"/>
                <w:szCs w:val="20"/>
                <w:lang w:val="pt-BR" w:eastAsia="pt-BR" w:bidi="ar-SA"/>
              </w:rPr>
              <w:t xml:space="preserve"> </w:t>
            </w:r>
            <w:proofErr w:type="spellStart"/>
            <w:r w:rsidRPr="00733555">
              <w:rPr>
                <w:rFonts w:eastAsia="Times New Roman" w:cs="Times New Roman"/>
                <w:color w:val="000000"/>
                <w:sz w:val="20"/>
                <w:szCs w:val="20"/>
                <w:lang w:val="pt-BR" w:eastAsia="pt-BR" w:bidi="ar-SA"/>
              </w:rPr>
              <w:t>Invest</w:t>
            </w:r>
            <w:proofErr w:type="spellEnd"/>
            <w:r w:rsidRPr="00733555">
              <w:rPr>
                <w:rFonts w:eastAsia="Times New Roman" w:cs="Times New Roman"/>
                <w:color w:val="000000"/>
                <w:sz w:val="20"/>
                <w:szCs w:val="20"/>
                <w:lang w:val="pt-BR" w:eastAsia="pt-BR" w:bidi="ar-SA"/>
              </w:rPr>
              <w:t xml:space="preserve"> </w:t>
            </w:r>
          </w:p>
        </w:tc>
        <w:tc>
          <w:tcPr>
            <w:tcW w:w="642" w:type="pct"/>
            <w:shd w:val="clear" w:color="000000" w:fill="FFFFFF"/>
            <w:vAlign w:val="bottom"/>
          </w:tcPr>
          <w:p w14:paraId="4072F90B" w14:textId="77777777" w:rsidR="00356C7B" w:rsidRPr="00733555" w:rsidRDefault="00356C7B" w:rsidP="00356C7B">
            <w:pPr>
              <w:spacing w:before="0" w:after="0" w:line="240" w:lineRule="auto"/>
              <w:jc w:val="center"/>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BMIN</w:t>
            </w:r>
          </w:p>
        </w:tc>
      </w:tr>
      <w:tr w:rsidR="00356C7B" w:rsidRPr="00733555" w14:paraId="6DC34F77" w14:textId="77777777" w:rsidTr="00356C7B">
        <w:trPr>
          <w:trHeight w:val="255"/>
        </w:trPr>
        <w:tc>
          <w:tcPr>
            <w:tcW w:w="1060" w:type="pct"/>
            <w:shd w:val="clear" w:color="000000" w:fill="FFFFFF"/>
            <w:noWrap/>
            <w:vAlign w:val="bottom"/>
            <w:hideMark/>
          </w:tcPr>
          <w:p w14:paraId="594E8873" w14:textId="77777777" w:rsidR="00356C7B" w:rsidRPr="00733555" w:rsidRDefault="00356C7B" w:rsidP="00356C7B">
            <w:pPr>
              <w:spacing w:before="0" w:after="0" w:line="240" w:lineRule="auto"/>
              <w:jc w:val="left"/>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Banco Pan</w:t>
            </w:r>
          </w:p>
        </w:tc>
        <w:tc>
          <w:tcPr>
            <w:tcW w:w="643" w:type="pct"/>
            <w:shd w:val="clear" w:color="000000" w:fill="FFFFFF"/>
            <w:noWrap/>
            <w:vAlign w:val="bottom"/>
            <w:hideMark/>
          </w:tcPr>
          <w:p w14:paraId="34D577C6" w14:textId="77777777" w:rsidR="00356C7B" w:rsidRPr="00733555" w:rsidRDefault="00356C7B" w:rsidP="00356C7B">
            <w:pPr>
              <w:spacing w:before="0" w:after="0" w:line="240" w:lineRule="auto"/>
              <w:jc w:val="center"/>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BPAN</w:t>
            </w:r>
          </w:p>
        </w:tc>
        <w:tc>
          <w:tcPr>
            <w:tcW w:w="962" w:type="pct"/>
            <w:shd w:val="clear" w:color="000000" w:fill="FFFFFF"/>
            <w:vAlign w:val="bottom"/>
          </w:tcPr>
          <w:p w14:paraId="7C60B228" w14:textId="77777777" w:rsidR="00356C7B" w:rsidRPr="00733555" w:rsidRDefault="00356C7B" w:rsidP="00356C7B">
            <w:pPr>
              <w:spacing w:before="0" w:after="0" w:line="240" w:lineRule="auto"/>
              <w:jc w:val="left"/>
              <w:rPr>
                <w:rFonts w:eastAsia="Times New Roman" w:cs="Times New Roman"/>
                <w:color w:val="000000"/>
                <w:sz w:val="20"/>
                <w:szCs w:val="20"/>
                <w:lang w:val="pt-BR" w:eastAsia="pt-BR" w:bidi="ar-SA"/>
              </w:rPr>
            </w:pPr>
            <w:proofErr w:type="spellStart"/>
            <w:r w:rsidRPr="00733555">
              <w:rPr>
                <w:rFonts w:eastAsia="Times New Roman" w:cs="Times New Roman"/>
                <w:color w:val="000000"/>
                <w:sz w:val="20"/>
                <w:szCs w:val="20"/>
                <w:lang w:val="pt-BR" w:eastAsia="pt-BR" w:bidi="ar-SA"/>
              </w:rPr>
              <w:t>Btgp</w:t>
            </w:r>
            <w:proofErr w:type="spellEnd"/>
            <w:r w:rsidRPr="00733555">
              <w:rPr>
                <w:rFonts w:eastAsia="Times New Roman" w:cs="Times New Roman"/>
                <w:color w:val="000000"/>
                <w:sz w:val="20"/>
                <w:szCs w:val="20"/>
                <w:lang w:val="pt-BR" w:eastAsia="pt-BR" w:bidi="ar-SA"/>
              </w:rPr>
              <w:t xml:space="preserve"> Banco</w:t>
            </w:r>
          </w:p>
        </w:tc>
        <w:tc>
          <w:tcPr>
            <w:tcW w:w="643" w:type="pct"/>
            <w:shd w:val="clear" w:color="000000" w:fill="FFFFFF"/>
            <w:vAlign w:val="bottom"/>
          </w:tcPr>
          <w:p w14:paraId="249F9075" w14:textId="77777777" w:rsidR="00356C7B" w:rsidRPr="00733555" w:rsidRDefault="00356C7B" w:rsidP="00356C7B">
            <w:pPr>
              <w:spacing w:before="0" w:after="0" w:line="240" w:lineRule="auto"/>
              <w:jc w:val="center"/>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BPAC</w:t>
            </w:r>
          </w:p>
        </w:tc>
        <w:tc>
          <w:tcPr>
            <w:tcW w:w="1050" w:type="pct"/>
            <w:shd w:val="clear" w:color="000000" w:fill="FFFFFF"/>
            <w:vAlign w:val="bottom"/>
          </w:tcPr>
          <w:p w14:paraId="1875AFF3" w14:textId="77777777" w:rsidR="00356C7B" w:rsidRPr="00733555" w:rsidRDefault="00356C7B" w:rsidP="00356C7B">
            <w:pPr>
              <w:spacing w:before="0" w:after="0" w:line="240" w:lineRule="auto"/>
              <w:jc w:val="left"/>
              <w:rPr>
                <w:rFonts w:eastAsia="Times New Roman" w:cs="Times New Roman"/>
                <w:color w:val="000000"/>
                <w:sz w:val="20"/>
                <w:szCs w:val="20"/>
                <w:lang w:val="pt-BR" w:eastAsia="pt-BR" w:bidi="ar-SA"/>
              </w:rPr>
            </w:pPr>
            <w:proofErr w:type="spellStart"/>
            <w:r w:rsidRPr="00733555">
              <w:rPr>
                <w:rFonts w:eastAsia="Times New Roman" w:cs="Times New Roman"/>
                <w:color w:val="000000"/>
                <w:sz w:val="20"/>
                <w:szCs w:val="20"/>
                <w:lang w:val="pt-BR" w:eastAsia="pt-BR" w:bidi="ar-SA"/>
              </w:rPr>
              <w:t>Nord</w:t>
            </w:r>
            <w:proofErr w:type="spellEnd"/>
            <w:r w:rsidRPr="00733555">
              <w:rPr>
                <w:rFonts w:eastAsia="Times New Roman" w:cs="Times New Roman"/>
                <w:color w:val="000000"/>
                <w:sz w:val="20"/>
                <w:szCs w:val="20"/>
                <w:lang w:val="pt-BR" w:eastAsia="pt-BR" w:bidi="ar-SA"/>
              </w:rPr>
              <w:t xml:space="preserve"> Brasil </w:t>
            </w:r>
          </w:p>
        </w:tc>
        <w:tc>
          <w:tcPr>
            <w:tcW w:w="642" w:type="pct"/>
            <w:shd w:val="clear" w:color="000000" w:fill="FFFFFF"/>
            <w:vAlign w:val="bottom"/>
          </w:tcPr>
          <w:p w14:paraId="75EBAFC7" w14:textId="77777777" w:rsidR="00356C7B" w:rsidRPr="00733555" w:rsidRDefault="00356C7B" w:rsidP="00356C7B">
            <w:pPr>
              <w:spacing w:before="0" w:after="0" w:line="240" w:lineRule="auto"/>
              <w:jc w:val="center"/>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BNBR</w:t>
            </w:r>
          </w:p>
        </w:tc>
      </w:tr>
      <w:tr w:rsidR="00356C7B" w:rsidRPr="00733555" w14:paraId="53E4F4DC" w14:textId="77777777" w:rsidTr="00356C7B">
        <w:trPr>
          <w:trHeight w:val="255"/>
        </w:trPr>
        <w:tc>
          <w:tcPr>
            <w:tcW w:w="1060" w:type="pct"/>
            <w:shd w:val="clear" w:color="000000" w:fill="FFFFFF"/>
            <w:noWrap/>
            <w:vAlign w:val="bottom"/>
            <w:hideMark/>
          </w:tcPr>
          <w:p w14:paraId="78CC70E7" w14:textId="77777777" w:rsidR="00356C7B" w:rsidRPr="00733555" w:rsidRDefault="00356C7B" w:rsidP="00356C7B">
            <w:pPr>
              <w:spacing w:before="0" w:after="0" w:line="240" w:lineRule="auto"/>
              <w:jc w:val="left"/>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 xml:space="preserve">Banese      </w:t>
            </w:r>
          </w:p>
        </w:tc>
        <w:tc>
          <w:tcPr>
            <w:tcW w:w="643" w:type="pct"/>
            <w:shd w:val="clear" w:color="000000" w:fill="FFFFFF"/>
            <w:noWrap/>
            <w:vAlign w:val="bottom"/>
            <w:hideMark/>
          </w:tcPr>
          <w:p w14:paraId="561444AE" w14:textId="77777777" w:rsidR="00356C7B" w:rsidRPr="00733555" w:rsidRDefault="00356C7B" w:rsidP="00356C7B">
            <w:pPr>
              <w:spacing w:before="0" w:after="0" w:line="240" w:lineRule="auto"/>
              <w:jc w:val="center"/>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BGIP</w:t>
            </w:r>
          </w:p>
        </w:tc>
        <w:tc>
          <w:tcPr>
            <w:tcW w:w="962" w:type="pct"/>
            <w:shd w:val="clear" w:color="000000" w:fill="FFFFFF"/>
            <w:vAlign w:val="bottom"/>
          </w:tcPr>
          <w:p w14:paraId="629B9D4D" w14:textId="77777777" w:rsidR="00356C7B" w:rsidRPr="00733555" w:rsidRDefault="00356C7B" w:rsidP="00356C7B">
            <w:pPr>
              <w:spacing w:before="0" w:after="0" w:line="240" w:lineRule="auto"/>
              <w:jc w:val="left"/>
              <w:rPr>
                <w:rFonts w:eastAsia="Times New Roman" w:cs="Times New Roman"/>
                <w:color w:val="000000"/>
                <w:sz w:val="20"/>
                <w:szCs w:val="20"/>
                <w:lang w:val="pt-BR" w:eastAsia="pt-BR" w:bidi="ar-SA"/>
              </w:rPr>
            </w:pPr>
            <w:proofErr w:type="spellStart"/>
            <w:r w:rsidRPr="00733555">
              <w:rPr>
                <w:rFonts w:eastAsia="Times New Roman" w:cs="Times New Roman"/>
                <w:color w:val="000000"/>
                <w:sz w:val="20"/>
                <w:szCs w:val="20"/>
                <w:lang w:val="pt-BR" w:eastAsia="pt-BR" w:bidi="ar-SA"/>
              </w:rPr>
              <w:t>Indusval</w:t>
            </w:r>
            <w:proofErr w:type="spellEnd"/>
            <w:r w:rsidRPr="00733555">
              <w:rPr>
                <w:rFonts w:eastAsia="Times New Roman" w:cs="Times New Roman"/>
                <w:color w:val="000000"/>
                <w:sz w:val="20"/>
                <w:szCs w:val="20"/>
                <w:lang w:val="pt-BR" w:eastAsia="pt-BR" w:bidi="ar-SA"/>
              </w:rPr>
              <w:t xml:space="preserve">    </w:t>
            </w:r>
          </w:p>
        </w:tc>
        <w:tc>
          <w:tcPr>
            <w:tcW w:w="643" w:type="pct"/>
            <w:shd w:val="clear" w:color="000000" w:fill="FFFFFF"/>
            <w:vAlign w:val="bottom"/>
          </w:tcPr>
          <w:p w14:paraId="06EE87DD" w14:textId="77777777" w:rsidR="00356C7B" w:rsidRPr="00733555" w:rsidRDefault="00356C7B" w:rsidP="00356C7B">
            <w:pPr>
              <w:spacing w:before="0" w:after="0" w:line="240" w:lineRule="auto"/>
              <w:jc w:val="center"/>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IDVL</w:t>
            </w:r>
          </w:p>
        </w:tc>
        <w:tc>
          <w:tcPr>
            <w:tcW w:w="1050" w:type="pct"/>
            <w:shd w:val="clear" w:color="000000" w:fill="FFFFFF"/>
            <w:vAlign w:val="bottom"/>
          </w:tcPr>
          <w:p w14:paraId="07DEEA8D" w14:textId="77777777" w:rsidR="00356C7B" w:rsidRPr="00733555" w:rsidRDefault="00356C7B" w:rsidP="00356C7B">
            <w:pPr>
              <w:spacing w:before="0" w:after="0" w:line="240" w:lineRule="auto"/>
              <w:jc w:val="left"/>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 xml:space="preserve">Pine        </w:t>
            </w:r>
          </w:p>
        </w:tc>
        <w:tc>
          <w:tcPr>
            <w:tcW w:w="642" w:type="pct"/>
            <w:shd w:val="clear" w:color="000000" w:fill="FFFFFF"/>
            <w:vAlign w:val="bottom"/>
          </w:tcPr>
          <w:p w14:paraId="0DD8DEB8" w14:textId="77777777" w:rsidR="00356C7B" w:rsidRPr="00733555" w:rsidRDefault="00356C7B" w:rsidP="00356C7B">
            <w:pPr>
              <w:spacing w:before="0" w:after="0" w:line="240" w:lineRule="auto"/>
              <w:jc w:val="center"/>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PINE</w:t>
            </w:r>
          </w:p>
        </w:tc>
      </w:tr>
      <w:tr w:rsidR="00356C7B" w:rsidRPr="00733555" w14:paraId="189FDF5E" w14:textId="77777777" w:rsidTr="00356C7B">
        <w:trPr>
          <w:trHeight w:val="255"/>
        </w:trPr>
        <w:tc>
          <w:tcPr>
            <w:tcW w:w="1060" w:type="pct"/>
            <w:shd w:val="clear" w:color="000000" w:fill="FFFFFF"/>
            <w:noWrap/>
            <w:vAlign w:val="bottom"/>
            <w:hideMark/>
          </w:tcPr>
          <w:p w14:paraId="119288B9" w14:textId="77777777" w:rsidR="00356C7B" w:rsidRPr="00733555" w:rsidRDefault="00356C7B" w:rsidP="00356C7B">
            <w:pPr>
              <w:spacing w:before="0" w:after="0" w:line="240" w:lineRule="auto"/>
              <w:jc w:val="left"/>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 xml:space="preserve">Banestes    </w:t>
            </w:r>
          </w:p>
        </w:tc>
        <w:tc>
          <w:tcPr>
            <w:tcW w:w="643" w:type="pct"/>
            <w:shd w:val="clear" w:color="000000" w:fill="FFFFFF"/>
            <w:noWrap/>
            <w:vAlign w:val="bottom"/>
            <w:hideMark/>
          </w:tcPr>
          <w:p w14:paraId="3D93CACB" w14:textId="77777777" w:rsidR="00356C7B" w:rsidRPr="00733555" w:rsidRDefault="00356C7B" w:rsidP="00356C7B">
            <w:pPr>
              <w:spacing w:before="0" w:after="0" w:line="240" w:lineRule="auto"/>
              <w:jc w:val="center"/>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BEES</w:t>
            </w:r>
          </w:p>
        </w:tc>
        <w:tc>
          <w:tcPr>
            <w:tcW w:w="962" w:type="pct"/>
            <w:shd w:val="clear" w:color="000000" w:fill="FFFFFF"/>
            <w:vAlign w:val="bottom"/>
          </w:tcPr>
          <w:p w14:paraId="69D7A051" w14:textId="77777777" w:rsidR="00356C7B" w:rsidRPr="00733555" w:rsidRDefault="00356C7B" w:rsidP="00356C7B">
            <w:pPr>
              <w:spacing w:before="0" w:after="0" w:line="240" w:lineRule="auto"/>
              <w:jc w:val="left"/>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Inter Banco</w:t>
            </w:r>
          </w:p>
        </w:tc>
        <w:tc>
          <w:tcPr>
            <w:tcW w:w="643" w:type="pct"/>
            <w:shd w:val="clear" w:color="000000" w:fill="FFFFFF"/>
            <w:vAlign w:val="bottom"/>
          </w:tcPr>
          <w:p w14:paraId="102E23B6" w14:textId="77777777" w:rsidR="00356C7B" w:rsidRPr="00733555" w:rsidRDefault="00356C7B" w:rsidP="00356C7B">
            <w:pPr>
              <w:spacing w:before="0" w:after="0" w:line="240" w:lineRule="auto"/>
              <w:jc w:val="center"/>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BIDI</w:t>
            </w:r>
          </w:p>
        </w:tc>
        <w:tc>
          <w:tcPr>
            <w:tcW w:w="1050" w:type="pct"/>
            <w:shd w:val="clear" w:color="000000" w:fill="FFFFFF"/>
            <w:vAlign w:val="bottom"/>
          </w:tcPr>
          <w:p w14:paraId="551CC041" w14:textId="77777777" w:rsidR="00356C7B" w:rsidRPr="00733555" w:rsidRDefault="00356C7B" w:rsidP="00356C7B">
            <w:pPr>
              <w:spacing w:before="0" w:after="0" w:line="240" w:lineRule="auto"/>
              <w:jc w:val="left"/>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 xml:space="preserve">Santander </w:t>
            </w:r>
            <w:proofErr w:type="spellStart"/>
            <w:r w:rsidRPr="00733555">
              <w:rPr>
                <w:rFonts w:eastAsia="Times New Roman" w:cs="Times New Roman"/>
                <w:color w:val="000000"/>
                <w:sz w:val="20"/>
                <w:szCs w:val="20"/>
                <w:lang w:val="pt-BR" w:eastAsia="pt-BR" w:bidi="ar-SA"/>
              </w:rPr>
              <w:t>Br</w:t>
            </w:r>
            <w:proofErr w:type="spellEnd"/>
          </w:p>
        </w:tc>
        <w:tc>
          <w:tcPr>
            <w:tcW w:w="642" w:type="pct"/>
            <w:shd w:val="clear" w:color="000000" w:fill="FFFFFF"/>
            <w:vAlign w:val="bottom"/>
          </w:tcPr>
          <w:p w14:paraId="4B084DDC" w14:textId="77777777" w:rsidR="00356C7B" w:rsidRPr="00733555" w:rsidRDefault="00356C7B" w:rsidP="00356C7B">
            <w:pPr>
              <w:spacing w:before="0" w:after="0" w:line="240" w:lineRule="auto"/>
              <w:jc w:val="center"/>
              <w:rPr>
                <w:rFonts w:eastAsia="Times New Roman" w:cs="Times New Roman"/>
                <w:color w:val="000000"/>
                <w:sz w:val="20"/>
                <w:szCs w:val="20"/>
                <w:lang w:val="pt-BR" w:eastAsia="pt-BR" w:bidi="ar-SA"/>
              </w:rPr>
            </w:pPr>
            <w:r w:rsidRPr="00733555">
              <w:rPr>
                <w:rFonts w:eastAsia="Times New Roman" w:cs="Times New Roman"/>
                <w:color w:val="000000"/>
                <w:sz w:val="20"/>
                <w:szCs w:val="20"/>
                <w:lang w:val="pt-BR" w:eastAsia="pt-BR" w:bidi="ar-SA"/>
              </w:rPr>
              <w:t>SANB</w:t>
            </w:r>
          </w:p>
        </w:tc>
      </w:tr>
    </w:tbl>
    <w:p w14:paraId="4848E8F2" w14:textId="77777777" w:rsidR="00356C7B" w:rsidRPr="00D92324" w:rsidRDefault="00356C7B" w:rsidP="00356C7B">
      <w:pPr>
        <w:spacing w:before="0" w:after="0" w:line="240" w:lineRule="auto"/>
        <w:jc w:val="center"/>
        <w:rPr>
          <w:rFonts w:eastAsia="Times New Roman" w:cs="Times New Roman"/>
          <w:sz w:val="20"/>
          <w:szCs w:val="20"/>
          <w:lang w:val="pt-BR" w:eastAsia="pt-BR" w:bidi="ar-SA"/>
        </w:rPr>
      </w:pPr>
      <w:r w:rsidRPr="00D92324">
        <w:rPr>
          <w:rFonts w:eastAsia="Times New Roman" w:cs="Times New Roman"/>
          <w:sz w:val="20"/>
          <w:szCs w:val="20"/>
          <w:lang w:val="pt-BR" w:eastAsia="pt-BR" w:bidi="ar-SA"/>
        </w:rPr>
        <w:t>Figura 1. Bancos componentes da amostra do estudo.</w:t>
      </w:r>
    </w:p>
    <w:p w14:paraId="301D76EA" w14:textId="77777777" w:rsidR="00356C7B" w:rsidRPr="00D92324" w:rsidRDefault="00356C7B" w:rsidP="00356C7B">
      <w:pPr>
        <w:spacing w:before="0" w:after="0" w:line="240" w:lineRule="auto"/>
        <w:jc w:val="center"/>
        <w:rPr>
          <w:rFonts w:eastAsia="Times New Roman" w:cs="Times New Roman"/>
          <w:sz w:val="20"/>
          <w:szCs w:val="20"/>
          <w:lang w:val="pt-BR" w:eastAsia="pt-BR" w:bidi="ar-SA"/>
        </w:rPr>
      </w:pPr>
      <w:r w:rsidRPr="00D92324">
        <w:rPr>
          <w:rFonts w:eastAsia="Times New Roman" w:cs="Times New Roman"/>
          <w:sz w:val="20"/>
          <w:szCs w:val="20"/>
          <w:lang w:val="pt-BR" w:eastAsia="pt-BR" w:bidi="ar-SA"/>
        </w:rPr>
        <w:t>Fonte: B3 (2019).</w:t>
      </w:r>
    </w:p>
    <w:p w14:paraId="40A73721" w14:textId="77777777" w:rsidR="00F95C0F" w:rsidRDefault="00F95C0F" w:rsidP="00F95C0F">
      <w:pPr>
        <w:pStyle w:val="SemEspaamento"/>
        <w:rPr>
          <w:rFonts w:eastAsia="Times New Roman" w:cs="Times New Roman"/>
          <w:szCs w:val="24"/>
          <w:lang w:val="pt-BR" w:eastAsia="pt-BR" w:bidi="ar-SA"/>
        </w:rPr>
      </w:pPr>
      <w:r>
        <w:rPr>
          <w:rFonts w:eastAsia="Times New Roman" w:cs="Times New Roman"/>
          <w:szCs w:val="24"/>
          <w:lang w:val="pt-BR" w:eastAsia="pt-BR" w:bidi="ar-SA"/>
        </w:rPr>
        <w:lastRenderedPageBreak/>
        <w:t>Os bancos que fizeram parte da amostra do estudo são elencados na Figura 1, totalizando 21 bancos. Os bancos Banpará e Paraná foram excluídos da amostra por não terem lote padrão de ações em circulação, portanto, não havia disponibilidade de dados para essas empresas.</w:t>
      </w:r>
    </w:p>
    <w:p w14:paraId="2604A75F" w14:textId="56E8B481" w:rsidR="003B0C6B" w:rsidRDefault="00356C7B" w:rsidP="003B0C6B">
      <w:pPr>
        <w:pStyle w:val="SemEspaamento"/>
        <w:rPr>
          <w:rFonts w:eastAsia="Times New Roman"/>
          <w:lang w:val="pt-BR" w:eastAsia="pt-BR" w:bidi="ar-SA"/>
        </w:rPr>
      </w:pPr>
      <w:r>
        <w:rPr>
          <w:rFonts w:eastAsia="Times New Roman"/>
          <w:lang w:val="pt-BR" w:eastAsia="pt-BR" w:bidi="ar-SA"/>
        </w:rPr>
        <w:t>Primeiramente, foram calculados os múltiplos P/L, P/B e P/LO para cada um dos bancos considerados na amostra. Em seguida, foi realizada a média dos múltiplos e, assim, determinados os múltiplos médios do setor bancário. Além disso, foi feita comparação dos múltiplos das empresas com a média para averiguar se essas encontram-se acima ou abaixo da média encontrada p</w:t>
      </w:r>
      <w:r w:rsidR="00E45D5A">
        <w:rPr>
          <w:rFonts w:eastAsia="Times New Roman"/>
          <w:lang w:val="pt-BR" w:eastAsia="pt-BR" w:bidi="ar-SA"/>
        </w:rPr>
        <w:t xml:space="preserve">ara </w:t>
      </w:r>
      <w:r>
        <w:rPr>
          <w:rFonts w:eastAsia="Times New Roman"/>
          <w:lang w:val="pt-BR" w:eastAsia="pt-BR" w:bidi="ar-SA"/>
        </w:rPr>
        <w:t>o setor investigado.</w:t>
      </w:r>
    </w:p>
    <w:p w14:paraId="1B95BEF5" w14:textId="386194E0" w:rsidR="00356C7B" w:rsidRDefault="00356C7B" w:rsidP="00356C7B">
      <w:pPr>
        <w:pStyle w:val="SemEspaamento"/>
        <w:rPr>
          <w:lang w:val="pt-BR"/>
        </w:rPr>
      </w:pPr>
      <w:r>
        <w:rPr>
          <w:lang w:val="pt-BR"/>
        </w:rPr>
        <w:t xml:space="preserve">Em seguida, foi investigado o que foi proposto como objetivo da pesquisa: </w:t>
      </w:r>
      <w:r w:rsidRPr="009F0943">
        <w:rPr>
          <w:rFonts w:eastAsia="Times New Roman" w:cs="Times New Roman"/>
          <w:szCs w:val="24"/>
          <w:lang w:val="pt-BR" w:eastAsia="pt-BR" w:bidi="ar-SA"/>
        </w:rPr>
        <w:t>identificar o poder explicativo dos múltiplos na avaliação de instituições bancárias</w:t>
      </w:r>
      <w:r>
        <w:rPr>
          <w:rFonts w:eastAsia="Times New Roman" w:cs="Times New Roman"/>
          <w:szCs w:val="24"/>
          <w:lang w:val="pt-BR" w:eastAsia="pt-BR" w:bidi="ar-SA"/>
        </w:rPr>
        <w:t>. Para isso, com base no estudo de Pazarzi (2014), foi aplicado como medida comparativa entre os múltiplos considerados neste estudo o Erro Percentual Absoluto Médio (MAPE), que admite que q</w:t>
      </w:r>
      <w:r w:rsidRPr="008C1445">
        <w:rPr>
          <w:lang w:val="pt-BR"/>
        </w:rPr>
        <w:t>uanto menor for o valor absoluto do erro mais precisas serão as estimativas de preço fornecidas pelos métodos de avaliação. A fórmula do MAPE é</w:t>
      </w:r>
      <w:r>
        <w:rPr>
          <w:lang w:val="pt-BR"/>
        </w:rPr>
        <w:t xml:space="preserve"> representada pela equação 5</w:t>
      </w:r>
      <w:r w:rsidRPr="008C1445">
        <w:rPr>
          <w:lang w:val="pt-BR"/>
        </w:rPr>
        <w:t>:</w:t>
      </w:r>
    </w:p>
    <w:p w14:paraId="5ACB6F81" w14:textId="77777777" w:rsidR="00356C7B" w:rsidRDefault="00356C7B" w:rsidP="00356C7B">
      <w:pPr>
        <w:pStyle w:val="SemEspaamento"/>
        <w:rPr>
          <w:rFonts w:eastAsia="Times New Roman"/>
          <w:lang w:val="pt-BR" w:eastAsia="pt-BR" w:bidi="ar-SA"/>
        </w:rPr>
      </w:pPr>
    </w:p>
    <w:p w14:paraId="49819209" w14:textId="77777777" w:rsidR="00356C7B" w:rsidRDefault="00356C7B" w:rsidP="00356C7B">
      <w:pPr>
        <w:pStyle w:val="SemEspaamento"/>
        <w:ind w:firstLine="2977"/>
        <w:rPr>
          <w:rFonts w:eastAsia="Times New Roman"/>
          <w:lang w:val="pt-BR" w:eastAsia="pt-BR" w:bidi="ar-SA"/>
        </w:rPr>
      </w:pPr>
      <m:oMath>
        <m:r>
          <w:rPr>
            <w:rFonts w:ascii="Cambria Math" w:eastAsia="Times New Roman" w:hAnsi="Cambria Math"/>
            <w:lang w:val="pt-BR" w:eastAsia="pt-BR" w:bidi="ar-SA"/>
          </w:rPr>
          <m:t xml:space="preserve">MAPE= </m:t>
        </m:r>
        <m:f>
          <m:fPr>
            <m:ctrlPr>
              <w:rPr>
                <w:rFonts w:ascii="Cambria Math" w:eastAsia="Times New Roman" w:hAnsi="Cambria Math"/>
                <w:i/>
                <w:lang w:val="pt-BR" w:eastAsia="pt-BR" w:bidi="ar-SA"/>
              </w:rPr>
            </m:ctrlPr>
          </m:fPr>
          <m:num>
            <m:r>
              <w:rPr>
                <w:rFonts w:ascii="Cambria Math" w:eastAsia="Times New Roman" w:hAnsi="Cambria Math"/>
                <w:lang w:val="pt-BR" w:eastAsia="pt-BR" w:bidi="ar-SA"/>
              </w:rPr>
              <m:t>1</m:t>
            </m:r>
          </m:num>
          <m:den>
            <m:r>
              <w:rPr>
                <w:rFonts w:ascii="Cambria Math" w:eastAsia="Times New Roman" w:hAnsi="Cambria Math"/>
                <w:lang w:val="pt-BR" w:eastAsia="pt-BR" w:bidi="ar-SA"/>
              </w:rPr>
              <m:t>n</m:t>
            </m:r>
          </m:den>
        </m:f>
        <m:nary>
          <m:naryPr>
            <m:chr m:val="∑"/>
            <m:limLoc m:val="subSup"/>
            <m:ctrlPr>
              <w:rPr>
                <w:rFonts w:ascii="Cambria Math" w:eastAsia="Times New Roman" w:hAnsi="Cambria Math"/>
                <w:i/>
                <w:lang w:val="pt-BR" w:eastAsia="pt-BR" w:bidi="ar-SA"/>
              </w:rPr>
            </m:ctrlPr>
          </m:naryPr>
          <m:sub>
            <m:r>
              <w:rPr>
                <w:rFonts w:ascii="Cambria Math" w:eastAsia="Times New Roman" w:hAnsi="Cambria Math"/>
                <w:lang w:val="pt-BR" w:eastAsia="pt-BR" w:bidi="ar-SA"/>
              </w:rPr>
              <m:t>i=1</m:t>
            </m:r>
          </m:sub>
          <m:sup>
            <m:r>
              <w:rPr>
                <w:rFonts w:ascii="Cambria Math" w:eastAsia="Times New Roman" w:hAnsi="Cambria Math"/>
                <w:lang w:val="pt-BR" w:eastAsia="pt-BR" w:bidi="ar-SA"/>
              </w:rPr>
              <m:t>n</m:t>
            </m:r>
          </m:sup>
          <m:e>
            <m:f>
              <m:fPr>
                <m:ctrlPr>
                  <w:rPr>
                    <w:rFonts w:ascii="Cambria Math" w:eastAsia="Times New Roman" w:hAnsi="Cambria Math"/>
                    <w:i/>
                    <w:lang w:val="pt-BR" w:eastAsia="pt-BR" w:bidi="ar-SA"/>
                  </w:rPr>
                </m:ctrlPr>
              </m:fPr>
              <m:num>
                <m:d>
                  <m:dPr>
                    <m:begChr m:val="|"/>
                    <m:endChr m:val="|"/>
                    <m:ctrlPr>
                      <w:rPr>
                        <w:rFonts w:ascii="Cambria Math" w:eastAsia="Times New Roman" w:hAnsi="Cambria Math"/>
                        <w:i/>
                        <w:lang w:val="pt-BR" w:eastAsia="pt-BR" w:bidi="ar-SA"/>
                      </w:rPr>
                    </m:ctrlPr>
                  </m:dPr>
                  <m:e>
                    <m:acc>
                      <m:accPr>
                        <m:ctrlPr>
                          <w:rPr>
                            <w:rFonts w:ascii="Cambria Math" w:eastAsia="Times New Roman" w:hAnsi="Cambria Math"/>
                            <w:i/>
                            <w:lang w:val="pt-BR" w:eastAsia="pt-BR" w:bidi="ar-SA"/>
                          </w:rPr>
                        </m:ctrlPr>
                      </m:accPr>
                      <m:e>
                        <m:sSub>
                          <m:sSubPr>
                            <m:ctrlPr>
                              <w:rPr>
                                <w:rFonts w:ascii="Cambria Math" w:eastAsia="Times New Roman" w:hAnsi="Cambria Math"/>
                                <w:i/>
                                <w:lang w:val="pt-BR" w:eastAsia="pt-BR" w:bidi="ar-SA"/>
                              </w:rPr>
                            </m:ctrlPr>
                          </m:sSubPr>
                          <m:e>
                            <m:r>
                              <w:rPr>
                                <w:rFonts w:ascii="Cambria Math" w:eastAsia="Times New Roman" w:hAnsi="Cambria Math"/>
                                <w:lang w:val="pt-BR" w:eastAsia="pt-BR" w:bidi="ar-SA"/>
                              </w:rPr>
                              <m:t>P</m:t>
                            </m:r>
                          </m:e>
                          <m:sub>
                            <m:r>
                              <w:rPr>
                                <w:rFonts w:ascii="Cambria Math" w:eastAsia="Times New Roman" w:hAnsi="Cambria Math"/>
                                <w:lang w:val="pt-BR" w:eastAsia="pt-BR" w:bidi="ar-SA"/>
                              </w:rPr>
                              <m:t>i</m:t>
                            </m:r>
                          </m:sub>
                        </m:sSub>
                        <m:r>
                          <w:rPr>
                            <w:rFonts w:ascii="Cambria Math" w:eastAsia="Times New Roman" w:hAnsi="Cambria Math"/>
                            <w:lang w:val="pt-BR" w:eastAsia="pt-BR" w:bidi="ar-SA"/>
                          </w:rPr>
                          <m:t xml:space="preserve"> </m:t>
                        </m:r>
                      </m:e>
                    </m:acc>
                    <m:r>
                      <w:rPr>
                        <w:rFonts w:ascii="Cambria Math" w:eastAsia="Times New Roman" w:hAnsi="Cambria Math"/>
                        <w:lang w:val="pt-BR" w:eastAsia="pt-BR" w:bidi="ar-SA"/>
                      </w:rPr>
                      <m:t xml:space="preserve">- </m:t>
                    </m:r>
                    <m:sSub>
                      <m:sSubPr>
                        <m:ctrlPr>
                          <w:rPr>
                            <w:rFonts w:ascii="Cambria Math" w:eastAsia="Times New Roman" w:hAnsi="Cambria Math"/>
                            <w:i/>
                            <w:lang w:val="pt-BR" w:eastAsia="pt-BR" w:bidi="ar-SA"/>
                          </w:rPr>
                        </m:ctrlPr>
                      </m:sSubPr>
                      <m:e>
                        <m:r>
                          <w:rPr>
                            <w:rFonts w:ascii="Cambria Math" w:eastAsia="Times New Roman" w:hAnsi="Cambria Math"/>
                            <w:lang w:val="pt-BR" w:eastAsia="pt-BR" w:bidi="ar-SA"/>
                          </w:rPr>
                          <m:t>P</m:t>
                        </m:r>
                      </m:e>
                      <m:sub>
                        <m:r>
                          <w:rPr>
                            <w:rFonts w:ascii="Cambria Math" w:eastAsia="Times New Roman" w:hAnsi="Cambria Math"/>
                            <w:lang w:val="pt-BR" w:eastAsia="pt-BR" w:bidi="ar-SA"/>
                          </w:rPr>
                          <m:t>i</m:t>
                        </m:r>
                      </m:sub>
                    </m:sSub>
                  </m:e>
                </m:d>
              </m:num>
              <m:den>
                <m:sSub>
                  <m:sSubPr>
                    <m:ctrlPr>
                      <w:rPr>
                        <w:rFonts w:ascii="Cambria Math" w:eastAsia="Times New Roman" w:hAnsi="Cambria Math"/>
                        <w:i/>
                        <w:lang w:val="pt-BR" w:eastAsia="pt-BR" w:bidi="ar-SA"/>
                      </w:rPr>
                    </m:ctrlPr>
                  </m:sSubPr>
                  <m:e>
                    <m:r>
                      <w:rPr>
                        <w:rFonts w:ascii="Cambria Math" w:eastAsia="Times New Roman" w:hAnsi="Cambria Math"/>
                        <w:lang w:val="pt-BR" w:eastAsia="pt-BR" w:bidi="ar-SA"/>
                      </w:rPr>
                      <m:t>P</m:t>
                    </m:r>
                  </m:e>
                  <m:sub>
                    <m:r>
                      <w:rPr>
                        <w:rFonts w:ascii="Cambria Math" w:eastAsia="Times New Roman" w:hAnsi="Cambria Math"/>
                        <w:lang w:val="pt-BR" w:eastAsia="pt-BR" w:bidi="ar-SA"/>
                      </w:rPr>
                      <m:t>i</m:t>
                    </m:r>
                  </m:sub>
                </m:sSub>
              </m:den>
            </m:f>
          </m:e>
        </m:nary>
      </m:oMath>
      <w:r>
        <w:rPr>
          <w:rFonts w:eastAsia="Times New Roman"/>
          <w:lang w:val="pt-BR" w:eastAsia="pt-BR" w:bidi="ar-SA"/>
        </w:rPr>
        <w:tab/>
      </w:r>
      <w:r>
        <w:rPr>
          <w:rFonts w:eastAsia="Times New Roman"/>
          <w:lang w:val="pt-BR" w:eastAsia="pt-BR" w:bidi="ar-SA"/>
        </w:rPr>
        <w:tab/>
      </w:r>
      <w:r>
        <w:rPr>
          <w:rFonts w:eastAsia="Times New Roman"/>
          <w:lang w:val="pt-BR" w:eastAsia="pt-BR" w:bidi="ar-SA"/>
        </w:rPr>
        <w:tab/>
      </w:r>
      <w:r>
        <w:rPr>
          <w:rFonts w:eastAsia="Times New Roman"/>
          <w:lang w:val="pt-BR" w:eastAsia="pt-BR" w:bidi="ar-SA"/>
        </w:rPr>
        <w:tab/>
        <w:t xml:space="preserve">       (5)</w:t>
      </w:r>
    </w:p>
    <w:p w14:paraId="0ACC4BDF" w14:textId="77777777" w:rsidR="00356C7B" w:rsidRDefault="00356C7B" w:rsidP="00356C7B">
      <w:pPr>
        <w:pStyle w:val="SemEspaamento"/>
        <w:rPr>
          <w:lang w:val="pt-BR"/>
        </w:rPr>
      </w:pPr>
    </w:p>
    <w:p w14:paraId="5A87735D" w14:textId="77777777" w:rsidR="00356C7B" w:rsidRDefault="00356C7B" w:rsidP="00356C7B">
      <w:pPr>
        <w:pStyle w:val="SemEspaamento"/>
        <w:rPr>
          <w:lang w:val="pt-BR"/>
        </w:rPr>
      </w:pPr>
      <w:r w:rsidRPr="00C62706">
        <w:rPr>
          <w:lang w:val="pt-BR"/>
        </w:rPr>
        <w:t>O</w:t>
      </w:r>
      <w:r>
        <w:rPr>
          <w:lang w:val="pt-BR"/>
        </w:rPr>
        <w:t xml:space="preserve">nde, </w:t>
      </w:r>
      <m:oMath>
        <m:acc>
          <m:accPr>
            <m:ctrlPr>
              <w:rPr>
                <w:rFonts w:ascii="Cambria Math" w:hAnsi="Cambria Math"/>
                <w:i/>
                <w:lang w:val="pt-BR"/>
              </w:rPr>
            </m:ctrlPr>
          </m:accPr>
          <m:e>
            <m:sSub>
              <m:sSubPr>
                <m:ctrlPr>
                  <w:rPr>
                    <w:rFonts w:ascii="Cambria Math" w:hAnsi="Cambria Math"/>
                    <w:i/>
                    <w:lang w:val="pt-BR"/>
                  </w:rPr>
                </m:ctrlPr>
              </m:sSubPr>
              <m:e>
                <m:r>
                  <w:rPr>
                    <w:rFonts w:ascii="Cambria Math" w:hAnsi="Cambria Math"/>
                    <w:lang w:val="pt-BR"/>
                  </w:rPr>
                  <m:t>P</m:t>
                </m:r>
              </m:e>
              <m:sub>
                <m:r>
                  <w:rPr>
                    <w:rFonts w:ascii="Cambria Math" w:hAnsi="Cambria Math"/>
                    <w:lang w:val="pt-BR"/>
                  </w:rPr>
                  <m:t>i</m:t>
                </m:r>
              </m:sub>
            </m:sSub>
          </m:e>
        </m:acc>
      </m:oMath>
      <w:r>
        <w:rPr>
          <w:lang w:val="pt-BR"/>
        </w:rPr>
        <w:t>:</w:t>
      </w:r>
      <w:r w:rsidRPr="00C62706">
        <w:rPr>
          <w:lang w:val="pt-BR"/>
        </w:rPr>
        <w:t xml:space="preserve"> preço estimado para a firma </w:t>
      </w:r>
      <w:r>
        <w:rPr>
          <w:i/>
          <w:lang w:val="pt-BR"/>
        </w:rPr>
        <w:t>i</w:t>
      </w:r>
      <w:r>
        <w:rPr>
          <w:lang w:val="pt-BR"/>
        </w:rPr>
        <w:t>;</w:t>
      </w:r>
    </w:p>
    <w:p w14:paraId="1961B052" w14:textId="77777777" w:rsidR="00356C7B" w:rsidRDefault="00F274EA" w:rsidP="00356C7B">
      <w:pPr>
        <w:pStyle w:val="SemEspaamento"/>
        <w:rPr>
          <w:lang w:val="pt-BR"/>
        </w:rPr>
      </w:pPr>
      <m:oMath>
        <m:sSub>
          <m:sSubPr>
            <m:ctrlPr>
              <w:rPr>
                <w:rFonts w:ascii="Cambria Math" w:eastAsia="Times New Roman" w:hAnsi="Cambria Math"/>
                <w:i/>
                <w:lang w:val="pt-BR" w:eastAsia="pt-BR" w:bidi="ar-SA"/>
              </w:rPr>
            </m:ctrlPr>
          </m:sSubPr>
          <m:e>
            <m:r>
              <w:rPr>
                <w:rFonts w:ascii="Cambria Math" w:eastAsia="Times New Roman" w:hAnsi="Cambria Math"/>
                <w:lang w:val="pt-BR" w:eastAsia="pt-BR" w:bidi="ar-SA"/>
              </w:rPr>
              <m:t>P</m:t>
            </m:r>
          </m:e>
          <m:sub>
            <m:r>
              <w:rPr>
                <w:rFonts w:ascii="Cambria Math" w:eastAsia="Times New Roman" w:hAnsi="Cambria Math"/>
                <w:lang w:val="pt-BR" w:eastAsia="pt-BR" w:bidi="ar-SA"/>
              </w:rPr>
              <m:t>i</m:t>
            </m:r>
          </m:sub>
        </m:sSub>
      </m:oMath>
      <w:r w:rsidR="00356C7B">
        <w:rPr>
          <w:lang w:val="pt-BR"/>
        </w:rPr>
        <w:t>:</w:t>
      </w:r>
      <w:r w:rsidR="00356C7B" w:rsidRPr="00C62706">
        <w:rPr>
          <w:lang w:val="pt-BR"/>
        </w:rPr>
        <w:t xml:space="preserve"> preço observado para a firma </w:t>
      </w:r>
      <w:r w:rsidR="00356C7B">
        <w:rPr>
          <w:i/>
          <w:lang w:val="pt-BR"/>
        </w:rPr>
        <w:t>i</w:t>
      </w:r>
      <w:r w:rsidR="00356C7B">
        <w:rPr>
          <w:lang w:val="pt-BR"/>
        </w:rPr>
        <w:t>; e</w:t>
      </w:r>
    </w:p>
    <w:p w14:paraId="53B60517" w14:textId="77777777" w:rsidR="00356C7B" w:rsidRDefault="00356C7B" w:rsidP="00356C7B">
      <w:pPr>
        <w:pStyle w:val="SemEspaamento"/>
        <w:rPr>
          <w:lang w:val="pt-BR"/>
        </w:rPr>
      </w:pPr>
      <w:r w:rsidRPr="00C62706">
        <w:rPr>
          <w:i/>
          <w:lang w:val="pt-BR"/>
        </w:rPr>
        <w:t>n</w:t>
      </w:r>
      <w:r>
        <w:rPr>
          <w:lang w:val="pt-BR"/>
        </w:rPr>
        <w:t>:</w:t>
      </w:r>
      <w:r w:rsidRPr="00C62706">
        <w:rPr>
          <w:lang w:val="pt-BR"/>
        </w:rPr>
        <w:t xml:space="preserve"> quantidade de empresas.</w:t>
      </w:r>
    </w:p>
    <w:p w14:paraId="08EE3241" w14:textId="77777777" w:rsidR="00356C7B" w:rsidRDefault="00356C7B" w:rsidP="00356C7B">
      <w:pPr>
        <w:pStyle w:val="SemEspaamento"/>
        <w:rPr>
          <w:lang w:val="pt-BR"/>
        </w:rPr>
      </w:pPr>
    </w:p>
    <w:p w14:paraId="350A947F" w14:textId="77777777" w:rsidR="00356C7B" w:rsidRDefault="00356C7B" w:rsidP="00356C7B">
      <w:pPr>
        <w:pStyle w:val="SemEspaamento"/>
        <w:rPr>
          <w:lang w:val="pt-BR"/>
        </w:rPr>
      </w:pPr>
      <w:r>
        <w:rPr>
          <w:lang w:val="pt-BR"/>
        </w:rPr>
        <w:t xml:space="preserve">O preço estimado foi calculado conforme </w:t>
      </w:r>
      <w:r w:rsidR="003B0C6B">
        <w:rPr>
          <w:lang w:val="pt-BR"/>
        </w:rPr>
        <w:t>E</w:t>
      </w:r>
      <w:r>
        <w:rPr>
          <w:lang w:val="pt-BR"/>
        </w:rPr>
        <w:t>quação 1 apresentada na revisão de literatura, onde o preço estimado pelo múltiplo da empresa alvo é resultado da multiplicação do múltiplo das empresas comparáveis (no caso deste trabalho, o múltiplo médio dos demais bancos) pela variável econômica – lucro líquido, valor contábil ou lucro operacional da empresa alvo.</w:t>
      </w:r>
    </w:p>
    <w:p w14:paraId="71EF9E68" w14:textId="77777777" w:rsidR="00356C7B" w:rsidRDefault="00356C7B" w:rsidP="00356C7B">
      <w:pPr>
        <w:pStyle w:val="SemEspaamento"/>
        <w:rPr>
          <w:rFonts w:eastAsia="Times New Roman"/>
          <w:lang w:val="pt-BR" w:eastAsia="pt-BR" w:bidi="ar-SA"/>
        </w:rPr>
      </w:pPr>
      <w:r>
        <w:rPr>
          <w:rFonts w:eastAsia="Times New Roman"/>
          <w:lang w:val="pt-BR" w:eastAsia="pt-BR" w:bidi="ar-SA"/>
        </w:rPr>
        <w:t xml:space="preserve">Para alcançar o objetivo específico de determinar os fatores relevantes dos múltiplos, foi aplicada regressão linear múltipla com dados em painel. As variáveis que foram consideradas como explicativas dos múltiplos bem como as suas </w:t>
      </w:r>
      <w:r w:rsidRPr="008C1445">
        <w:rPr>
          <w:rFonts w:eastAsia="Times New Roman"/>
          <w:i/>
          <w:lang w:val="pt-BR" w:eastAsia="pt-BR" w:bidi="ar-SA"/>
        </w:rPr>
        <w:t>proxies</w:t>
      </w:r>
      <w:r>
        <w:rPr>
          <w:rFonts w:eastAsia="Times New Roman"/>
          <w:lang w:val="pt-BR" w:eastAsia="pt-BR" w:bidi="ar-SA"/>
        </w:rPr>
        <w:t xml:space="preserve">, sinal esperado e fundamentação teórica são </w:t>
      </w:r>
      <w:proofErr w:type="gramStart"/>
      <w:r>
        <w:rPr>
          <w:rFonts w:eastAsia="Times New Roman"/>
          <w:lang w:val="pt-BR" w:eastAsia="pt-BR" w:bidi="ar-SA"/>
        </w:rPr>
        <w:t>mostrados</w:t>
      </w:r>
      <w:proofErr w:type="gramEnd"/>
      <w:r>
        <w:rPr>
          <w:rFonts w:eastAsia="Times New Roman"/>
          <w:lang w:val="pt-BR" w:eastAsia="pt-BR" w:bidi="ar-SA"/>
        </w:rPr>
        <w:t xml:space="preserve"> na Figura 2. </w:t>
      </w:r>
    </w:p>
    <w:p w14:paraId="109CE68F" w14:textId="77777777" w:rsidR="00356C7B" w:rsidRDefault="00356C7B" w:rsidP="00356C7B">
      <w:pPr>
        <w:pStyle w:val="SemEspaamento"/>
        <w:rPr>
          <w:rFonts w:eastAsia="Times New Roman"/>
          <w:lang w:val="pt-BR" w:eastAsia="pt-BR" w:bidi="ar-SA"/>
        </w:rPr>
      </w:pPr>
    </w:p>
    <w:tbl>
      <w:tblPr>
        <w:tblW w:w="5000" w:type="pct"/>
        <w:tblLook w:val="04A0" w:firstRow="1" w:lastRow="0" w:firstColumn="1" w:lastColumn="0" w:noHBand="0" w:noVBand="1"/>
      </w:tblPr>
      <w:tblGrid>
        <w:gridCol w:w="2570"/>
        <w:gridCol w:w="3081"/>
        <w:gridCol w:w="1025"/>
        <w:gridCol w:w="2395"/>
      </w:tblGrid>
      <w:tr w:rsidR="00356C7B" w:rsidRPr="00DD165B" w14:paraId="6D6870ED" w14:textId="77777777" w:rsidTr="002E04DA">
        <w:tc>
          <w:tcPr>
            <w:tcW w:w="1417" w:type="pct"/>
            <w:tcBorders>
              <w:top w:val="single" w:sz="4" w:space="0" w:color="auto"/>
              <w:bottom w:val="single" w:sz="4" w:space="0" w:color="auto"/>
            </w:tcBorders>
            <w:vAlign w:val="center"/>
          </w:tcPr>
          <w:p w14:paraId="6E45A947" w14:textId="77777777" w:rsidR="00356C7B" w:rsidRPr="00DD165B" w:rsidRDefault="00356C7B" w:rsidP="00356C7B">
            <w:pPr>
              <w:spacing w:before="0" w:after="0" w:line="240" w:lineRule="auto"/>
              <w:jc w:val="center"/>
              <w:rPr>
                <w:rFonts w:eastAsia="Times New Roman" w:cs="Times New Roman"/>
                <w:sz w:val="20"/>
                <w:szCs w:val="20"/>
                <w:lang w:val="pt-BR" w:eastAsia="pt-BR" w:bidi="ar-SA"/>
              </w:rPr>
            </w:pPr>
            <w:r w:rsidRPr="00DD165B">
              <w:rPr>
                <w:rFonts w:eastAsia="Times New Roman" w:cs="Times New Roman"/>
                <w:sz w:val="20"/>
                <w:szCs w:val="20"/>
                <w:lang w:val="pt-BR" w:eastAsia="pt-BR" w:bidi="ar-SA"/>
              </w:rPr>
              <w:t>Variável</w:t>
            </w:r>
          </w:p>
        </w:tc>
        <w:tc>
          <w:tcPr>
            <w:tcW w:w="1698" w:type="pct"/>
            <w:tcBorders>
              <w:top w:val="single" w:sz="4" w:space="0" w:color="auto"/>
              <w:bottom w:val="single" w:sz="4" w:space="0" w:color="auto"/>
            </w:tcBorders>
            <w:vAlign w:val="center"/>
          </w:tcPr>
          <w:p w14:paraId="017C04E1" w14:textId="77777777" w:rsidR="00356C7B" w:rsidRPr="00DD165B" w:rsidRDefault="00356C7B" w:rsidP="00356C7B">
            <w:pPr>
              <w:spacing w:before="0" w:after="0" w:line="240" w:lineRule="auto"/>
              <w:jc w:val="center"/>
              <w:rPr>
                <w:rFonts w:eastAsia="Times New Roman" w:cs="Times New Roman"/>
                <w:i/>
                <w:sz w:val="20"/>
                <w:szCs w:val="20"/>
                <w:lang w:val="pt-BR" w:eastAsia="pt-BR" w:bidi="ar-SA"/>
              </w:rPr>
            </w:pPr>
            <w:r w:rsidRPr="00DD165B">
              <w:rPr>
                <w:rFonts w:eastAsia="Times New Roman" w:cs="Times New Roman"/>
                <w:i/>
                <w:sz w:val="20"/>
                <w:szCs w:val="20"/>
                <w:lang w:val="pt-BR" w:eastAsia="pt-BR" w:bidi="ar-SA"/>
              </w:rPr>
              <w:t>Prox</w:t>
            </w:r>
            <w:r>
              <w:rPr>
                <w:rFonts w:eastAsia="Times New Roman" w:cs="Times New Roman"/>
                <w:i/>
                <w:sz w:val="20"/>
                <w:szCs w:val="20"/>
                <w:lang w:val="pt-BR" w:eastAsia="pt-BR" w:bidi="ar-SA"/>
              </w:rPr>
              <w:t>y</w:t>
            </w:r>
          </w:p>
        </w:tc>
        <w:tc>
          <w:tcPr>
            <w:tcW w:w="565" w:type="pct"/>
            <w:tcBorders>
              <w:top w:val="single" w:sz="4" w:space="0" w:color="auto"/>
              <w:bottom w:val="single" w:sz="4" w:space="0" w:color="auto"/>
            </w:tcBorders>
            <w:vAlign w:val="center"/>
          </w:tcPr>
          <w:p w14:paraId="0DD3D76D" w14:textId="77777777" w:rsidR="00356C7B" w:rsidRPr="00DD165B" w:rsidRDefault="00356C7B" w:rsidP="00356C7B">
            <w:pPr>
              <w:spacing w:before="0" w:after="0" w:line="240" w:lineRule="auto"/>
              <w:jc w:val="center"/>
              <w:rPr>
                <w:rFonts w:eastAsia="Times New Roman" w:cs="Times New Roman"/>
                <w:sz w:val="20"/>
                <w:szCs w:val="20"/>
                <w:lang w:val="pt-BR" w:eastAsia="pt-BR" w:bidi="ar-SA"/>
              </w:rPr>
            </w:pPr>
            <w:r w:rsidRPr="00DD165B">
              <w:rPr>
                <w:rFonts w:eastAsia="Times New Roman" w:cs="Times New Roman"/>
                <w:sz w:val="20"/>
                <w:szCs w:val="20"/>
                <w:lang w:val="pt-BR" w:eastAsia="pt-BR" w:bidi="ar-SA"/>
              </w:rPr>
              <w:t>Sinal Esperado</w:t>
            </w:r>
          </w:p>
        </w:tc>
        <w:tc>
          <w:tcPr>
            <w:tcW w:w="1320" w:type="pct"/>
            <w:tcBorders>
              <w:top w:val="single" w:sz="4" w:space="0" w:color="auto"/>
              <w:bottom w:val="single" w:sz="4" w:space="0" w:color="auto"/>
            </w:tcBorders>
            <w:vAlign w:val="center"/>
          </w:tcPr>
          <w:p w14:paraId="12FC201B" w14:textId="77777777" w:rsidR="00356C7B" w:rsidRPr="00DD165B" w:rsidRDefault="00356C7B" w:rsidP="00356C7B">
            <w:pPr>
              <w:spacing w:before="0" w:after="0" w:line="240" w:lineRule="auto"/>
              <w:jc w:val="center"/>
              <w:rPr>
                <w:rFonts w:eastAsia="Times New Roman" w:cs="Times New Roman"/>
                <w:sz w:val="20"/>
                <w:szCs w:val="20"/>
                <w:lang w:val="pt-BR" w:eastAsia="pt-BR" w:bidi="ar-SA"/>
              </w:rPr>
            </w:pPr>
            <w:r w:rsidRPr="00DD165B">
              <w:rPr>
                <w:rFonts w:eastAsia="Times New Roman" w:cs="Times New Roman"/>
                <w:sz w:val="20"/>
                <w:szCs w:val="20"/>
                <w:lang w:val="pt-BR" w:eastAsia="pt-BR" w:bidi="ar-SA"/>
              </w:rPr>
              <w:t>Fundamentação Teórica</w:t>
            </w:r>
          </w:p>
        </w:tc>
      </w:tr>
      <w:tr w:rsidR="00356C7B" w:rsidRPr="00DD165B" w14:paraId="754C7C27" w14:textId="77777777" w:rsidTr="009C26B0">
        <w:tc>
          <w:tcPr>
            <w:tcW w:w="1417" w:type="pct"/>
            <w:tcBorders>
              <w:top w:val="single" w:sz="4" w:space="0" w:color="auto"/>
            </w:tcBorders>
            <w:vAlign w:val="center"/>
          </w:tcPr>
          <w:p w14:paraId="5AC136BC" w14:textId="77777777" w:rsidR="00356C7B" w:rsidRPr="00DD165B" w:rsidRDefault="00356C7B" w:rsidP="009C26B0">
            <w:pPr>
              <w:spacing w:before="0" w:after="0" w:line="240" w:lineRule="auto"/>
              <w:jc w:val="center"/>
              <w:rPr>
                <w:rFonts w:eastAsia="Times New Roman" w:cs="Times New Roman"/>
                <w:sz w:val="20"/>
                <w:szCs w:val="20"/>
                <w:lang w:val="pt-BR" w:eastAsia="pt-BR" w:bidi="ar-SA"/>
              </w:rPr>
            </w:pPr>
            <w:r w:rsidRPr="00DD165B">
              <w:rPr>
                <w:rFonts w:eastAsia="Times New Roman" w:cs="Times New Roman"/>
                <w:sz w:val="20"/>
                <w:szCs w:val="20"/>
                <w:lang w:val="pt-BR" w:eastAsia="pt-BR" w:bidi="ar-SA"/>
              </w:rPr>
              <w:t xml:space="preserve">Retorno sobre o patrimônio líquido </w:t>
            </w:r>
            <w:r w:rsidR="00BF6AD0">
              <w:rPr>
                <w:rFonts w:eastAsia="Times New Roman" w:cs="Times New Roman"/>
                <w:sz w:val="20"/>
                <w:szCs w:val="20"/>
                <w:lang w:val="pt-BR" w:eastAsia="pt-BR" w:bidi="ar-SA"/>
              </w:rPr>
              <w:t xml:space="preserve">do período anterior </w:t>
            </w:r>
            <w:r w:rsidRPr="00DD165B">
              <w:rPr>
                <w:rFonts w:eastAsia="Times New Roman" w:cs="Times New Roman"/>
                <w:sz w:val="20"/>
                <w:szCs w:val="20"/>
                <w:lang w:val="pt-BR" w:eastAsia="pt-BR" w:bidi="ar-SA"/>
              </w:rPr>
              <w:t>(</w:t>
            </w:r>
            <m:oMath>
              <m:sSub>
                <m:sSubPr>
                  <m:ctrlPr>
                    <w:rPr>
                      <w:rFonts w:ascii="Cambria Math" w:eastAsia="Times New Roman" w:hAnsi="Cambria Math" w:cs="Times New Roman"/>
                      <w:i/>
                      <w:sz w:val="20"/>
                      <w:szCs w:val="20"/>
                      <w:lang w:val="pt-BR" w:eastAsia="pt-BR" w:bidi="ar-SA"/>
                    </w:rPr>
                  </m:ctrlPr>
                </m:sSubPr>
                <m:e>
                  <m:r>
                    <w:rPr>
                      <w:rFonts w:ascii="Cambria Math" w:eastAsia="Times New Roman" w:hAnsi="Cambria Math" w:cs="Times New Roman"/>
                      <w:sz w:val="20"/>
                      <w:szCs w:val="20"/>
                      <w:lang w:val="pt-BR" w:eastAsia="pt-BR" w:bidi="ar-SA"/>
                    </w:rPr>
                    <m:t>ROE</m:t>
                  </m:r>
                </m:e>
                <m:sub>
                  <m:r>
                    <w:rPr>
                      <w:rFonts w:ascii="Cambria Math" w:eastAsia="Times New Roman" w:hAnsi="Cambria Math" w:cs="Times New Roman"/>
                      <w:sz w:val="20"/>
                      <w:szCs w:val="20"/>
                      <w:lang w:val="pt-BR" w:eastAsia="pt-BR" w:bidi="ar-SA"/>
                    </w:rPr>
                    <m:t>t-1</m:t>
                  </m:r>
                </m:sub>
              </m:sSub>
            </m:oMath>
            <w:r w:rsidRPr="00DD165B">
              <w:rPr>
                <w:rFonts w:eastAsia="Times New Roman" w:cs="Times New Roman"/>
                <w:sz w:val="20"/>
                <w:szCs w:val="20"/>
                <w:lang w:val="pt-BR" w:eastAsia="pt-BR" w:bidi="ar-SA"/>
              </w:rPr>
              <w:t>)</w:t>
            </w:r>
          </w:p>
        </w:tc>
        <w:tc>
          <w:tcPr>
            <w:tcW w:w="1698" w:type="pct"/>
            <w:tcBorders>
              <w:top w:val="single" w:sz="4" w:space="0" w:color="auto"/>
            </w:tcBorders>
            <w:vAlign w:val="center"/>
          </w:tcPr>
          <w:p w14:paraId="415DAB7B" w14:textId="77777777" w:rsidR="00356C7B" w:rsidRPr="00BF6AD0" w:rsidRDefault="00F274EA" w:rsidP="009C26B0">
            <w:pPr>
              <w:spacing w:before="0" w:after="0" w:line="240" w:lineRule="auto"/>
              <w:jc w:val="center"/>
              <w:rPr>
                <w:rFonts w:eastAsia="Times New Roman" w:cs="Times New Roman"/>
                <w:i/>
                <w:sz w:val="20"/>
                <w:szCs w:val="20"/>
                <w:lang w:val="pt-BR" w:eastAsia="pt-BR" w:bidi="ar-SA"/>
              </w:rPr>
            </w:pPr>
            <m:oMathPara>
              <m:oMath>
                <m:f>
                  <m:fPr>
                    <m:ctrlPr>
                      <w:rPr>
                        <w:rFonts w:ascii="Cambria Math" w:eastAsia="Times New Roman" w:hAnsi="Cambria Math" w:cs="Times New Roman"/>
                        <w:i/>
                        <w:sz w:val="20"/>
                        <w:szCs w:val="20"/>
                        <w:lang w:val="pt-BR" w:eastAsia="pt-BR" w:bidi="ar-SA"/>
                      </w:rPr>
                    </m:ctrlPr>
                  </m:fPr>
                  <m:num>
                    <m:sSub>
                      <m:sSubPr>
                        <m:ctrlPr>
                          <w:rPr>
                            <w:rFonts w:ascii="Cambria Math" w:eastAsia="Times New Roman" w:hAnsi="Cambria Math" w:cs="Times New Roman"/>
                            <w:i/>
                            <w:sz w:val="20"/>
                            <w:szCs w:val="20"/>
                            <w:lang w:val="pt-BR" w:eastAsia="pt-BR" w:bidi="ar-SA"/>
                          </w:rPr>
                        </m:ctrlPr>
                      </m:sSubPr>
                      <m:e>
                        <m:r>
                          <w:rPr>
                            <w:rFonts w:ascii="Cambria Math" w:eastAsia="Times New Roman" w:hAnsi="Cambria Math" w:cs="Times New Roman"/>
                            <w:sz w:val="20"/>
                            <w:szCs w:val="20"/>
                            <w:lang w:val="pt-BR" w:eastAsia="pt-BR" w:bidi="ar-SA"/>
                          </w:rPr>
                          <m:t>Lucro Líquido</m:t>
                        </m:r>
                      </m:e>
                      <m:sub>
                        <m:r>
                          <w:rPr>
                            <w:rFonts w:ascii="Cambria Math" w:eastAsia="Times New Roman" w:hAnsi="Cambria Math" w:cs="Times New Roman"/>
                            <w:sz w:val="20"/>
                            <w:szCs w:val="20"/>
                            <w:lang w:val="pt-BR" w:eastAsia="pt-BR" w:bidi="ar-SA"/>
                          </w:rPr>
                          <m:t>t-1</m:t>
                        </m:r>
                      </m:sub>
                    </m:sSub>
                  </m:num>
                  <m:den>
                    <m:sSub>
                      <m:sSubPr>
                        <m:ctrlPr>
                          <w:rPr>
                            <w:rFonts w:ascii="Cambria Math" w:eastAsia="Times New Roman" w:hAnsi="Cambria Math" w:cs="Times New Roman"/>
                            <w:i/>
                            <w:sz w:val="20"/>
                            <w:szCs w:val="20"/>
                            <w:lang w:val="pt-BR" w:eastAsia="pt-BR" w:bidi="ar-SA"/>
                          </w:rPr>
                        </m:ctrlPr>
                      </m:sSubPr>
                      <m:e>
                        <m:r>
                          <w:rPr>
                            <w:rFonts w:ascii="Cambria Math" w:eastAsia="Times New Roman" w:hAnsi="Cambria Math" w:cs="Times New Roman"/>
                            <w:sz w:val="20"/>
                            <w:szCs w:val="20"/>
                            <w:lang w:val="pt-BR" w:eastAsia="pt-BR" w:bidi="ar-SA"/>
                          </w:rPr>
                          <m:t>Patrimônio Líquido</m:t>
                        </m:r>
                      </m:e>
                      <m:sub>
                        <m:r>
                          <w:rPr>
                            <w:rFonts w:ascii="Cambria Math" w:eastAsia="Times New Roman" w:hAnsi="Cambria Math" w:cs="Times New Roman"/>
                            <w:sz w:val="20"/>
                            <w:szCs w:val="20"/>
                            <w:lang w:val="pt-BR" w:eastAsia="pt-BR" w:bidi="ar-SA"/>
                          </w:rPr>
                          <m:t>t-1</m:t>
                        </m:r>
                      </m:sub>
                    </m:sSub>
                  </m:den>
                </m:f>
              </m:oMath>
            </m:oMathPara>
          </w:p>
        </w:tc>
        <w:tc>
          <w:tcPr>
            <w:tcW w:w="565" w:type="pct"/>
            <w:tcBorders>
              <w:top w:val="single" w:sz="4" w:space="0" w:color="auto"/>
            </w:tcBorders>
            <w:vAlign w:val="center"/>
          </w:tcPr>
          <w:p w14:paraId="418857B7" w14:textId="77777777" w:rsidR="00356C7B" w:rsidRPr="00DD165B" w:rsidRDefault="00356C7B" w:rsidP="009C26B0">
            <w:pPr>
              <w:spacing w:before="0" w:after="0" w:line="240" w:lineRule="auto"/>
              <w:jc w:val="center"/>
              <w:rPr>
                <w:rFonts w:eastAsia="Times New Roman" w:cs="Times New Roman"/>
                <w:sz w:val="20"/>
                <w:szCs w:val="20"/>
                <w:lang w:val="pt-BR" w:eastAsia="pt-BR" w:bidi="ar-SA"/>
              </w:rPr>
            </w:pPr>
            <w:r>
              <w:rPr>
                <w:rFonts w:eastAsia="Times New Roman" w:cs="Times New Roman"/>
                <w:sz w:val="20"/>
                <w:szCs w:val="20"/>
                <w:lang w:val="pt-BR" w:eastAsia="pt-BR" w:bidi="ar-SA"/>
              </w:rPr>
              <w:t>+</w:t>
            </w:r>
          </w:p>
        </w:tc>
        <w:tc>
          <w:tcPr>
            <w:tcW w:w="1320" w:type="pct"/>
            <w:tcBorders>
              <w:top w:val="single" w:sz="4" w:space="0" w:color="auto"/>
            </w:tcBorders>
            <w:vAlign w:val="center"/>
          </w:tcPr>
          <w:p w14:paraId="2699CCA4" w14:textId="7DA9388F" w:rsidR="00356C7B" w:rsidRPr="00DD165B" w:rsidRDefault="00356C7B" w:rsidP="009C26B0">
            <w:pPr>
              <w:spacing w:before="0" w:after="0" w:line="240" w:lineRule="auto"/>
              <w:jc w:val="center"/>
              <w:rPr>
                <w:rFonts w:eastAsia="Times New Roman" w:cs="Times New Roman"/>
                <w:sz w:val="20"/>
                <w:szCs w:val="20"/>
                <w:lang w:val="pt-BR" w:eastAsia="pt-BR" w:bidi="ar-SA"/>
              </w:rPr>
            </w:pPr>
            <w:r>
              <w:rPr>
                <w:rFonts w:eastAsia="Times New Roman" w:cs="Times New Roman"/>
                <w:sz w:val="20"/>
                <w:szCs w:val="20"/>
                <w:lang w:val="pt-BR" w:eastAsia="pt-BR" w:bidi="ar-SA"/>
              </w:rPr>
              <w:t xml:space="preserve">Serra </w:t>
            </w:r>
            <w:r w:rsidR="002E5657">
              <w:rPr>
                <w:rFonts w:eastAsia="Times New Roman" w:cs="Times New Roman"/>
                <w:sz w:val="20"/>
                <w:szCs w:val="20"/>
                <w:lang w:val="pt-BR" w:eastAsia="pt-BR" w:bidi="ar-SA"/>
              </w:rPr>
              <w:t>e</w:t>
            </w:r>
            <w:r>
              <w:rPr>
                <w:rFonts w:eastAsia="Times New Roman" w:cs="Times New Roman"/>
                <w:sz w:val="20"/>
                <w:szCs w:val="20"/>
                <w:lang w:val="pt-BR" w:eastAsia="pt-BR" w:bidi="ar-SA"/>
              </w:rPr>
              <w:t xml:space="preserve"> Fávero (2016)</w:t>
            </w:r>
          </w:p>
        </w:tc>
      </w:tr>
      <w:tr w:rsidR="00356C7B" w:rsidRPr="00F95C0F" w14:paraId="3073CEE7" w14:textId="77777777" w:rsidTr="009C26B0">
        <w:tc>
          <w:tcPr>
            <w:tcW w:w="1417" w:type="pct"/>
            <w:vAlign w:val="center"/>
          </w:tcPr>
          <w:p w14:paraId="1243D670" w14:textId="77777777" w:rsidR="00356C7B" w:rsidRPr="00DD165B" w:rsidRDefault="00356C7B" w:rsidP="009C26B0">
            <w:pPr>
              <w:spacing w:before="0" w:after="0" w:line="240" w:lineRule="auto"/>
              <w:jc w:val="center"/>
              <w:rPr>
                <w:rFonts w:eastAsia="Times New Roman" w:cs="Times New Roman"/>
                <w:sz w:val="20"/>
                <w:szCs w:val="20"/>
                <w:lang w:val="pt-BR" w:eastAsia="pt-BR" w:bidi="ar-SA"/>
              </w:rPr>
            </w:pPr>
            <w:r>
              <w:rPr>
                <w:rFonts w:eastAsia="Times New Roman" w:cs="Times New Roman"/>
                <w:sz w:val="20"/>
                <w:szCs w:val="20"/>
                <w:lang w:val="pt-BR" w:eastAsia="pt-BR" w:bidi="ar-SA"/>
              </w:rPr>
              <w:t>Risco do negócio (RISC)</w:t>
            </w:r>
          </w:p>
        </w:tc>
        <w:tc>
          <w:tcPr>
            <w:tcW w:w="1698" w:type="pct"/>
            <w:vAlign w:val="center"/>
          </w:tcPr>
          <w:p w14:paraId="4F863A50" w14:textId="77777777" w:rsidR="00356C7B" w:rsidRPr="00DD165B" w:rsidRDefault="00356C7B" w:rsidP="009C26B0">
            <w:pPr>
              <w:spacing w:before="0" w:after="0" w:line="240" w:lineRule="auto"/>
              <w:jc w:val="center"/>
              <w:rPr>
                <w:rFonts w:eastAsia="Times New Roman" w:cs="Times New Roman"/>
                <w:sz w:val="20"/>
                <w:szCs w:val="20"/>
                <w:lang w:val="pt-BR" w:eastAsia="pt-BR" w:bidi="ar-SA"/>
              </w:rPr>
            </w:pPr>
            <w:r>
              <w:rPr>
                <w:rFonts w:eastAsia="Times New Roman" w:cs="Times New Roman"/>
                <w:sz w:val="20"/>
                <w:szCs w:val="20"/>
                <w:lang w:val="pt-BR" w:eastAsia="pt-BR" w:bidi="ar-SA"/>
              </w:rPr>
              <w:t>Desvio padrão d</w:t>
            </w:r>
            <w:r w:rsidR="009C231B">
              <w:rPr>
                <w:rFonts w:eastAsia="Times New Roman" w:cs="Times New Roman"/>
                <w:sz w:val="20"/>
                <w:szCs w:val="20"/>
                <w:lang w:val="pt-BR" w:eastAsia="pt-BR" w:bidi="ar-SA"/>
              </w:rPr>
              <w:t>o retorno da ação</w:t>
            </w:r>
          </w:p>
        </w:tc>
        <w:tc>
          <w:tcPr>
            <w:tcW w:w="565" w:type="pct"/>
            <w:vAlign w:val="center"/>
          </w:tcPr>
          <w:p w14:paraId="6B77EEAB" w14:textId="5E2686EC" w:rsidR="00356C7B" w:rsidRPr="00DD165B" w:rsidRDefault="001268DB" w:rsidP="009C26B0">
            <w:pPr>
              <w:spacing w:before="0" w:after="0" w:line="240" w:lineRule="auto"/>
              <w:jc w:val="center"/>
              <w:rPr>
                <w:rFonts w:eastAsia="Times New Roman" w:cs="Times New Roman"/>
                <w:sz w:val="20"/>
                <w:szCs w:val="20"/>
                <w:lang w:val="pt-BR" w:eastAsia="pt-BR" w:bidi="ar-SA"/>
              </w:rPr>
            </w:pPr>
            <w:r>
              <w:rPr>
                <w:rFonts w:eastAsia="Times New Roman" w:cs="Times New Roman"/>
                <w:sz w:val="20"/>
                <w:szCs w:val="20"/>
                <w:lang w:val="pt-BR" w:eastAsia="pt-BR" w:bidi="ar-SA"/>
              </w:rPr>
              <w:t>-</w:t>
            </w:r>
          </w:p>
        </w:tc>
        <w:tc>
          <w:tcPr>
            <w:tcW w:w="1320" w:type="pct"/>
            <w:vAlign w:val="center"/>
          </w:tcPr>
          <w:p w14:paraId="19097444" w14:textId="77777777" w:rsidR="00356C7B" w:rsidRDefault="00356C7B" w:rsidP="009C26B0">
            <w:pPr>
              <w:spacing w:before="0" w:after="0" w:line="240" w:lineRule="auto"/>
              <w:jc w:val="center"/>
              <w:rPr>
                <w:rFonts w:eastAsia="Times New Roman" w:cs="Times New Roman"/>
                <w:sz w:val="20"/>
                <w:szCs w:val="20"/>
                <w:lang w:val="pt-BR" w:eastAsia="pt-BR" w:bidi="ar-SA"/>
              </w:rPr>
            </w:pPr>
            <w:r>
              <w:rPr>
                <w:rFonts w:eastAsia="Times New Roman" w:cs="Times New Roman"/>
                <w:sz w:val="20"/>
                <w:szCs w:val="20"/>
                <w:lang w:val="pt-BR" w:eastAsia="pt-BR" w:bidi="ar-SA"/>
              </w:rPr>
              <w:t xml:space="preserve">Serra </w:t>
            </w:r>
            <w:r w:rsidR="002E5657">
              <w:rPr>
                <w:rFonts w:eastAsia="Times New Roman" w:cs="Times New Roman"/>
                <w:sz w:val="20"/>
                <w:szCs w:val="20"/>
                <w:lang w:val="pt-BR" w:eastAsia="pt-BR" w:bidi="ar-SA"/>
              </w:rPr>
              <w:t>e</w:t>
            </w:r>
            <w:r>
              <w:rPr>
                <w:rFonts w:eastAsia="Times New Roman" w:cs="Times New Roman"/>
                <w:sz w:val="20"/>
                <w:szCs w:val="20"/>
                <w:lang w:val="pt-BR" w:eastAsia="pt-BR" w:bidi="ar-SA"/>
              </w:rPr>
              <w:t xml:space="preserve"> Fávero (2016)</w:t>
            </w:r>
          </w:p>
          <w:p w14:paraId="730C0DA1" w14:textId="18974E33" w:rsidR="009C26B0" w:rsidRPr="00DD165B" w:rsidRDefault="009C26B0" w:rsidP="009C26B0">
            <w:pPr>
              <w:spacing w:before="0" w:after="0" w:line="240" w:lineRule="auto"/>
              <w:jc w:val="center"/>
              <w:rPr>
                <w:rFonts w:eastAsia="Times New Roman" w:cs="Times New Roman"/>
                <w:sz w:val="20"/>
                <w:szCs w:val="20"/>
                <w:lang w:val="pt-BR" w:eastAsia="pt-BR" w:bidi="ar-SA"/>
              </w:rPr>
            </w:pPr>
            <w:r>
              <w:rPr>
                <w:rFonts w:eastAsia="Times New Roman" w:cs="Times New Roman"/>
                <w:sz w:val="20"/>
                <w:szCs w:val="20"/>
                <w:lang w:val="pt-BR" w:eastAsia="pt-BR" w:bidi="ar-SA"/>
              </w:rPr>
              <w:t>Serra e Saito (2016)</w:t>
            </w:r>
          </w:p>
        </w:tc>
      </w:tr>
      <w:tr w:rsidR="00356C7B" w:rsidRPr="00F95C0F" w14:paraId="5AEB7A3D" w14:textId="77777777" w:rsidTr="009C26B0">
        <w:tc>
          <w:tcPr>
            <w:tcW w:w="1417" w:type="pct"/>
            <w:vAlign w:val="center"/>
          </w:tcPr>
          <w:p w14:paraId="65D53FAB" w14:textId="77777777" w:rsidR="00356C7B" w:rsidRPr="00DD165B" w:rsidRDefault="00356C7B" w:rsidP="009C26B0">
            <w:pPr>
              <w:spacing w:before="0" w:after="0" w:line="240" w:lineRule="auto"/>
              <w:jc w:val="center"/>
              <w:rPr>
                <w:rFonts w:eastAsia="Times New Roman" w:cs="Times New Roman"/>
                <w:sz w:val="20"/>
                <w:szCs w:val="20"/>
                <w:lang w:val="pt-BR" w:eastAsia="pt-BR" w:bidi="ar-SA"/>
              </w:rPr>
            </w:pPr>
            <w:r>
              <w:rPr>
                <w:rFonts w:eastAsia="Times New Roman" w:cs="Times New Roman"/>
                <w:sz w:val="20"/>
                <w:szCs w:val="20"/>
                <w:lang w:val="pt-BR" w:eastAsia="pt-BR" w:bidi="ar-SA"/>
              </w:rPr>
              <w:t>Tamanho (TAM)</w:t>
            </w:r>
          </w:p>
        </w:tc>
        <w:tc>
          <w:tcPr>
            <w:tcW w:w="1698" w:type="pct"/>
            <w:vAlign w:val="center"/>
          </w:tcPr>
          <w:p w14:paraId="40F87576" w14:textId="77777777" w:rsidR="00356C7B" w:rsidRPr="00DD165B" w:rsidRDefault="00356C7B" w:rsidP="009C26B0">
            <w:pPr>
              <w:spacing w:before="0" w:after="0" w:line="240" w:lineRule="auto"/>
              <w:jc w:val="center"/>
              <w:rPr>
                <w:rFonts w:eastAsia="Times New Roman" w:cs="Times New Roman"/>
                <w:sz w:val="20"/>
                <w:szCs w:val="20"/>
                <w:lang w:val="pt-BR" w:eastAsia="pt-BR" w:bidi="ar-SA"/>
              </w:rPr>
            </w:pPr>
            <w:r>
              <w:rPr>
                <w:rFonts w:eastAsia="Times New Roman" w:cs="Times New Roman"/>
                <w:sz w:val="20"/>
                <w:szCs w:val="20"/>
                <w:lang w:val="pt-BR" w:eastAsia="pt-BR" w:bidi="ar-SA"/>
              </w:rPr>
              <w:t>Logaritmo neperiano do ativo total</w:t>
            </w:r>
          </w:p>
        </w:tc>
        <w:tc>
          <w:tcPr>
            <w:tcW w:w="565" w:type="pct"/>
            <w:vAlign w:val="center"/>
          </w:tcPr>
          <w:p w14:paraId="16BF10C1" w14:textId="77777777" w:rsidR="00356C7B" w:rsidRPr="00DD165B" w:rsidRDefault="00356C7B" w:rsidP="009C26B0">
            <w:pPr>
              <w:spacing w:before="0" w:after="0" w:line="240" w:lineRule="auto"/>
              <w:jc w:val="center"/>
              <w:rPr>
                <w:rFonts w:eastAsia="Times New Roman" w:cs="Times New Roman"/>
                <w:sz w:val="20"/>
                <w:szCs w:val="20"/>
                <w:lang w:val="pt-BR" w:eastAsia="pt-BR" w:bidi="ar-SA"/>
              </w:rPr>
            </w:pPr>
            <w:r>
              <w:rPr>
                <w:rFonts w:eastAsia="Times New Roman" w:cs="Times New Roman"/>
                <w:sz w:val="20"/>
                <w:szCs w:val="20"/>
                <w:lang w:val="pt-BR" w:eastAsia="pt-BR" w:bidi="ar-SA"/>
              </w:rPr>
              <w:t>+</w:t>
            </w:r>
          </w:p>
        </w:tc>
        <w:tc>
          <w:tcPr>
            <w:tcW w:w="1320" w:type="pct"/>
            <w:vAlign w:val="center"/>
          </w:tcPr>
          <w:p w14:paraId="3AF26A45" w14:textId="63D41BFC" w:rsidR="00356C7B" w:rsidRDefault="00356C7B" w:rsidP="009C26B0">
            <w:pPr>
              <w:spacing w:before="0" w:after="0" w:line="240" w:lineRule="auto"/>
              <w:jc w:val="center"/>
              <w:rPr>
                <w:rFonts w:eastAsia="Times New Roman" w:cs="Times New Roman"/>
                <w:sz w:val="20"/>
                <w:szCs w:val="20"/>
                <w:lang w:val="pt-BR" w:eastAsia="pt-BR" w:bidi="ar-SA"/>
              </w:rPr>
            </w:pPr>
            <w:proofErr w:type="spellStart"/>
            <w:r w:rsidRPr="009F08D7">
              <w:rPr>
                <w:rFonts w:eastAsia="Times New Roman" w:cs="Times New Roman"/>
                <w:sz w:val="20"/>
                <w:szCs w:val="20"/>
                <w:lang w:val="pt-BR" w:eastAsia="pt-BR" w:bidi="ar-SA"/>
              </w:rPr>
              <w:t>Cheng</w:t>
            </w:r>
            <w:proofErr w:type="spellEnd"/>
            <w:r w:rsidRPr="009F08D7">
              <w:rPr>
                <w:rFonts w:eastAsia="Times New Roman" w:cs="Times New Roman"/>
                <w:sz w:val="20"/>
                <w:szCs w:val="20"/>
                <w:lang w:val="pt-BR" w:eastAsia="pt-BR" w:bidi="ar-SA"/>
              </w:rPr>
              <w:t xml:space="preserve"> </w:t>
            </w:r>
            <w:r w:rsidR="002E5657">
              <w:rPr>
                <w:rFonts w:eastAsia="Times New Roman" w:cs="Times New Roman"/>
                <w:sz w:val="20"/>
                <w:szCs w:val="20"/>
                <w:lang w:val="pt-BR" w:eastAsia="pt-BR" w:bidi="ar-SA"/>
              </w:rPr>
              <w:t>e</w:t>
            </w:r>
            <w:r>
              <w:rPr>
                <w:rFonts w:eastAsia="Times New Roman" w:cs="Times New Roman"/>
                <w:sz w:val="20"/>
                <w:szCs w:val="20"/>
                <w:lang w:val="pt-BR" w:eastAsia="pt-BR" w:bidi="ar-SA"/>
              </w:rPr>
              <w:t xml:space="preserve"> </w:t>
            </w:r>
            <w:proofErr w:type="spellStart"/>
            <w:r w:rsidRPr="009F08D7">
              <w:rPr>
                <w:rFonts w:eastAsia="Times New Roman" w:cs="Times New Roman"/>
                <w:sz w:val="20"/>
                <w:szCs w:val="20"/>
                <w:lang w:val="pt-BR" w:eastAsia="pt-BR" w:bidi="ar-SA"/>
              </w:rPr>
              <w:t>McNamara</w:t>
            </w:r>
            <w:proofErr w:type="spellEnd"/>
            <w:r w:rsidRPr="009F08D7">
              <w:rPr>
                <w:rFonts w:eastAsia="Times New Roman" w:cs="Times New Roman"/>
                <w:sz w:val="20"/>
                <w:szCs w:val="20"/>
                <w:lang w:val="pt-BR" w:eastAsia="pt-BR" w:bidi="ar-SA"/>
              </w:rPr>
              <w:t xml:space="preserve"> (2000)</w:t>
            </w:r>
          </w:p>
          <w:p w14:paraId="00E3AEB7" w14:textId="21B19C32" w:rsidR="00356C7B" w:rsidRDefault="00356C7B" w:rsidP="009C26B0">
            <w:pPr>
              <w:spacing w:before="0" w:after="0" w:line="240" w:lineRule="auto"/>
              <w:jc w:val="center"/>
              <w:rPr>
                <w:rFonts w:eastAsia="Times New Roman" w:cs="Times New Roman"/>
                <w:sz w:val="20"/>
                <w:szCs w:val="20"/>
                <w:lang w:val="pt-BR" w:eastAsia="pt-BR" w:bidi="ar-SA"/>
              </w:rPr>
            </w:pPr>
            <w:proofErr w:type="spellStart"/>
            <w:r w:rsidRPr="009F08D7">
              <w:rPr>
                <w:rFonts w:eastAsia="Times New Roman" w:cs="Times New Roman"/>
                <w:sz w:val="20"/>
                <w:szCs w:val="20"/>
                <w:lang w:val="pt-BR" w:eastAsia="pt-BR" w:bidi="ar-SA"/>
              </w:rPr>
              <w:t>Bhojraj</w:t>
            </w:r>
            <w:proofErr w:type="spellEnd"/>
            <w:r w:rsidRPr="009F08D7">
              <w:rPr>
                <w:rFonts w:eastAsia="Times New Roman" w:cs="Times New Roman"/>
                <w:sz w:val="20"/>
                <w:szCs w:val="20"/>
                <w:lang w:val="pt-BR" w:eastAsia="pt-BR" w:bidi="ar-SA"/>
              </w:rPr>
              <w:t xml:space="preserve"> </w:t>
            </w:r>
            <w:r w:rsidR="002E5657">
              <w:rPr>
                <w:rFonts w:eastAsia="Times New Roman" w:cs="Times New Roman"/>
                <w:sz w:val="20"/>
                <w:szCs w:val="20"/>
                <w:lang w:val="pt-BR" w:eastAsia="pt-BR" w:bidi="ar-SA"/>
              </w:rPr>
              <w:t>e</w:t>
            </w:r>
            <w:r w:rsidRPr="009F08D7">
              <w:rPr>
                <w:rFonts w:eastAsia="Times New Roman" w:cs="Times New Roman"/>
                <w:sz w:val="20"/>
                <w:szCs w:val="20"/>
                <w:lang w:val="pt-BR" w:eastAsia="pt-BR" w:bidi="ar-SA"/>
              </w:rPr>
              <w:t xml:space="preserve"> Lee (2002)</w:t>
            </w:r>
          </w:p>
          <w:p w14:paraId="39B24732" w14:textId="6AAB3F60" w:rsidR="00356C7B" w:rsidRDefault="00356C7B" w:rsidP="009C26B0">
            <w:pPr>
              <w:spacing w:before="0" w:after="0" w:line="240" w:lineRule="auto"/>
              <w:jc w:val="center"/>
              <w:rPr>
                <w:rFonts w:eastAsia="Times New Roman" w:cs="Times New Roman"/>
                <w:sz w:val="20"/>
                <w:szCs w:val="20"/>
                <w:lang w:val="pt-BR" w:eastAsia="pt-BR" w:bidi="ar-SA"/>
              </w:rPr>
            </w:pPr>
            <w:r>
              <w:rPr>
                <w:rFonts w:eastAsia="Times New Roman" w:cs="Times New Roman"/>
                <w:sz w:val="20"/>
                <w:szCs w:val="20"/>
                <w:lang w:val="pt-BR" w:eastAsia="pt-BR" w:bidi="ar-SA"/>
              </w:rPr>
              <w:t xml:space="preserve">Serra </w:t>
            </w:r>
            <w:r w:rsidR="002E5657">
              <w:rPr>
                <w:rFonts w:eastAsia="Times New Roman" w:cs="Times New Roman"/>
                <w:sz w:val="20"/>
                <w:szCs w:val="20"/>
                <w:lang w:val="pt-BR" w:eastAsia="pt-BR" w:bidi="ar-SA"/>
              </w:rPr>
              <w:t>e</w:t>
            </w:r>
            <w:r>
              <w:rPr>
                <w:rFonts w:eastAsia="Times New Roman" w:cs="Times New Roman"/>
                <w:sz w:val="20"/>
                <w:szCs w:val="20"/>
                <w:lang w:val="pt-BR" w:eastAsia="pt-BR" w:bidi="ar-SA"/>
              </w:rPr>
              <w:t xml:space="preserve"> Saito (2016)</w:t>
            </w:r>
          </w:p>
          <w:p w14:paraId="07622328" w14:textId="3192B71F" w:rsidR="00356C7B" w:rsidRPr="00DD165B" w:rsidRDefault="00356C7B" w:rsidP="009C26B0">
            <w:pPr>
              <w:spacing w:before="0" w:after="0" w:line="240" w:lineRule="auto"/>
              <w:jc w:val="center"/>
              <w:rPr>
                <w:rFonts w:eastAsia="Times New Roman" w:cs="Times New Roman"/>
                <w:sz w:val="20"/>
                <w:szCs w:val="20"/>
                <w:lang w:val="pt-BR" w:eastAsia="pt-BR" w:bidi="ar-SA"/>
              </w:rPr>
            </w:pPr>
            <w:r>
              <w:rPr>
                <w:rFonts w:eastAsia="Times New Roman" w:cs="Times New Roman"/>
                <w:sz w:val="20"/>
                <w:szCs w:val="20"/>
                <w:lang w:val="pt-BR" w:eastAsia="pt-BR" w:bidi="ar-SA"/>
              </w:rPr>
              <w:t xml:space="preserve">Serra </w:t>
            </w:r>
            <w:r w:rsidR="002E5657">
              <w:rPr>
                <w:rFonts w:eastAsia="Times New Roman" w:cs="Times New Roman"/>
                <w:sz w:val="20"/>
                <w:szCs w:val="20"/>
                <w:lang w:val="pt-BR" w:eastAsia="pt-BR" w:bidi="ar-SA"/>
              </w:rPr>
              <w:t>e</w:t>
            </w:r>
            <w:r>
              <w:rPr>
                <w:rFonts w:eastAsia="Times New Roman" w:cs="Times New Roman"/>
                <w:sz w:val="20"/>
                <w:szCs w:val="20"/>
                <w:lang w:val="pt-BR" w:eastAsia="pt-BR" w:bidi="ar-SA"/>
              </w:rPr>
              <w:t xml:space="preserve"> Fávero (2016)</w:t>
            </w:r>
          </w:p>
        </w:tc>
      </w:tr>
      <w:tr w:rsidR="00356C7B" w:rsidRPr="00F95C0F" w14:paraId="695D60BF" w14:textId="77777777" w:rsidTr="009C26B0">
        <w:tc>
          <w:tcPr>
            <w:tcW w:w="1417" w:type="pct"/>
            <w:vAlign w:val="center"/>
          </w:tcPr>
          <w:p w14:paraId="16BD65A8" w14:textId="77777777" w:rsidR="00356C7B" w:rsidRPr="00DD165B" w:rsidRDefault="00356C7B" w:rsidP="009C26B0">
            <w:pPr>
              <w:spacing w:before="0" w:after="0" w:line="240" w:lineRule="auto"/>
              <w:jc w:val="center"/>
              <w:rPr>
                <w:rFonts w:eastAsia="Times New Roman" w:cs="Times New Roman"/>
                <w:sz w:val="20"/>
                <w:szCs w:val="20"/>
                <w:lang w:val="pt-BR" w:eastAsia="pt-BR" w:bidi="ar-SA"/>
              </w:rPr>
            </w:pPr>
            <w:r>
              <w:rPr>
                <w:rFonts w:eastAsia="Times New Roman" w:cs="Times New Roman"/>
                <w:sz w:val="20"/>
                <w:szCs w:val="20"/>
                <w:lang w:val="pt-BR" w:eastAsia="pt-BR" w:bidi="ar-SA"/>
              </w:rPr>
              <w:t xml:space="preserve">Crescimento da firma </w:t>
            </w:r>
            <w:r w:rsidR="00BF6AD0">
              <w:rPr>
                <w:rFonts w:eastAsia="Times New Roman" w:cs="Times New Roman"/>
                <w:sz w:val="20"/>
                <w:szCs w:val="20"/>
                <w:lang w:val="pt-BR" w:eastAsia="pt-BR" w:bidi="ar-SA"/>
              </w:rPr>
              <w:t xml:space="preserve">no período anterior </w:t>
            </w:r>
            <w:r>
              <w:rPr>
                <w:rFonts w:eastAsia="Times New Roman" w:cs="Times New Roman"/>
                <w:sz w:val="20"/>
                <w:szCs w:val="20"/>
                <w:lang w:val="pt-BR" w:eastAsia="pt-BR" w:bidi="ar-SA"/>
              </w:rPr>
              <w:t>(</w:t>
            </w:r>
            <m:oMath>
              <m:sSub>
                <m:sSubPr>
                  <m:ctrlPr>
                    <w:rPr>
                      <w:rFonts w:ascii="Cambria Math" w:eastAsia="Times New Roman" w:hAnsi="Cambria Math" w:cs="Times New Roman"/>
                      <w:i/>
                      <w:sz w:val="20"/>
                      <w:szCs w:val="20"/>
                      <w:lang w:val="pt-BR" w:eastAsia="pt-BR" w:bidi="ar-SA"/>
                    </w:rPr>
                  </m:ctrlPr>
                </m:sSubPr>
                <m:e>
                  <m:r>
                    <w:rPr>
                      <w:rFonts w:ascii="Cambria Math" w:eastAsia="Times New Roman" w:hAnsi="Cambria Math" w:cs="Times New Roman"/>
                      <w:sz w:val="20"/>
                      <w:szCs w:val="20"/>
                      <w:lang w:val="pt-BR" w:eastAsia="pt-BR" w:bidi="ar-SA"/>
                    </w:rPr>
                    <m:t>CRESC</m:t>
                  </m:r>
                </m:e>
                <m:sub>
                  <m:r>
                    <w:rPr>
                      <w:rFonts w:ascii="Cambria Math" w:eastAsia="Times New Roman" w:hAnsi="Cambria Math" w:cs="Times New Roman"/>
                      <w:sz w:val="20"/>
                      <w:szCs w:val="20"/>
                      <w:lang w:val="pt-BR" w:eastAsia="pt-BR" w:bidi="ar-SA"/>
                    </w:rPr>
                    <m:t>t-1</m:t>
                  </m:r>
                </m:sub>
              </m:sSub>
            </m:oMath>
            <w:r>
              <w:rPr>
                <w:rFonts w:eastAsia="Times New Roman" w:cs="Times New Roman"/>
                <w:sz w:val="20"/>
                <w:szCs w:val="20"/>
                <w:lang w:val="pt-BR" w:eastAsia="pt-BR" w:bidi="ar-SA"/>
              </w:rPr>
              <w:t>)</w:t>
            </w:r>
          </w:p>
        </w:tc>
        <w:tc>
          <w:tcPr>
            <w:tcW w:w="1698" w:type="pct"/>
            <w:vAlign w:val="center"/>
          </w:tcPr>
          <w:p w14:paraId="7AF19C4B" w14:textId="77777777" w:rsidR="00356C7B" w:rsidRPr="00BF6AD0" w:rsidRDefault="00F274EA" w:rsidP="009C26B0">
            <w:pPr>
              <w:spacing w:before="0" w:after="0" w:line="240" w:lineRule="auto"/>
              <w:jc w:val="center"/>
              <w:rPr>
                <w:rFonts w:eastAsia="Times New Roman" w:cs="Times New Roman"/>
                <w:i/>
                <w:sz w:val="20"/>
                <w:szCs w:val="20"/>
                <w:lang w:val="pt-BR" w:eastAsia="pt-BR" w:bidi="ar-SA"/>
              </w:rPr>
            </w:pPr>
            <m:oMathPara>
              <m:oMath>
                <m:f>
                  <m:fPr>
                    <m:ctrlPr>
                      <w:rPr>
                        <w:rFonts w:ascii="Cambria Math" w:eastAsia="Times New Roman" w:hAnsi="Cambria Math" w:cs="Times New Roman"/>
                        <w:i/>
                        <w:sz w:val="20"/>
                        <w:szCs w:val="20"/>
                        <w:lang w:val="pt-BR" w:eastAsia="pt-BR" w:bidi="ar-SA"/>
                      </w:rPr>
                    </m:ctrlPr>
                  </m:fPr>
                  <m:num>
                    <m:sSub>
                      <m:sSubPr>
                        <m:ctrlPr>
                          <w:rPr>
                            <w:rFonts w:ascii="Cambria Math" w:eastAsia="Times New Roman" w:hAnsi="Cambria Math" w:cs="Times New Roman"/>
                            <w:i/>
                            <w:sz w:val="20"/>
                            <w:szCs w:val="20"/>
                            <w:lang w:val="pt-BR" w:eastAsia="pt-BR" w:bidi="ar-SA"/>
                          </w:rPr>
                        </m:ctrlPr>
                      </m:sSubPr>
                      <m:e>
                        <m:r>
                          <w:rPr>
                            <w:rFonts w:ascii="Cambria Math" w:eastAsia="Times New Roman" w:hAnsi="Cambria Math" w:cs="Times New Roman"/>
                            <w:sz w:val="20"/>
                            <w:szCs w:val="20"/>
                            <w:lang w:val="pt-BR" w:eastAsia="pt-BR" w:bidi="ar-SA"/>
                          </w:rPr>
                          <m:t>Ativo Total</m:t>
                        </m:r>
                      </m:e>
                      <m:sub>
                        <m:r>
                          <w:rPr>
                            <w:rFonts w:ascii="Cambria Math" w:eastAsia="Times New Roman" w:hAnsi="Cambria Math" w:cs="Times New Roman"/>
                            <w:sz w:val="20"/>
                            <w:szCs w:val="20"/>
                            <w:lang w:val="pt-BR" w:eastAsia="pt-BR" w:bidi="ar-SA"/>
                          </w:rPr>
                          <m:t>t-2</m:t>
                        </m:r>
                      </m:sub>
                    </m:sSub>
                    <m:r>
                      <w:rPr>
                        <w:rFonts w:ascii="Cambria Math" w:eastAsia="Times New Roman" w:hAnsi="Cambria Math" w:cs="Times New Roman"/>
                        <w:sz w:val="20"/>
                        <w:szCs w:val="20"/>
                        <w:lang w:val="pt-BR" w:eastAsia="pt-BR" w:bidi="ar-SA"/>
                      </w:rPr>
                      <m:t xml:space="preserve">- </m:t>
                    </m:r>
                    <m:sSub>
                      <m:sSubPr>
                        <m:ctrlPr>
                          <w:rPr>
                            <w:rFonts w:ascii="Cambria Math" w:eastAsia="Times New Roman" w:hAnsi="Cambria Math" w:cs="Times New Roman"/>
                            <w:i/>
                            <w:sz w:val="20"/>
                            <w:szCs w:val="20"/>
                            <w:lang w:val="pt-BR" w:eastAsia="pt-BR" w:bidi="ar-SA"/>
                          </w:rPr>
                        </m:ctrlPr>
                      </m:sSubPr>
                      <m:e>
                        <m:r>
                          <w:rPr>
                            <w:rFonts w:ascii="Cambria Math" w:eastAsia="Times New Roman" w:hAnsi="Cambria Math" w:cs="Times New Roman"/>
                            <w:sz w:val="20"/>
                            <w:szCs w:val="20"/>
                            <w:lang w:val="pt-BR" w:eastAsia="pt-BR" w:bidi="ar-SA"/>
                          </w:rPr>
                          <m:t>Ativo Total</m:t>
                        </m:r>
                      </m:e>
                      <m:sub>
                        <m:r>
                          <w:rPr>
                            <w:rFonts w:ascii="Cambria Math" w:eastAsia="Times New Roman" w:hAnsi="Cambria Math" w:cs="Times New Roman"/>
                            <w:sz w:val="20"/>
                            <w:szCs w:val="20"/>
                            <w:lang w:val="pt-BR" w:eastAsia="pt-BR" w:bidi="ar-SA"/>
                          </w:rPr>
                          <m:t>t-1</m:t>
                        </m:r>
                      </m:sub>
                    </m:sSub>
                    <m:r>
                      <w:rPr>
                        <w:rFonts w:ascii="Cambria Math" w:eastAsia="Times New Roman" w:hAnsi="Cambria Math" w:cs="Times New Roman"/>
                        <w:sz w:val="20"/>
                        <w:szCs w:val="20"/>
                        <w:lang w:val="pt-BR" w:eastAsia="pt-BR" w:bidi="ar-SA"/>
                      </w:rPr>
                      <m:t xml:space="preserve"> </m:t>
                    </m:r>
                  </m:num>
                  <m:den>
                    <m:sSub>
                      <m:sSubPr>
                        <m:ctrlPr>
                          <w:rPr>
                            <w:rFonts w:ascii="Cambria Math" w:eastAsia="Times New Roman" w:hAnsi="Cambria Math" w:cs="Times New Roman"/>
                            <w:i/>
                            <w:sz w:val="20"/>
                            <w:szCs w:val="20"/>
                            <w:lang w:val="pt-BR" w:eastAsia="pt-BR" w:bidi="ar-SA"/>
                          </w:rPr>
                        </m:ctrlPr>
                      </m:sSubPr>
                      <m:e>
                        <m:r>
                          <w:rPr>
                            <w:rFonts w:ascii="Cambria Math" w:eastAsia="Times New Roman" w:hAnsi="Cambria Math" w:cs="Times New Roman"/>
                            <w:sz w:val="20"/>
                            <w:szCs w:val="20"/>
                            <w:lang w:val="pt-BR" w:eastAsia="pt-BR" w:bidi="ar-SA"/>
                          </w:rPr>
                          <m:t>Ativo Total</m:t>
                        </m:r>
                      </m:e>
                      <m:sub>
                        <m:r>
                          <w:rPr>
                            <w:rFonts w:ascii="Cambria Math" w:eastAsia="Times New Roman" w:hAnsi="Cambria Math" w:cs="Times New Roman"/>
                            <w:sz w:val="20"/>
                            <w:szCs w:val="20"/>
                            <w:lang w:val="pt-BR" w:eastAsia="pt-BR" w:bidi="ar-SA"/>
                          </w:rPr>
                          <m:t>t-2</m:t>
                        </m:r>
                      </m:sub>
                    </m:sSub>
                  </m:den>
                </m:f>
              </m:oMath>
            </m:oMathPara>
          </w:p>
        </w:tc>
        <w:tc>
          <w:tcPr>
            <w:tcW w:w="565" w:type="pct"/>
            <w:vAlign w:val="center"/>
          </w:tcPr>
          <w:p w14:paraId="2205E747" w14:textId="77777777" w:rsidR="00356C7B" w:rsidRPr="00DD165B" w:rsidRDefault="00356C7B" w:rsidP="009C26B0">
            <w:pPr>
              <w:spacing w:before="0" w:after="0" w:line="240" w:lineRule="auto"/>
              <w:jc w:val="center"/>
              <w:rPr>
                <w:rFonts w:eastAsia="Times New Roman" w:cs="Times New Roman"/>
                <w:sz w:val="20"/>
                <w:szCs w:val="20"/>
                <w:lang w:val="pt-BR" w:eastAsia="pt-BR" w:bidi="ar-SA"/>
              </w:rPr>
            </w:pPr>
            <w:r>
              <w:rPr>
                <w:rFonts w:eastAsia="Times New Roman" w:cs="Times New Roman"/>
                <w:sz w:val="20"/>
                <w:szCs w:val="20"/>
                <w:lang w:val="pt-BR" w:eastAsia="pt-BR" w:bidi="ar-SA"/>
              </w:rPr>
              <w:t>+</w:t>
            </w:r>
          </w:p>
        </w:tc>
        <w:tc>
          <w:tcPr>
            <w:tcW w:w="1320" w:type="pct"/>
            <w:vAlign w:val="center"/>
          </w:tcPr>
          <w:p w14:paraId="57865659" w14:textId="5002A413" w:rsidR="00356C7B" w:rsidRDefault="00356C7B" w:rsidP="009C26B0">
            <w:pPr>
              <w:spacing w:before="0" w:after="0" w:line="240" w:lineRule="auto"/>
              <w:jc w:val="center"/>
              <w:rPr>
                <w:rFonts w:eastAsia="Times New Roman" w:cs="Times New Roman"/>
                <w:sz w:val="20"/>
                <w:szCs w:val="20"/>
                <w:lang w:val="pt-BR" w:eastAsia="pt-BR" w:bidi="ar-SA"/>
              </w:rPr>
            </w:pPr>
            <w:r>
              <w:rPr>
                <w:rFonts w:eastAsia="Times New Roman" w:cs="Times New Roman"/>
                <w:sz w:val="20"/>
                <w:szCs w:val="20"/>
                <w:lang w:val="pt-BR" w:eastAsia="pt-BR" w:bidi="ar-SA"/>
              </w:rPr>
              <w:t xml:space="preserve">Serra </w:t>
            </w:r>
            <w:r w:rsidR="002E5657">
              <w:rPr>
                <w:rFonts w:eastAsia="Times New Roman" w:cs="Times New Roman"/>
                <w:sz w:val="20"/>
                <w:szCs w:val="20"/>
                <w:lang w:val="pt-BR" w:eastAsia="pt-BR" w:bidi="ar-SA"/>
              </w:rPr>
              <w:t>e</w:t>
            </w:r>
            <w:r>
              <w:rPr>
                <w:rFonts w:eastAsia="Times New Roman" w:cs="Times New Roman"/>
                <w:sz w:val="20"/>
                <w:szCs w:val="20"/>
                <w:lang w:val="pt-BR" w:eastAsia="pt-BR" w:bidi="ar-SA"/>
              </w:rPr>
              <w:t xml:space="preserve"> Saito (2016)</w:t>
            </w:r>
          </w:p>
          <w:p w14:paraId="57AB8014" w14:textId="6447A604" w:rsidR="00356C7B" w:rsidRPr="00DD165B" w:rsidRDefault="00356C7B" w:rsidP="009C26B0">
            <w:pPr>
              <w:spacing w:before="0" w:after="0" w:line="240" w:lineRule="auto"/>
              <w:jc w:val="center"/>
              <w:rPr>
                <w:rFonts w:eastAsia="Times New Roman" w:cs="Times New Roman"/>
                <w:sz w:val="20"/>
                <w:szCs w:val="20"/>
                <w:lang w:val="pt-BR" w:eastAsia="pt-BR" w:bidi="ar-SA"/>
              </w:rPr>
            </w:pPr>
            <w:r>
              <w:rPr>
                <w:rFonts w:eastAsia="Times New Roman" w:cs="Times New Roman"/>
                <w:sz w:val="20"/>
                <w:szCs w:val="20"/>
                <w:lang w:val="pt-BR" w:eastAsia="pt-BR" w:bidi="ar-SA"/>
              </w:rPr>
              <w:t xml:space="preserve">Serra </w:t>
            </w:r>
            <w:r w:rsidR="002E5657">
              <w:rPr>
                <w:rFonts w:eastAsia="Times New Roman" w:cs="Times New Roman"/>
                <w:sz w:val="20"/>
                <w:szCs w:val="20"/>
                <w:lang w:val="pt-BR" w:eastAsia="pt-BR" w:bidi="ar-SA"/>
              </w:rPr>
              <w:t>e</w:t>
            </w:r>
            <w:r>
              <w:rPr>
                <w:rFonts w:eastAsia="Times New Roman" w:cs="Times New Roman"/>
                <w:sz w:val="20"/>
                <w:szCs w:val="20"/>
                <w:lang w:val="pt-BR" w:eastAsia="pt-BR" w:bidi="ar-SA"/>
              </w:rPr>
              <w:t xml:space="preserve"> Fávero (2016)</w:t>
            </w:r>
          </w:p>
        </w:tc>
      </w:tr>
      <w:tr w:rsidR="00356C7B" w:rsidRPr="00F5420E" w14:paraId="3A55AF33" w14:textId="77777777" w:rsidTr="009C26B0">
        <w:tc>
          <w:tcPr>
            <w:tcW w:w="1417" w:type="pct"/>
            <w:tcBorders>
              <w:bottom w:val="single" w:sz="4" w:space="0" w:color="auto"/>
            </w:tcBorders>
            <w:vAlign w:val="center"/>
          </w:tcPr>
          <w:p w14:paraId="3E55654A" w14:textId="77777777" w:rsidR="00356C7B" w:rsidRDefault="00356C7B" w:rsidP="009C26B0">
            <w:pPr>
              <w:spacing w:before="0" w:after="0" w:line="240" w:lineRule="auto"/>
              <w:jc w:val="center"/>
              <w:rPr>
                <w:rFonts w:eastAsia="Times New Roman" w:cs="Times New Roman"/>
                <w:sz w:val="20"/>
                <w:szCs w:val="20"/>
                <w:lang w:val="pt-BR" w:eastAsia="pt-BR" w:bidi="ar-SA"/>
              </w:rPr>
            </w:pPr>
            <w:r>
              <w:rPr>
                <w:rFonts w:eastAsia="Times New Roman" w:cs="Times New Roman"/>
                <w:sz w:val="20"/>
                <w:szCs w:val="20"/>
                <w:lang w:val="pt-BR" w:eastAsia="pt-BR" w:bidi="ar-SA"/>
              </w:rPr>
              <w:t>Controle de propriedade (PROP)</w:t>
            </w:r>
          </w:p>
        </w:tc>
        <w:tc>
          <w:tcPr>
            <w:tcW w:w="1698" w:type="pct"/>
            <w:tcBorders>
              <w:bottom w:val="single" w:sz="4" w:space="0" w:color="auto"/>
            </w:tcBorders>
            <w:vAlign w:val="center"/>
          </w:tcPr>
          <w:p w14:paraId="6D1BA2EB" w14:textId="216E645C" w:rsidR="00356C7B" w:rsidRDefault="00356C7B" w:rsidP="009C26B0">
            <w:pPr>
              <w:spacing w:before="0" w:after="0" w:line="240" w:lineRule="auto"/>
              <w:jc w:val="center"/>
              <w:rPr>
                <w:rFonts w:eastAsia="Times New Roman" w:cs="Times New Roman"/>
                <w:sz w:val="20"/>
                <w:szCs w:val="20"/>
                <w:lang w:val="pt-BR" w:eastAsia="pt-BR" w:bidi="ar-SA"/>
              </w:rPr>
            </w:pPr>
            <w:r>
              <w:rPr>
                <w:rFonts w:eastAsia="Times New Roman" w:cs="Times New Roman"/>
                <w:sz w:val="20"/>
                <w:szCs w:val="20"/>
                <w:lang w:val="pt-BR" w:eastAsia="pt-BR" w:bidi="ar-SA"/>
              </w:rPr>
              <w:t xml:space="preserve">Variável </w:t>
            </w:r>
            <w:proofErr w:type="spellStart"/>
            <w:r>
              <w:rPr>
                <w:rFonts w:eastAsia="Times New Roman" w:cs="Times New Roman"/>
                <w:sz w:val="20"/>
                <w:szCs w:val="20"/>
                <w:lang w:val="pt-BR" w:eastAsia="pt-BR" w:bidi="ar-SA"/>
              </w:rPr>
              <w:t>dummy</w:t>
            </w:r>
            <w:proofErr w:type="spellEnd"/>
            <w:r>
              <w:rPr>
                <w:rFonts w:eastAsia="Times New Roman" w:cs="Times New Roman"/>
                <w:sz w:val="20"/>
                <w:szCs w:val="20"/>
                <w:lang w:val="pt-BR" w:eastAsia="pt-BR" w:bidi="ar-SA"/>
              </w:rPr>
              <w:t xml:space="preserve">, onde: 1= banco com controle </w:t>
            </w:r>
            <w:r w:rsidR="00EF5DE0">
              <w:rPr>
                <w:rFonts w:eastAsia="Times New Roman" w:cs="Times New Roman"/>
                <w:sz w:val="20"/>
                <w:szCs w:val="20"/>
                <w:lang w:val="pt-BR" w:eastAsia="pt-BR" w:bidi="ar-SA"/>
              </w:rPr>
              <w:t>privado</w:t>
            </w:r>
            <w:r>
              <w:rPr>
                <w:rFonts w:eastAsia="Times New Roman" w:cs="Times New Roman"/>
                <w:sz w:val="20"/>
                <w:szCs w:val="20"/>
                <w:lang w:val="pt-BR" w:eastAsia="pt-BR" w:bidi="ar-SA"/>
              </w:rPr>
              <w:t xml:space="preserve">; e 0 = banco com controle </w:t>
            </w:r>
            <w:r w:rsidR="00EF5DE0">
              <w:rPr>
                <w:rFonts w:eastAsia="Times New Roman" w:cs="Times New Roman"/>
                <w:sz w:val="20"/>
                <w:szCs w:val="20"/>
                <w:lang w:val="pt-BR" w:eastAsia="pt-BR" w:bidi="ar-SA"/>
              </w:rPr>
              <w:t>estatal</w:t>
            </w:r>
            <w:r>
              <w:rPr>
                <w:rFonts w:eastAsia="Times New Roman" w:cs="Times New Roman"/>
                <w:sz w:val="20"/>
                <w:szCs w:val="20"/>
                <w:lang w:val="pt-BR" w:eastAsia="pt-BR" w:bidi="ar-SA"/>
              </w:rPr>
              <w:t>.</w:t>
            </w:r>
          </w:p>
        </w:tc>
        <w:tc>
          <w:tcPr>
            <w:tcW w:w="565" w:type="pct"/>
            <w:tcBorders>
              <w:bottom w:val="single" w:sz="4" w:space="0" w:color="auto"/>
            </w:tcBorders>
            <w:vAlign w:val="center"/>
          </w:tcPr>
          <w:p w14:paraId="584605CF" w14:textId="77777777" w:rsidR="00356C7B" w:rsidRPr="00DD165B" w:rsidRDefault="00356C7B" w:rsidP="009C26B0">
            <w:pPr>
              <w:spacing w:before="0" w:after="0" w:line="240" w:lineRule="auto"/>
              <w:jc w:val="center"/>
              <w:rPr>
                <w:rFonts w:eastAsia="Times New Roman" w:cs="Times New Roman"/>
                <w:sz w:val="20"/>
                <w:szCs w:val="20"/>
                <w:lang w:val="pt-BR" w:eastAsia="pt-BR" w:bidi="ar-SA"/>
              </w:rPr>
            </w:pPr>
            <w:r>
              <w:rPr>
                <w:rFonts w:eastAsia="Times New Roman" w:cs="Times New Roman"/>
                <w:sz w:val="20"/>
                <w:szCs w:val="20"/>
                <w:lang w:val="pt-BR" w:eastAsia="pt-BR" w:bidi="ar-SA"/>
              </w:rPr>
              <w:t>+</w:t>
            </w:r>
          </w:p>
        </w:tc>
        <w:tc>
          <w:tcPr>
            <w:tcW w:w="1320" w:type="pct"/>
            <w:tcBorders>
              <w:bottom w:val="single" w:sz="4" w:space="0" w:color="auto"/>
            </w:tcBorders>
            <w:vAlign w:val="center"/>
          </w:tcPr>
          <w:p w14:paraId="1159BA88" w14:textId="6A29C86D" w:rsidR="00356C7B" w:rsidRDefault="00356C7B" w:rsidP="009C26B0">
            <w:pPr>
              <w:spacing w:before="0" w:after="0" w:line="240" w:lineRule="auto"/>
              <w:jc w:val="center"/>
              <w:rPr>
                <w:rFonts w:eastAsia="Times New Roman" w:cs="Times New Roman"/>
                <w:sz w:val="20"/>
                <w:szCs w:val="20"/>
                <w:lang w:val="pt-BR" w:eastAsia="pt-BR" w:bidi="ar-SA"/>
              </w:rPr>
            </w:pPr>
            <w:r>
              <w:rPr>
                <w:rFonts w:eastAsia="Times New Roman" w:cs="Times New Roman"/>
                <w:sz w:val="20"/>
                <w:szCs w:val="20"/>
                <w:lang w:val="pt-BR" w:eastAsia="pt-BR" w:bidi="ar-SA"/>
              </w:rPr>
              <w:t xml:space="preserve">Silva </w:t>
            </w:r>
            <w:r w:rsidR="002E5657">
              <w:rPr>
                <w:rFonts w:eastAsia="Times New Roman" w:cs="Times New Roman"/>
                <w:sz w:val="20"/>
                <w:szCs w:val="20"/>
                <w:lang w:val="pt-BR" w:eastAsia="pt-BR" w:bidi="ar-SA"/>
              </w:rPr>
              <w:t>e</w:t>
            </w:r>
            <w:r>
              <w:rPr>
                <w:rFonts w:eastAsia="Times New Roman" w:cs="Times New Roman"/>
                <w:sz w:val="20"/>
                <w:szCs w:val="20"/>
                <w:lang w:val="pt-BR" w:eastAsia="pt-BR" w:bidi="ar-SA"/>
              </w:rPr>
              <w:t xml:space="preserve"> Dantas (2015)</w:t>
            </w:r>
          </w:p>
        </w:tc>
      </w:tr>
    </w:tbl>
    <w:p w14:paraId="042F0F6C" w14:textId="77777777" w:rsidR="00356C7B" w:rsidRPr="00D92324" w:rsidRDefault="00356C7B" w:rsidP="00356C7B">
      <w:pPr>
        <w:spacing w:before="0" w:after="0" w:line="240" w:lineRule="auto"/>
        <w:jc w:val="center"/>
        <w:rPr>
          <w:rFonts w:eastAsia="Times New Roman" w:cs="Times New Roman"/>
          <w:sz w:val="20"/>
          <w:szCs w:val="20"/>
          <w:lang w:val="pt-BR" w:eastAsia="pt-BR" w:bidi="ar-SA"/>
        </w:rPr>
      </w:pPr>
      <w:r w:rsidRPr="00D92324">
        <w:rPr>
          <w:rFonts w:eastAsia="Times New Roman" w:cs="Times New Roman"/>
          <w:sz w:val="20"/>
          <w:szCs w:val="20"/>
          <w:lang w:val="pt-BR" w:eastAsia="pt-BR" w:bidi="ar-SA"/>
        </w:rPr>
        <w:t xml:space="preserve">Figura 2. Variáveis e </w:t>
      </w:r>
      <w:r w:rsidRPr="00D92324">
        <w:rPr>
          <w:rFonts w:eastAsia="Times New Roman" w:cs="Times New Roman"/>
          <w:i/>
          <w:sz w:val="20"/>
          <w:szCs w:val="20"/>
          <w:lang w:val="pt-BR" w:eastAsia="pt-BR" w:bidi="ar-SA"/>
        </w:rPr>
        <w:t>proxies</w:t>
      </w:r>
      <w:r w:rsidRPr="00D92324">
        <w:rPr>
          <w:rFonts w:eastAsia="Times New Roman" w:cs="Times New Roman"/>
          <w:sz w:val="20"/>
          <w:szCs w:val="20"/>
          <w:lang w:val="pt-BR" w:eastAsia="pt-BR" w:bidi="ar-SA"/>
        </w:rPr>
        <w:t xml:space="preserve"> utilizadas na regressão múltipla com dados em painel para prever os determinantes dos múltiplos.</w:t>
      </w:r>
    </w:p>
    <w:p w14:paraId="1C6F582F" w14:textId="77777777" w:rsidR="00356C7B" w:rsidRPr="0056671D" w:rsidRDefault="00356C7B" w:rsidP="00356C7B">
      <w:pPr>
        <w:spacing w:before="0" w:after="0" w:line="240" w:lineRule="auto"/>
        <w:jc w:val="center"/>
        <w:rPr>
          <w:rFonts w:eastAsia="Times New Roman" w:cs="Times New Roman"/>
          <w:sz w:val="20"/>
          <w:szCs w:val="24"/>
          <w:lang w:val="pt-BR" w:eastAsia="pt-BR" w:bidi="ar-SA"/>
        </w:rPr>
      </w:pPr>
      <w:r w:rsidRPr="0056671D">
        <w:rPr>
          <w:rFonts w:eastAsia="Times New Roman" w:cs="Times New Roman"/>
          <w:sz w:val="20"/>
          <w:szCs w:val="24"/>
          <w:lang w:val="pt-BR" w:eastAsia="pt-BR" w:bidi="ar-SA"/>
        </w:rPr>
        <w:t>Fonte: Dados da pesquisa.</w:t>
      </w:r>
    </w:p>
    <w:p w14:paraId="7696D485" w14:textId="77777777" w:rsidR="00356C7B" w:rsidRDefault="00356C7B" w:rsidP="00356C7B">
      <w:pPr>
        <w:pStyle w:val="SemEspaamento"/>
        <w:rPr>
          <w:rFonts w:eastAsia="Times New Roman"/>
          <w:lang w:val="pt-BR" w:eastAsia="pt-BR" w:bidi="ar-SA"/>
        </w:rPr>
      </w:pPr>
    </w:p>
    <w:p w14:paraId="1363DD2B" w14:textId="77777777" w:rsidR="00356C7B" w:rsidRDefault="00356C7B" w:rsidP="00356C7B">
      <w:pPr>
        <w:pStyle w:val="SemEspaamento"/>
        <w:rPr>
          <w:rFonts w:eastAsia="Times New Roman"/>
          <w:lang w:val="pt-BR" w:eastAsia="pt-BR" w:bidi="ar-SA"/>
        </w:rPr>
      </w:pPr>
      <w:r>
        <w:rPr>
          <w:rFonts w:eastAsia="Times New Roman"/>
          <w:lang w:val="pt-BR" w:eastAsia="pt-BR" w:bidi="ar-SA"/>
        </w:rPr>
        <w:lastRenderedPageBreak/>
        <w:t>A fórmula genérica das três regressões múltiplas com dados em painel é representada pela equação 6:</w:t>
      </w:r>
    </w:p>
    <w:p w14:paraId="79286EFE" w14:textId="77777777" w:rsidR="00356C7B" w:rsidRDefault="00356C7B" w:rsidP="00356C7B">
      <w:pPr>
        <w:pStyle w:val="SemEspaamento"/>
        <w:rPr>
          <w:rFonts w:eastAsia="Times New Roman"/>
          <w:lang w:val="pt-BR" w:eastAsia="pt-BR" w:bidi="ar-SA"/>
        </w:rPr>
      </w:pPr>
    </w:p>
    <w:p w14:paraId="1F370534" w14:textId="77777777" w:rsidR="00356C7B" w:rsidRPr="00566197" w:rsidRDefault="00F274EA" w:rsidP="00BF6AD0">
      <w:pPr>
        <w:spacing w:before="0" w:after="0" w:line="240" w:lineRule="auto"/>
        <w:jc w:val="center"/>
        <w:rPr>
          <w:rFonts w:eastAsia="Times New Roman" w:cs="Times New Roman"/>
          <w:szCs w:val="24"/>
          <w:lang w:val="pt-BR" w:eastAsia="pt-BR" w:bidi="ar-SA"/>
        </w:rPr>
      </w:pPr>
      <m:oMath>
        <m:sSub>
          <m:sSubPr>
            <m:ctrlPr>
              <w:rPr>
                <w:rFonts w:ascii="Cambria Math" w:eastAsia="Times New Roman" w:hAnsi="Cambria Math" w:cs="Times New Roman"/>
                <w:i/>
                <w:szCs w:val="24"/>
                <w:lang w:val="pt-BR" w:eastAsia="pt-BR" w:bidi="ar-SA"/>
              </w:rPr>
            </m:ctrlPr>
          </m:sSubPr>
          <m:e>
            <m:r>
              <w:rPr>
                <w:rFonts w:ascii="Cambria Math" w:eastAsia="Times New Roman" w:hAnsi="Cambria Math" w:cs="Times New Roman"/>
                <w:szCs w:val="24"/>
                <w:lang w:val="pt-BR" w:eastAsia="pt-BR" w:bidi="ar-SA"/>
              </w:rPr>
              <m:t>Y</m:t>
            </m:r>
          </m:e>
          <m:sub>
            <m:r>
              <w:rPr>
                <w:rFonts w:ascii="Cambria Math" w:eastAsia="Times New Roman" w:hAnsi="Cambria Math" w:cs="Times New Roman"/>
                <w:szCs w:val="24"/>
                <w:lang w:val="pt-BR" w:eastAsia="pt-BR" w:bidi="ar-SA"/>
              </w:rPr>
              <m:t>it</m:t>
            </m:r>
          </m:sub>
        </m:sSub>
        <m:r>
          <w:rPr>
            <w:rFonts w:ascii="Cambria Math" w:eastAsia="Times New Roman" w:hAnsi="Cambria Math" w:cs="Times New Roman"/>
            <w:szCs w:val="24"/>
            <w:lang w:val="pt-BR" w:eastAsia="pt-BR" w:bidi="ar-SA"/>
          </w:rPr>
          <m:t xml:space="preserve">= </m:t>
        </m:r>
        <m:sSub>
          <m:sSubPr>
            <m:ctrlPr>
              <w:rPr>
                <w:rFonts w:ascii="Cambria Math" w:eastAsia="Times New Roman" w:hAnsi="Cambria Math" w:cs="Times New Roman"/>
                <w:i/>
                <w:szCs w:val="24"/>
                <w:lang w:val="pt-BR" w:eastAsia="pt-BR" w:bidi="ar-SA"/>
              </w:rPr>
            </m:ctrlPr>
          </m:sSubPr>
          <m:e>
            <m:r>
              <w:rPr>
                <w:rFonts w:ascii="Cambria Math" w:eastAsia="Times New Roman" w:hAnsi="Cambria Math" w:cs="Times New Roman"/>
                <w:szCs w:val="24"/>
                <w:lang w:val="pt-BR" w:eastAsia="pt-BR" w:bidi="ar-SA"/>
              </w:rPr>
              <m:t>β</m:t>
            </m:r>
          </m:e>
          <m:sub>
            <m:r>
              <w:rPr>
                <w:rFonts w:ascii="Cambria Math" w:eastAsia="Times New Roman" w:hAnsi="Cambria Math" w:cs="Times New Roman"/>
                <w:szCs w:val="24"/>
                <w:lang w:val="pt-BR" w:eastAsia="pt-BR" w:bidi="ar-SA"/>
              </w:rPr>
              <m:t>0</m:t>
            </m:r>
          </m:sub>
        </m:sSub>
        <m:r>
          <w:rPr>
            <w:rFonts w:ascii="Cambria Math" w:eastAsia="Times New Roman" w:hAnsi="Cambria Math" w:cs="Times New Roman"/>
            <w:szCs w:val="24"/>
            <w:lang w:val="pt-BR" w:eastAsia="pt-BR" w:bidi="ar-SA"/>
          </w:rPr>
          <m:t xml:space="preserve">+ </m:t>
        </m:r>
        <m:sSub>
          <m:sSubPr>
            <m:ctrlPr>
              <w:rPr>
                <w:rFonts w:ascii="Cambria Math" w:eastAsia="Times New Roman" w:hAnsi="Cambria Math" w:cs="Times New Roman"/>
                <w:i/>
                <w:szCs w:val="24"/>
                <w:lang w:val="pt-BR" w:eastAsia="pt-BR" w:bidi="ar-SA"/>
              </w:rPr>
            </m:ctrlPr>
          </m:sSubPr>
          <m:e>
            <m:r>
              <w:rPr>
                <w:rFonts w:ascii="Cambria Math" w:eastAsia="Times New Roman" w:hAnsi="Cambria Math" w:cs="Times New Roman"/>
                <w:szCs w:val="24"/>
                <w:lang w:val="pt-BR" w:eastAsia="pt-BR" w:bidi="ar-SA"/>
              </w:rPr>
              <m:t>β</m:t>
            </m:r>
          </m:e>
          <m:sub>
            <m:r>
              <w:rPr>
                <w:rFonts w:ascii="Cambria Math" w:eastAsia="Times New Roman" w:hAnsi="Cambria Math" w:cs="Times New Roman"/>
                <w:szCs w:val="24"/>
                <w:lang w:val="pt-BR" w:eastAsia="pt-BR" w:bidi="ar-SA"/>
              </w:rPr>
              <m:t>1</m:t>
            </m:r>
          </m:sub>
        </m:sSub>
        <m:sSub>
          <m:sSubPr>
            <m:ctrlPr>
              <w:rPr>
                <w:rFonts w:ascii="Cambria Math" w:eastAsia="Times New Roman" w:hAnsi="Cambria Math" w:cs="Times New Roman"/>
                <w:i/>
                <w:szCs w:val="24"/>
                <w:lang w:val="pt-BR" w:eastAsia="pt-BR" w:bidi="ar-SA"/>
              </w:rPr>
            </m:ctrlPr>
          </m:sSubPr>
          <m:e>
            <m:r>
              <w:rPr>
                <w:rFonts w:ascii="Cambria Math" w:eastAsia="Times New Roman" w:hAnsi="Cambria Math" w:cs="Times New Roman"/>
                <w:szCs w:val="24"/>
                <w:lang w:val="pt-BR" w:eastAsia="pt-BR" w:bidi="ar-SA"/>
              </w:rPr>
              <m:t>ROE</m:t>
            </m:r>
          </m:e>
          <m:sub>
            <m:r>
              <w:rPr>
                <w:rFonts w:ascii="Cambria Math" w:eastAsia="Times New Roman" w:hAnsi="Cambria Math" w:cs="Times New Roman"/>
                <w:szCs w:val="24"/>
                <w:lang w:val="pt-BR" w:eastAsia="pt-BR" w:bidi="ar-SA"/>
              </w:rPr>
              <m:t>it-1</m:t>
            </m:r>
          </m:sub>
        </m:sSub>
        <m:r>
          <w:rPr>
            <w:rFonts w:ascii="Cambria Math" w:eastAsia="Times New Roman" w:hAnsi="Cambria Math" w:cs="Times New Roman"/>
            <w:szCs w:val="24"/>
            <w:lang w:val="pt-BR" w:eastAsia="pt-BR" w:bidi="ar-SA"/>
          </w:rPr>
          <m:t xml:space="preserve">+ </m:t>
        </m:r>
        <m:sSub>
          <m:sSubPr>
            <m:ctrlPr>
              <w:rPr>
                <w:rFonts w:ascii="Cambria Math" w:eastAsia="Times New Roman" w:hAnsi="Cambria Math" w:cs="Times New Roman"/>
                <w:i/>
                <w:szCs w:val="24"/>
                <w:lang w:val="pt-BR" w:eastAsia="pt-BR" w:bidi="ar-SA"/>
              </w:rPr>
            </m:ctrlPr>
          </m:sSubPr>
          <m:e>
            <m:r>
              <w:rPr>
                <w:rFonts w:ascii="Cambria Math" w:eastAsia="Times New Roman" w:hAnsi="Cambria Math" w:cs="Times New Roman"/>
                <w:szCs w:val="24"/>
                <w:lang w:val="pt-BR" w:eastAsia="pt-BR" w:bidi="ar-SA"/>
              </w:rPr>
              <m:t>β</m:t>
            </m:r>
          </m:e>
          <m:sub>
            <m:r>
              <w:rPr>
                <w:rFonts w:ascii="Cambria Math" w:eastAsia="Times New Roman" w:hAnsi="Cambria Math" w:cs="Times New Roman"/>
                <w:szCs w:val="24"/>
                <w:lang w:val="pt-BR" w:eastAsia="pt-BR" w:bidi="ar-SA"/>
              </w:rPr>
              <m:t>2</m:t>
            </m:r>
          </m:sub>
        </m:sSub>
        <m:sSub>
          <m:sSubPr>
            <m:ctrlPr>
              <w:rPr>
                <w:rFonts w:ascii="Cambria Math" w:eastAsia="Times New Roman" w:hAnsi="Cambria Math" w:cs="Times New Roman"/>
                <w:i/>
                <w:szCs w:val="24"/>
                <w:lang w:val="pt-BR" w:eastAsia="pt-BR" w:bidi="ar-SA"/>
              </w:rPr>
            </m:ctrlPr>
          </m:sSubPr>
          <m:e>
            <m:r>
              <w:rPr>
                <w:rFonts w:ascii="Cambria Math" w:eastAsia="Times New Roman" w:hAnsi="Cambria Math" w:cs="Times New Roman"/>
                <w:szCs w:val="24"/>
                <w:lang w:val="pt-BR" w:eastAsia="pt-BR" w:bidi="ar-SA"/>
              </w:rPr>
              <m:t>RISC</m:t>
            </m:r>
          </m:e>
          <m:sub>
            <m:r>
              <w:rPr>
                <w:rFonts w:ascii="Cambria Math" w:eastAsia="Times New Roman" w:hAnsi="Cambria Math" w:cs="Times New Roman"/>
                <w:szCs w:val="24"/>
                <w:lang w:val="pt-BR" w:eastAsia="pt-BR" w:bidi="ar-SA"/>
              </w:rPr>
              <m:t>it</m:t>
            </m:r>
          </m:sub>
        </m:sSub>
        <m:r>
          <w:rPr>
            <w:rFonts w:ascii="Cambria Math" w:eastAsia="Times New Roman" w:hAnsi="Cambria Math" w:cs="Times New Roman"/>
            <w:szCs w:val="24"/>
            <w:lang w:val="pt-BR" w:eastAsia="pt-BR" w:bidi="ar-SA"/>
          </w:rPr>
          <m:t>+</m:t>
        </m:r>
        <m:sSub>
          <m:sSubPr>
            <m:ctrlPr>
              <w:rPr>
                <w:rFonts w:ascii="Cambria Math" w:eastAsia="Times New Roman" w:hAnsi="Cambria Math" w:cs="Times New Roman"/>
                <w:i/>
                <w:szCs w:val="24"/>
                <w:lang w:val="pt-BR" w:eastAsia="pt-BR" w:bidi="ar-SA"/>
              </w:rPr>
            </m:ctrlPr>
          </m:sSubPr>
          <m:e>
            <m:r>
              <w:rPr>
                <w:rFonts w:ascii="Cambria Math" w:eastAsia="Times New Roman" w:hAnsi="Cambria Math" w:cs="Times New Roman"/>
                <w:szCs w:val="24"/>
                <w:lang w:val="pt-BR" w:eastAsia="pt-BR" w:bidi="ar-SA"/>
              </w:rPr>
              <m:t>β</m:t>
            </m:r>
          </m:e>
          <m:sub>
            <m:r>
              <w:rPr>
                <w:rFonts w:ascii="Cambria Math" w:eastAsia="Times New Roman" w:hAnsi="Cambria Math" w:cs="Times New Roman"/>
                <w:szCs w:val="24"/>
                <w:lang w:val="pt-BR" w:eastAsia="pt-BR" w:bidi="ar-SA"/>
              </w:rPr>
              <m:t>3</m:t>
            </m:r>
          </m:sub>
        </m:sSub>
        <m:sSub>
          <m:sSubPr>
            <m:ctrlPr>
              <w:rPr>
                <w:rFonts w:ascii="Cambria Math" w:eastAsia="Times New Roman" w:hAnsi="Cambria Math" w:cs="Times New Roman"/>
                <w:i/>
                <w:szCs w:val="24"/>
                <w:lang w:val="pt-BR" w:eastAsia="pt-BR" w:bidi="ar-SA"/>
              </w:rPr>
            </m:ctrlPr>
          </m:sSubPr>
          <m:e>
            <m:r>
              <w:rPr>
                <w:rFonts w:ascii="Cambria Math" w:eastAsia="Times New Roman" w:hAnsi="Cambria Math" w:cs="Times New Roman"/>
                <w:szCs w:val="24"/>
                <w:lang w:val="pt-BR" w:eastAsia="pt-BR" w:bidi="ar-SA"/>
              </w:rPr>
              <m:t>TAM</m:t>
            </m:r>
          </m:e>
          <m:sub>
            <m:r>
              <w:rPr>
                <w:rFonts w:ascii="Cambria Math" w:eastAsia="Times New Roman" w:hAnsi="Cambria Math" w:cs="Times New Roman"/>
                <w:szCs w:val="24"/>
                <w:lang w:val="pt-BR" w:eastAsia="pt-BR" w:bidi="ar-SA"/>
              </w:rPr>
              <m:t>it</m:t>
            </m:r>
          </m:sub>
        </m:sSub>
        <m:r>
          <w:rPr>
            <w:rFonts w:ascii="Cambria Math" w:eastAsia="Times New Roman" w:hAnsi="Cambria Math" w:cs="Times New Roman"/>
            <w:szCs w:val="24"/>
            <w:lang w:val="pt-BR" w:eastAsia="pt-BR" w:bidi="ar-SA"/>
          </w:rPr>
          <m:t xml:space="preserve">+ </m:t>
        </m:r>
        <m:sSub>
          <m:sSubPr>
            <m:ctrlPr>
              <w:rPr>
                <w:rFonts w:ascii="Cambria Math" w:eastAsia="Times New Roman" w:hAnsi="Cambria Math" w:cs="Times New Roman"/>
                <w:i/>
                <w:szCs w:val="24"/>
                <w:lang w:val="pt-BR" w:eastAsia="pt-BR" w:bidi="ar-SA"/>
              </w:rPr>
            </m:ctrlPr>
          </m:sSubPr>
          <m:e>
            <m:r>
              <w:rPr>
                <w:rFonts w:ascii="Cambria Math" w:eastAsia="Times New Roman" w:hAnsi="Cambria Math" w:cs="Times New Roman"/>
                <w:szCs w:val="24"/>
                <w:lang w:val="pt-BR" w:eastAsia="pt-BR" w:bidi="ar-SA"/>
              </w:rPr>
              <m:t>β</m:t>
            </m:r>
          </m:e>
          <m:sub>
            <m:r>
              <w:rPr>
                <w:rFonts w:ascii="Cambria Math" w:eastAsia="Times New Roman" w:hAnsi="Cambria Math" w:cs="Times New Roman"/>
                <w:szCs w:val="24"/>
                <w:lang w:val="pt-BR" w:eastAsia="pt-BR" w:bidi="ar-SA"/>
              </w:rPr>
              <m:t>4</m:t>
            </m:r>
          </m:sub>
        </m:sSub>
        <m:sSub>
          <m:sSubPr>
            <m:ctrlPr>
              <w:rPr>
                <w:rFonts w:ascii="Cambria Math" w:eastAsia="Times New Roman" w:hAnsi="Cambria Math" w:cs="Times New Roman"/>
                <w:i/>
                <w:szCs w:val="24"/>
                <w:lang w:val="pt-BR" w:eastAsia="pt-BR" w:bidi="ar-SA"/>
              </w:rPr>
            </m:ctrlPr>
          </m:sSubPr>
          <m:e>
            <m:r>
              <w:rPr>
                <w:rFonts w:ascii="Cambria Math" w:eastAsia="Times New Roman" w:hAnsi="Cambria Math" w:cs="Times New Roman"/>
                <w:szCs w:val="24"/>
                <w:lang w:val="pt-BR" w:eastAsia="pt-BR" w:bidi="ar-SA"/>
              </w:rPr>
              <m:t>CRESC</m:t>
            </m:r>
          </m:e>
          <m:sub>
            <m:r>
              <w:rPr>
                <w:rFonts w:ascii="Cambria Math" w:eastAsia="Times New Roman" w:hAnsi="Cambria Math" w:cs="Times New Roman"/>
                <w:szCs w:val="24"/>
                <w:lang w:val="pt-BR" w:eastAsia="pt-BR" w:bidi="ar-SA"/>
              </w:rPr>
              <m:t>it-1</m:t>
            </m:r>
          </m:sub>
        </m:sSub>
        <m:r>
          <w:rPr>
            <w:rFonts w:ascii="Cambria Math" w:eastAsia="Times New Roman" w:hAnsi="Cambria Math" w:cs="Times New Roman"/>
            <w:szCs w:val="24"/>
            <w:lang w:val="pt-BR" w:eastAsia="pt-BR" w:bidi="ar-SA"/>
          </w:rPr>
          <m:t xml:space="preserve">+ </m:t>
        </m:r>
        <m:sSub>
          <m:sSubPr>
            <m:ctrlPr>
              <w:rPr>
                <w:rFonts w:ascii="Cambria Math" w:eastAsia="Times New Roman" w:hAnsi="Cambria Math" w:cs="Times New Roman"/>
                <w:i/>
                <w:szCs w:val="24"/>
                <w:lang w:val="pt-BR" w:eastAsia="pt-BR" w:bidi="ar-SA"/>
              </w:rPr>
            </m:ctrlPr>
          </m:sSubPr>
          <m:e>
            <m:r>
              <w:rPr>
                <w:rFonts w:ascii="Cambria Math" w:eastAsia="Times New Roman" w:hAnsi="Cambria Math" w:cs="Times New Roman"/>
                <w:szCs w:val="24"/>
                <w:lang w:val="pt-BR" w:eastAsia="pt-BR" w:bidi="ar-SA"/>
              </w:rPr>
              <m:t>β</m:t>
            </m:r>
          </m:e>
          <m:sub>
            <m:r>
              <w:rPr>
                <w:rFonts w:ascii="Cambria Math" w:eastAsia="Times New Roman" w:hAnsi="Cambria Math" w:cs="Times New Roman"/>
                <w:szCs w:val="24"/>
                <w:lang w:val="pt-BR" w:eastAsia="pt-BR" w:bidi="ar-SA"/>
              </w:rPr>
              <m:t>5</m:t>
            </m:r>
          </m:sub>
        </m:sSub>
        <m:sSub>
          <m:sSubPr>
            <m:ctrlPr>
              <w:rPr>
                <w:rFonts w:ascii="Cambria Math" w:eastAsia="Times New Roman" w:hAnsi="Cambria Math" w:cs="Times New Roman"/>
                <w:i/>
                <w:szCs w:val="24"/>
                <w:lang w:val="pt-BR" w:eastAsia="pt-BR" w:bidi="ar-SA"/>
              </w:rPr>
            </m:ctrlPr>
          </m:sSubPr>
          <m:e>
            <m:r>
              <w:rPr>
                <w:rFonts w:ascii="Cambria Math" w:eastAsia="Times New Roman" w:hAnsi="Cambria Math" w:cs="Times New Roman"/>
                <w:szCs w:val="24"/>
                <w:lang w:val="pt-BR" w:eastAsia="pt-BR" w:bidi="ar-SA"/>
              </w:rPr>
              <m:t>PROP</m:t>
            </m:r>
          </m:e>
          <m:sub>
            <m:r>
              <w:rPr>
                <w:rFonts w:ascii="Cambria Math" w:eastAsia="Times New Roman" w:hAnsi="Cambria Math" w:cs="Times New Roman"/>
                <w:szCs w:val="24"/>
                <w:lang w:val="pt-BR" w:eastAsia="pt-BR" w:bidi="ar-SA"/>
              </w:rPr>
              <m:t>it</m:t>
            </m:r>
          </m:sub>
        </m:sSub>
        <m:r>
          <w:rPr>
            <w:rFonts w:ascii="Cambria Math" w:eastAsia="Times New Roman" w:hAnsi="Cambria Math" w:cs="Times New Roman"/>
            <w:szCs w:val="24"/>
            <w:lang w:val="pt-BR" w:eastAsia="pt-BR" w:bidi="ar-SA"/>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i</m:t>
            </m:r>
          </m:sub>
        </m:sSub>
        <m:r>
          <w:rPr>
            <w:rFonts w:ascii="Cambria Math" w:hAnsi="Cambria Math" w:cs="Times New Roman"/>
            <w:lang w:val="pt-BR"/>
          </w:rPr>
          <m:t xml:space="preserve">+ </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it</m:t>
            </m:r>
          </m:sub>
        </m:sSub>
      </m:oMath>
      <w:r w:rsidR="00356C7B">
        <w:rPr>
          <w:rFonts w:eastAsia="Times New Roman" w:cs="Times New Roman"/>
          <w:i/>
          <w:szCs w:val="24"/>
          <w:lang w:val="pt-BR" w:eastAsia="pt-BR" w:bidi="ar-SA"/>
        </w:rPr>
        <w:t xml:space="preserve">                                           </w:t>
      </w:r>
      <w:r w:rsidR="00BF6AD0">
        <w:rPr>
          <w:rFonts w:eastAsia="Times New Roman" w:cs="Times New Roman"/>
          <w:i/>
          <w:szCs w:val="24"/>
          <w:lang w:val="pt-BR" w:eastAsia="pt-BR" w:bidi="ar-SA"/>
        </w:rPr>
        <w:tab/>
      </w:r>
      <w:r w:rsidR="00BF6AD0">
        <w:rPr>
          <w:rFonts w:eastAsia="Times New Roman" w:cs="Times New Roman"/>
          <w:i/>
          <w:szCs w:val="24"/>
          <w:lang w:val="pt-BR" w:eastAsia="pt-BR" w:bidi="ar-SA"/>
        </w:rPr>
        <w:tab/>
      </w:r>
      <w:r w:rsidR="00BF6AD0">
        <w:rPr>
          <w:rFonts w:eastAsia="Times New Roman" w:cs="Times New Roman"/>
          <w:i/>
          <w:szCs w:val="24"/>
          <w:lang w:val="pt-BR" w:eastAsia="pt-BR" w:bidi="ar-SA"/>
        </w:rPr>
        <w:tab/>
      </w:r>
      <w:r w:rsidR="00BF6AD0">
        <w:rPr>
          <w:rFonts w:eastAsia="Times New Roman" w:cs="Times New Roman"/>
          <w:i/>
          <w:szCs w:val="24"/>
          <w:lang w:val="pt-BR" w:eastAsia="pt-BR" w:bidi="ar-SA"/>
        </w:rPr>
        <w:tab/>
      </w:r>
      <w:r w:rsidR="00BF6AD0">
        <w:rPr>
          <w:rFonts w:eastAsia="Times New Roman" w:cs="Times New Roman"/>
          <w:i/>
          <w:szCs w:val="24"/>
          <w:lang w:val="pt-BR" w:eastAsia="pt-BR" w:bidi="ar-SA"/>
        </w:rPr>
        <w:tab/>
      </w:r>
      <w:r w:rsidR="00BF6AD0">
        <w:rPr>
          <w:rFonts w:eastAsia="Times New Roman" w:cs="Times New Roman"/>
          <w:i/>
          <w:szCs w:val="24"/>
          <w:lang w:val="pt-BR" w:eastAsia="pt-BR" w:bidi="ar-SA"/>
        </w:rPr>
        <w:tab/>
        <w:t xml:space="preserve">         </w:t>
      </w:r>
      <w:r w:rsidR="00356C7B">
        <w:rPr>
          <w:rFonts w:eastAsia="Times New Roman" w:cs="Times New Roman"/>
          <w:i/>
          <w:szCs w:val="24"/>
          <w:lang w:val="pt-BR" w:eastAsia="pt-BR" w:bidi="ar-SA"/>
        </w:rPr>
        <w:t xml:space="preserve">        </w:t>
      </w:r>
      <w:r w:rsidR="00356C7B" w:rsidRPr="00566197">
        <w:rPr>
          <w:rFonts w:eastAsia="Times New Roman" w:cs="Times New Roman"/>
          <w:szCs w:val="24"/>
          <w:lang w:val="pt-BR" w:eastAsia="pt-BR" w:bidi="ar-SA"/>
        </w:rPr>
        <w:t>(6)</w:t>
      </w:r>
    </w:p>
    <w:p w14:paraId="1CCF6A58" w14:textId="77777777" w:rsidR="00356C7B" w:rsidRDefault="00356C7B" w:rsidP="00356C7B">
      <w:pPr>
        <w:spacing w:before="0" w:after="0" w:line="240" w:lineRule="auto"/>
        <w:rPr>
          <w:rFonts w:eastAsia="Times New Roman" w:cs="Times New Roman"/>
          <w:szCs w:val="24"/>
          <w:lang w:val="pt-BR" w:eastAsia="pt-BR" w:bidi="ar-SA"/>
        </w:rPr>
      </w:pPr>
    </w:p>
    <w:p w14:paraId="5C2F6C43" w14:textId="12993151" w:rsidR="00356C7B" w:rsidRPr="00DD165B" w:rsidRDefault="00356C7B" w:rsidP="00356C7B">
      <w:pPr>
        <w:spacing w:before="0" w:after="0" w:line="240" w:lineRule="auto"/>
        <w:rPr>
          <w:rFonts w:eastAsia="Times New Roman" w:cs="Times New Roman"/>
          <w:szCs w:val="24"/>
          <w:lang w:val="pt-BR" w:eastAsia="pt-BR" w:bidi="ar-SA"/>
        </w:rPr>
      </w:pPr>
      <w:r w:rsidRPr="00DD165B">
        <w:rPr>
          <w:rFonts w:eastAsia="Times New Roman" w:cs="Times New Roman"/>
          <w:szCs w:val="24"/>
          <w:lang w:val="pt-BR" w:eastAsia="pt-BR" w:bidi="ar-SA"/>
        </w:rPr>
        <w:t>Onde:</w:t>
      </w:r>
      <w:r w:rsidRPr="00DD165B">
        <w:rPr>
          <w:rFonts w:eastAsia="Times New Roman" w:cs="Times New Roman"/>
          <w:szCs w:val="24"/>
          <w:lang w:val="pt-BR" w:eastAsia="pt-BR" w:bidi="ar-SA"/>
        </w:rPr>
        <w:tab/>
      </w:r>
      <m:oMath>
        <m:sSub>
          <m:sSubPr>
            <m:ctrlPr>
              <w:rPr>
                <w:rFonts w:ascii="Cambria Math" w:eastAsia="Times New Roman" w:hAnsi="Cambria Math" w:cs="Times New Roman"/>
                <w:i/>
                <w:szCs w:val="24"/>
                <w:lang w:val="pt-BR" w:eastAsia="pt-BR" w:bidi="ar-SA"/>
              </w:rPr>
            </m:ctrlPr>
          </m:sSubPr>
          <m:e>
            <m:r>
              <w:rPr>
                <w:rFonts w:ascii="Cambria Math" w:eastAsia="Times New Roman" w:hAnsi="Cambria Math" w:cs="Times New Roman"/>
                <w:szCs w:val="24"/>
                <w:lang w:val="pt-BR" w:eastAsia="pt-BR" w:bidi="ar-SA"/>
              </w:rPr>
              <m:t>Y</m:t>
            </m:r>
          </m:e>
          <m:sub>
            <m:r>
              <w:rPr>
                <w:rFonts w:ascii="Cambria Math" w:eastAsia="Times New Roman" w:hAnsi="Cambria Math" w:cs="Times New Roman"/>
                <w:szCs w:val="24"/>
                <w:lang w:val="pt-BR" w:eastAsia="pt-BR" w:bidi="ar-SA"/>
              </w:rPr>
              <m:t>it</m:t>
            </m:r>
          </m:sub>
        </m:sSub>
      </m:oMath>
      <w:r>
        <w:rPr>
          <w:rFonts w:eastAsia="Times New Roman" w:cs="Times New Roman"/>
          <w:szCs w:val="24"/>
          <w:lang w:val="pt-BR" w:eastAsia="pt-BR" w:bidi="ar-SA"/>
        </w:rPr>
        <w:t xml:space="preserve">: </w:t>
      </w:r>
      <w:r w:rsidRPr="00DD165B">
        <w:rPr>
          <w:rFonts w:eastAsia="Times New Roman" w:cs="Times New Roman"/>
          <w:szCs w:val="24"/>
          <w:lang w:val="pt-BR" w:eastAsia="pt-BR" w:bidi="ar-SA"/>
        </w:rPr>
        <w:t xml:space="preserve"> </w:t>
      </w:r>
      <w:r>
        <w:rPr>
          <w:rFonts w:eastAsia="Times New Roman" w:cs="Times New Roman"/>
          <w:szCs w:val="24"/>
          <w:lang w:val="pt-BR" w:eastAsia="pt-BR" w:bidi="ar-SA"/>
        </w:rPr>
        <w:t>múltiplo d</w:t>
      </w:r>
      <w:r w:rsidRPr="00DD165B">
        <w:rPr>
          <w:rFonts w:eastAsia="Times New Roman" w:cs="Times New Roman"/>
          <w:szCs w:val="24"/>
          <w:lang w:val="pt-BR" w:eastAsia="pt-BR" w:bidi="ar-SA"/>
        </w:rPr>
        <w:t xml:space="preserve">a firma </w:t>
      </w:r>
      <w:r w:rsidRPr="00DD165B">
        <w:rPr>
          <w:rFonts w:eastAsia="Times New Roman" w:cs="Times New Roman"/>
          <w:i/>
          <w:szCs w:val="24"/>
          <w:lang w:val="pt-BR" w:eastAsia="pt-BR" w:bidi="ar-SA"/>
        </w:rPr>
        <w:t>i</w:t>
      </w:r>
      <w:r>
        <w:rPr>
          <w:rFonts w:eastAsia="Times New Roman" w:cs="Times New Roman"/>
          <w:i/>
          <w:szCs w:val="24"/>
          <w:lang w:val="pt-BR" w:eastAsia="pt-BR" w:bidi="ar-SA"/>
        </w:rPr>
        <w:t xml:space="preserve"> </w:t>
      </w:r>
      <w:r>
        <w:rPr>
          <w:rFonts w:eastAsia="Times New Roman" w:cs="Times New Roman"/>
          <w:szCs w:val="24"/>
          <w:lang w:val="pt-BR" w:eastAsia="pt-BR" w:bidi="ar-SA"/>
        </w:rPr>
        <w:t xml:space="preserve">no tempo </w:t>
      </w:r>
      <w:r w:rsidRPr="006B449D">
        <w:rPr>
          <w:rFonts w:eastAsia="Times New Roman" w:cs="Times New Roman"/>
          <w:i/>
          <w:szCs w:val="24"/>
          <w:lang w:val="pt-BR" w:eastAsia="pt-BR" w:bidi="ar-SA"/>
        </w:rPr>
        <w:t>t</w:t>
      </w:r>
      <w:r>
        <w:rPr>
          <w:rFonts w:eastAsia="Times New Roman" w:cs="Times New Roman"/>
          <w:i/>
          <w:szCs w:val="24"/>
          <w:lang w:val="pt-BR" w:eastAsia="pt-BR" w:bidi="ar-SA"/>
        </w:rPr>
        <w:t xml:space="preserve">, </w:t>
      </w:r>
      <w:r>
        <w:rPr>
          <w:rFonts w:eastAsia="Times New Roman" w:cs="Times New Roman"/>
          <w:szCs w:val="24"/>
          <w:lang w:val="pt-BR" w:eastAsia="pt-BR" w:bidi="ar-SA"/>
        </w:rPr>
        <w:t>podendo ser P/L, P/B ou P/</w:t>
      </w:r>
      <w:r w:rsidR="00E45D5A">
        <w:rPr>
          <w:rFonts w:eastAsia="Times New Roman" w:cs="Times New Roman"/>
          <w:szCs w:val="24"/>
          <w:lang w:val="pt-BR" w:eastAsia="pt-BR" w:bidi="ar-SA"/>
        </w:rPr>
        <w:t>LO</w:t>
      </w:r>
      <w:r w:rsidRPr="00DD165B">
        <w:rPr>
          <w:rFonts w:eastAsia="Times New Roman" w:cs="Times New Roman"/>
          <w:szCs w:val="24"/>
          <w:lang w:val="pt-BR" w:eastAsia="pt-BR" w:bidi="ar-SA"/>
        </w:rPr>
        <w:t>;</w:t>
      </w:r>
    </w:p>
    <w:p w14:paraId="22592C52" w14:textId="77777777" w:rsidR="00356C7B" w:rsidRDefault="00356C7B" w:rsidP="00356C7B">
      <w:pPr>
        <w:spacing w:before="0" w:after="0" w:line="240" w:lineRule="auto"/>
        <w:rPr>
          <w:rFonts w:eastAsia="Times New Roman" w:cs="Times New Roman"/>
          <w:szCs w:val="24"/>
          <w:lang w:val="pt-BR" w:eastAsia="pt-BR" w:bidi="ar-SA"/>
        </w:rPr>
      </w:pPr>
      <w:r w:rsidRPr="00DD165B">
        <w:rPr>
          <w:rFonts w:eastAsia="Times New Roman" w:cs="Times New Roman"/>
          <w:szCs w:val="24"/>
          <w:lang w:val="pt-BR" w:eastAsia="pt-BR" w:bidi="ar-SA"/>
        </w:rPr>
        <w:tab/>
      </w:r>
      <m:oMath>
        <m:sSub>
          <m:sSubPr>
            <m:ctrlPr>
              <w:rPr>
                <w:rFonts w:ascii="Cambria Math" w:eastAsia="Times New Roman" w:hAnsi="Cambria Math" w:cs="Times New Roman"/>
                <w:i/>
                <w:szCs w:val="24"/>
                <w:lang w:val="pt-BR" w:eastAsia="pt-BR" w:bidi="ar-SA"/>
              </w:rPr>
            </m:ctrlPr>
          </m:sSubPr>
          <m:e>
            <m:r>
              <w:rPr>
                <w:rFonts w:ascii="Cambria Math" w:eastAsia="Times New Roman" w:hAnsi="Cambria Math" w:cs="Times New Roman"/>
                <w:szCs w:val="24"/>
                <w:lang w:val="pt-BR" w:eastAsia="pt-BR" w:bidi="ar-SA"/>
              </w:rPr>
              <m:t>β</m:t>
            </m:r>
          </m:e>
          <m:sub>
            <m:r>
              <w:rPr>
                <w:rFonts w:ascii="Cambria Math" w:eastAsia="Times New Roman" w:hAnsi="Cambria Math" w:cs="Times New Roman"/>
                <w:szCs w:val="24"/>
                <w:lang w:val="pt-BR" w:eastAsia="pt-BR" w:bidi="ar-SA"/>
              </w:rPr>
              <m:t>0</m:t>
            </m:r>
          </m:sub>
        </m:sSub>
      </m:oMath>
      <w:r>
        <w:rPr>
          <w:rFonts w:eastAsia="Times New Roman" w:cs="Times New Roman"/>
          <w:szCs w:val="24"/>
          <w:lang w:val="pt-BR" w:eastAsia="pt-BR" w:bidi="ar-SA"/>
        </w:rPr>
        <w:t>:</w:t>
      </w:r>
      <w:r w:rsidRPr="00AF4377">
        <w:rPr>
          <w:rFonts w:eastAsia="Times New Roman" w:cs="Times New Roman"/>
          <w:szCs w:val="24"/>
          <w:lang w:val="pt-BR" w:eastAsia="pt-BR" w:bidi="ar-SA"/>
        </w:rPr>
        <w:t xml:space="preserve"> coeficiente angular da r</w:t>
      </w:r>
      <w:r>
        <w:rPr>
          <w:rFonts w:eastAsia="Times New Roman" w:cs="Times New Roman"/>
          <w:szCs w:val="24"/>
          <w:lang w:val="pt-BR" w:eastAsia="pt-BR" w:bidi="ar-SA"/>
        </w:rPr>
        <w:t>egressão;</w:t>
      </w:r>
    </w:p>
    <w:p w14:paraId="5206016E" w14:textId="77777777" w:rsidR="00356C7B" w:rsidRPr="006B449D" w:rsidRDefault="00356C7B" w:rsidP="00356C7B">
      <w:pPr>
        <w:spacing w:before="0" w:after="0" w:line="240" w:lineRule="auto"/>
        <w:rPr>
          <w:rFonts w:eastAsia="Times New Roman" w:cs="Times New Roman"/>
          <w:szCs w:val="24"/>
          <w:lang w:val="pt-BR" w:eastAsia="pt-BR" w:bidi="ar-SA"/>
        </w:rPr>
      </w:pPr>
      <w:r>
        <w:rPr>
          <w:rFonts w:eastAsia="Times New Roman" w:cs="Times New Roman"/>
          <w:szCs w:val="24"/>
          <w:lang w:val="pt-BR" w:eastAsia="pt-BR" w:bidi="ar-SA"/>
        </w:rPr>
        <w:tab/>
      </w:r>
      <m:oMath>
        <m:sSub>
          <m:sSubPr>
            <m:ctrlPr>
              <w:rPr>
                <w:rFonts w:ascii="Cambria Math" w:eastAsia="Times New Roman" w:hAnsi="Cambria Math" w:cs="Times New Roman"/>
                <w:i/>
                <w:szCs w:val="24"/>
                <w:lang w:val="pt-BR" w:eastAsia="pt-BR" w:bidi="ar-SA"/>
              </w:rPr>
            </m:ctrlPr>
          </m:sSubPr>
          <m:e>
            <m:r>
              <w:rPr>
                <w:rFonts w:ascii="Cambria Math" w:eastAsia="Times New Roman" w:hAnsi="Cambria Math" w:cs="Times New Roman"/>
                <w:szCs w:val="24"/>
                <w:lang w:val="pt-BR" w:eastAsia="pt-BR" w:bidi="ar-SA"/>
              </w:rPr>
              <m:t>ROE</m:t>
            </m:r>
          </m:e>
          <m:sub>
            <m:r>
              <w:rPr>
                <w:rFonts w:ascii="Cambria Math" w:eastAsia="Times New Roman" w:hAnsi="Cambria Math" w:cs="Times New Roman"/>
                <w:szCs w:val="24"/>
                <w:lang w:val="pt-BR" w:eastAsia="pt-BR" w:bidi="ar-SA"/>
              </w:rPr>
              <m:t>it-1</m:t>
            </m:r>
          </m:sub>
        </m:sSub>
      </m:oMath>
      <w:r>
        <w:rPr>
          <w:rFonts w:eastAsia="Times New Roman" w:cs="Times New Roman"/>
          <w:szCs w:val="24"/>
          <w:lang w:val="pt-BR" w:eastAsia="pt-BR" w:bidi="ar-SA"/>
        </w:rPr>
        <w:t xml:space="preserve">: retorno sobre o patrimônio líquido da firma </w:t>
      </w:r>
      <w:r w:rsidRPr="00AF4377">
        <w:rPr>
          <w:rFonts w:eastAsia="Times New Roman" w:cs="Times New Roman"/>
          <w:i/>
          <w:szCs w:val="24"/>
          <w:lang w:val="pt-BR" w:eastAsia="pt-BR" w:bidi="ar-SA"/>
        </w:rPr>
        <w:t>i</w:t>
      </w:r>
      <w:r>
        <w:rPr>
          <w:rFonts w:eastAsia="Times New Roman" w:cs="Times New Roman"/>
          <w:i/>
          <w:szCs w:val="24"/>
          <w:lang w:val="pt-BR" w:eastAsia="pt-BR" w:bidi="ar-SA"/>
        </w:rPr>
        <w:t xml:space="preserve"> </w:t>
      </w:r>
      <w:r w:rsidRPr="006B449D">
        <w:rPr>
          <w:rFonts w:eastAsia="Times New Roman" w:cs="Times New Roman"/>
          <w:szCs w:val="24"/>
          <w:lang w:val="pt-BR" w:eastAsia="pt-BR" w:bidi="ar-SA"/>
        </w:rPr>
        <w:t xml:space="preserve">no tempo </w:t>
      </w:r>
      <w:r w:rsidRPr="006B449D">
        <w:rPr>
          <w:rFonts w:eastAsia="Times New Roman" w:cs="Times New Roman"/>
          <w:i/>
          <w:szCs w:val="24"/>
          <w:lang w:val="pt-BR" w:eastAsia="pt-BR" w:bidi="ar-SA"/>
        </w:rPr>
        <w:t>t</w:t>
      </w:r>
      <w:r w:rsidR="00BF6AD0">
        <w:rPr>
          <w:rFonts w:eastAsia="Times New Roman" w:cs="Times New Roman"/>
          <w:i/>
          <w:szCs w:val="24"/>
          <w:lang w:val="pt-BR" w:eastAsia="pt-BR" w:bidi="ar-SA"/>
        </w:rPr>
        <w:t>-1</w:t>
      </w:r>
      <w:r w:rsidRPr="006B449D">
        <w:rPr>
          <w:rFonts w:eastAsia="Times New Roman" w:cs="Times New Roman"/>
          <w:szCs w:val="24"/>
          <w:lang w:val="pt-BR" w:eastAsia="pt-BR" w:bidi="ar-SA"/>
        </w:rPr>
        <w:t>;</w:t>
      </w:r>
    </w:p>
    <w:p w14:paraId="4B71C947" w14:textId="77777777" w:rsidR="00356C7B" w:rsidRDefault="00356C7B" w:rsidP="00356C7B">
      <w:pPr>
        <w:spacing w:before="0" w:after="0" w:line="240" w:lineRule="auto"/>
        <w:rPr>
          <w:rFonts w:eastAsia="Times New Roman" w:cs="Times New Roman"/>
          <w:szCs w:val="24"/>
          <w:lang w:val="pt-BR" w:eastAsia="pt-BR" w:bidi="ar-SA"/>
        </w:rPr>
      </w:pPr>
      <w:r>
        <w:rPr>
          <w:rFonts w:eastAsia="Times New Roman" w:cs="Times New Roman"/>
          <w:szCs w:val="24"/>
          <w:lang w:val="pt-BR" w:eastAsia="pt-BR" w:bidi="ar-SA"/>
        </w:rPr>
        <w:tab/>
      </w:r>
      <m:oMath>
        <m:sSub>
          <m:sSubPr>
            <m:ctrlPr>
              <w:rPr>
                <w:rFonts w:ascii="Cambria Math" w:eastAsia="Times New Roman" w:hAnsi="Cambria Math" w:cs="Times New Roman"/>
                <w:i/>
                <w:szCs w:val="24"/>
                <w:lang w:val="pt-BR" w:eastAsia="pt-BR" w:bidi="ar-SA"/>
              </w:rPr>
            </m:ctrlPr>
          </m:sSubPr>
          <m:e>
            <m:r>
              <w:rPr>
                <w:rFonts w:ascii="Cambria Math" w:eastAsia="Times New Roman" w:hAnsi="Cambria Math" w:cs="Times New Roman"/>
                <w:szCs w:val="24"/>
                <w:lang w:val="pt-BR" w:eastAsia="pt-BR" w:bidi="ar-SA"/>
              </w:rPr>
              <m:t>RISC</m:t>
            </m:r>
          </m:e>
          <m:sub>
            <m:r>
              <w:rPr>
                <w:rFonts w:ascii="Cambria Math" w:eastAsia="Times New Roman" w:hAnsi="Cambria Math" w:cs="Times New Roman"/>
                <w:szCs w:val="24"/>
                <w:lang w:val="pt-BR" w:eastAsia="pt-BR" w:bidi="ar-SA"/>
              </w:rPr>
              <m:t>it</m:t>
            </m:r>
          </m:sub>
        </m:sSub>
      </m:oMath>
      <w:r>
        <w:rPr>
          <w:rFonts w:eastAsia="Times New Roman" w:cs="Times New Roman"/>
          <w:szCs w:val="24"/>
          <w:lang w:val="pt-BR" w:eastAsia="pt-BR" w:bidi="ar-SA"/>
        </w:rPr>
        <w:t xml:space="preserve">: risco da firma </w:t>
      </w:r>
      <w:r w:rsidRPr="00AF4377">
        <w:rPr>
          <w:rFonts w:eastAsia="Times New Roman" w:cs="Times New Roman"/>
          <w:i/>
          <w:szCs w:val="24"/>
          <w:lang w:val="pt-BR" w:eastAsia="pt-BR" w:bidi="ar-SA"/>
        </w:rPr>
        <w:t>i</w:t>
      </w:r>
      <w:r w:rsidRPr="006B449D">
        <w:rPr>
          <w:rFonts w:eastAsia="Times New Roman" w:cs="Times New Roman"/>
          <w:szCs w:val="24"/>
          <w:lang w:val="pt-BR" w:eastAsia="pt-BR" w:bidi="ar-SA"/>
        </w:rPr>
        <w:t xml:space="preserve"> no tempo </w:t>
      </w:r>
      <w:r w:rsidRPr="006B449D">
        <w:rPr>
          <w:rFonts w:eastAsia="Times New Roman" w:cs="Times New Roman"/>
          <w:i/>
          <w:szCs w:val="24"/>
          <w:lang w:val="pt-BR" w:eastAsia="pt-BR" w:bidi="ar-SA"/>
        </w:rPr>
        <w:t>t</w:t>
      </w:r>
      <w:r w:rsidRPr="006B449D">
        <w:rPr>
          <w:rFonts w:eastAsia="Times New Roman" w:cs="Times New Roman"/>
          <w:szCs w:val="24"/>
          <w:lang w:val="pt-BR" w:eastAsia="pt-BR" w:bidi="ar-SA"/>
        </w:rPr>
        <w:t>;</w:t>
      </w:r>
    </w:p>
    <w:p w14:paraId="67438D58" w14:textId="77777777" w:rsidR="00356C7B" w:rsidRDefault="00F274EA" w:rsidP="00356C7B">
      <w:pPr>
        <w:spacing w:before="0" w:after="0" w:line="240" w:lineRule="auto"/>
        <w:ind w:firstLine="708"/>
        <w:rPr>
          <w:rFonts w:eastAsia="Times New Roman" w:cs="Times New Roman"/>
          <w:szCs w:val="24"/>
          <w:lang w:val="pt-BR" w:eastAsia="pt-BR" w:bidi="ar-SA"/>
        </w:rPr>
      </w:pPr>
      <m:oMath>
        <m:sSub>
          <m:sSubPr>
            <m:ctrlPr>
              <w:rPr>
                <w:rFonts w:ascii="Cambria Math" w:eastAsia="Times New Roman" w:hAnsi="Cambria Math" w:cs="Times New Roman"/>
                <w:i/>
                <w:szCs w:val="24"/>
                <w:lang w:val="pt-BR" w:eastAsia="pt-BR" w:bidi="ar-SA"/>
              </w:rPr>
            </m:ctrlPr>
          </m:sSubPr>
          <m:e>
            <m:r>
              <w:rPr>
                <w:rFonts w:ascii="Cambria Math" w:eastAsia="Times New Roman" w:hAnsi="Cambria Math" w:cs="Times New Roman"/>
                <w:szCs w:val="24"/>
                <w:lang w:val="pt-BR" w:eastAsia="pt-BR" w:bidi="ar-SA"/>
              </w:rPr>
              <m:t>TAM</m:t>
            </m:r>
          </m:e>
          <m:sub>
            <m:r>
              <w:rPr>
                <w:rFonts w:ascii="Cambria Math" w:eastAsia="Times New Roman" w:hAnsi="Cambria Math" w:cs="Times New Roman"/>
                <w:szCs w:val="24"/>
                <w:lang w:val="pt-BR" w:eastAsia="pt-BR" w:bidi="ar-SA"/>
              </w:rPr>
              <m:t>it</m:t>
            </m:r>
          </m:sub>
        </m:sSub>
      </m:oMath>
      <w:r w:rsidR="00356C7B">
        <w:rPr>
          <w:rFonts w:eastAsia="Times New Roman" w:cs="Times New Roman"/>
          <w:szCs w:val="24"/>
          <w:lang w:val="pt-BR" w:eastAsia="pt-BR" w:bidi="ar-SA"/>
        </w:rPr>
        <w:t xml:space="preserve">: tamanho da empresa </w:t>
      </w:r>
      <w:r w:rsidR="00356C7B" w:rsidRPr="006B449D">
        <w:rPr>
          <w:rFonts w:eastAsia="Times New Roman" w:cs="Times New Roman"/>
          <w:i/>
          <w:szCs w:val="24"/>
          <w:lang w:val="pt-BR" w:eastAsia="pt-BR" w:bidi="ar-SA"/>
        </w:rPr>
        <w:t>i</w:t>
      </w:r>
      <w:r w:rsidR="00356C7B">
        <w:rPr>
          <w:rFonts w:eastAsia="Times New Roman" w:cs="Times New Roman"/>
          <w:szCs w:val="24"/>
          <w:lang w:val="pt-BR" w:eastAsia="pt-BR" w:bidi="ar-SA"/>
        </w:rPr>
        <w:t xml:space="preserve"> no tempo </w:t>
      </w:r>
      <w:r w:rsidR="00356C7B" w:rsidRPr="006B449D">
        <w:rPr>
          <w:rFonts w:eastAsia="Times New Roman" w:cs="Times New Roman"/>
          <w:i/>
          <w:szCs w:val="24"/>
          <w:lang w:val="pt-BR" w:eastAsia="pt-BR" w:bidi="ar-SA"/>
        </w:rPr>
        <w:t>t</w:t>
      </w:r>
      <w:r w:rsidR="00356C7B">
        <w:rPr>
          <w:rFonts w:eastAsia="Times New Roman" w:cs="Times New Roman"/>
          <w:szCs w:val="24"/>
          <w:lang w:val="pt-BR" w:eastAsia="pt-BR" w:bidi="ar-SA"/>
        </w:rPr>
        <w:t>;</w:t>
      </w:r>
    </w:p>
    <w:p w14:paraId="25926008" w14:textId="77777777" w:rsidR="00356C7B" w:rsidRDefault="00F274EA" w:rsidP="00356C7B">
      <w:pPr>
        <w:spacing w:before="0" w:after="0" w:line="240" w:lineRule="auto"/>
        <w:ind w:firstLine="708"/>
        <w:rPr>
          <w:rFonts w:eastAsia="Times New Roman" w:cs="Times New Roman"/>
          <w:szCs w:val="24"/>
          <w:lang w:val="pt-BR" w:eastAsia="pt-BR" w:bidi="ar-SA"/>
        </w:rPr>
      </w:pPr>
      <m:oMath>
        <m:sSub>
          <m:sSubPr>
            <m:ctrlPr>
              <w:rPr>
                <w:rFonts w:ascii="Cambria Math" w:eastAsia="Times New Roman" w:hAnsi="Cambria Math" w:cs="Times New Roman"/>
                <w:i/>
                <w:szCs w:val="24"/>
                <w:lang w:val="pt-BR" w:eastAsia="pt-BR" w:bidi="ar-SA"/>
              </w:rPr>
            </m:ctrlPr>
          </m:sSubPr>
          <m:e>
            <m:r>
              <w:rPr>
                <w:rFonts w:ascii="Cambria Math" w:eastAsia="Times New Roman" w:hAnsi="Cambria Math" w:cs="Times New Roman"/>
                <w:szCs w:val="24"/>
                <w:lang w:val="pt-BR" w:eastAsia="pt-BR" w:bidi="ar-SA"/>
              </w:rPr>
              <m:t>CRESC</m:t>
            </m:r>
          </m:e>
          <m:sub>
            <m:r>
              <w:rPr>
                <w:rFonts w:ascii="Cambria Math" w:eastAsia="Times New Roman" w:hAnsi="Cambria Math" w:cs="Times New Roman"/>
                <w:szCs w:val="24"/>
                <w:lang w:val="pt-BR" w:eastAsia="pt-BR" w:bidi="ar-SA"/>
              </w:rPr>
              <m:t>it-1</m:t>
            </m:r>
          </m:sub>
        </m:sSub>
      </m:oMath>
      <w:r w:rsidR="00356C7B">
        <w:rPr>
          <w:rFonts w:eastAsia="Times New Roman" w:cs="Times New Roman"/>
          <w:szCs w:val="24"/>
          <w:lang w:val="pt-BR" w:eastAsia="pt-BR" w:bidi="ar-SA"/>
        </w:rPr>
        <w:t xml:space="preserve">: crescimento da firma </w:t>
      </w:r>
      <w:r w:rsidR="00356C7B" w:rsidRPr="006B449D">
        <w:rPr>
          <w:rFonts w:eastAsia="Times New Roman" w:cs="Times New Roman"/>
          <w:i/>
          <w:szCs w:val="24"/>
          <w:lang w:val="pt-BR" w:eastAsia="pt-BR" w:bidi="ar-SA"/>
        </w:rPr>
        <w:t>i</w:t>
      </w:r>
      <w:r w:rsidR="00356C7B">
        <w:rPr>
          <w:rFonts w:eastAsia="Times New Roman" w:cs="Times New Roman"/>
          <w:szCs w:val="24"/>
          <w:lang w:val="pt-BR" w:eastAsia="pt-BR" w:bidi="ar-SA"/>
        </w:rPr>
        <w:t xml:space="preserve"> no tempo </w:t>
      </w:r>
      <w:r w:rsidR="00356C7B" w:rsidRPr="006B449D">
        <w:rPr>
          <w:rFonts w:eastAsia="Times New Roman" w:cs="Times New Roman"/>
          <w:i/>
          <w:szCs w:val="24"/>
          <w:lang w:val="pt-BR" w:eastAsia="pt-BR" w:bidi="ar-SA"/>
        </w:rPr>
        <w:t>t</w:t>
      </w:r>
      <w:r w:rsidR="00BF6AD0">
        <w:rPr>
          <w:rFonts w:eastAsia="Times New Roman" w:cs="Times New Roman"/>
          <w:i/>
          <w:szCs w:val="24"/>
          <w:lang w:val="pt-BR" w:eastAsia="pt-BR" w:bidi="ar-SA"/>
        </w:rPr>
        <w:t>-1</w:t>
      </w:r>
      <w:r w:rsidR="00356C7B">
        <w:rPr>
          <w:rFonts w:eastAsia="Times New Roman" w:cs="Times New Roman"/>
          <w:szCs w:val="24"/>
          <w:lang w:val="pt-BR" w:eastAsia="pt-BR" w:bidi="ar-SA"/>
        </w:rPr>
        <w:t>;</w:t>
      </w:r>
    </w:p>
    <w:p w14:paraId="7B7ADE6E" w14:textId="77777777" w:rsidR="00356C7B" w:rsidRPr="00AF4377" w:rsidRDefault="00F274EA" w:rsidP="00356C7B">
      <w:pPr>
        <w:spacing w:before="0" w:after="0" w:line="240" w:lineRule="auto"/>
        <w:ind w:firstLine="708"/>
        <w:rPr>
          <w:rFonts w:eastAsia="Times New Roman" w:cs="Times New Roman"/>
          <w:szCs w:val="24"/>
          <w:lang w:val="pt-BR" w:eastAsia="pt-BR" w:bidi="ar-SA"/>
        </w:rPr>
      </w:pP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i</m:t>
            </m:r>
          </m:sub>
        </m:sSub>
      </m:oMath>
      <w:r w:rsidR="00356C7B" w:rsidRPr="00A638A4">
        <w:rPr>
          <w:rFonts w:eastAsia="Times New Roman" w:cs="Times New Roman"/>
          <w:lang w:val="pt-BR"/>
        </w:rPr>
        <w:t xml:space="preserve">: </w:t>
      </w:r>
      <w:r w:rsidR="00356C7B" w:rsidRPr="00A638A4">
        <w:rPr>
          <w:rFonts w:cs="Times New Roman"/>
          <w:lang w:val="pt-BR"/>
        </w:rPr>
        <w:t xml:space="preserve">efeito individual específico não observável; </w:t>
      </w:r>
      <w:r w:rsidR="00356C7B" w:rsidRPr="00AF4377">
        <w:rPr>
          <w:rFonts w:eastAsia="Times New Roman" w:cs="Times New Roman"/>
          <w:szCs w:val="24"/>
          <w:lang w:val="pt-BR" w:eastAsia="pt-BR" w:bidi="ar-SA"/>
        </w:rPr>
        <w:t>e</w:t>
      </w:r>
    </w:p>
    <w:p w14:paraId="33B425C3" w14:textId="77777777" w:rsidR="00356C7B" w:rsidRDefault="00356C7B" w:rsidP="00356C7B">
      <w:pPr>
        <w:spacing w:before="0" w:after="0" w:line="240" w:lineRule="auto"/>
        <w:rPr>
          <w:rFonts w:eastAsia="Times New Roman" w:cs="Times New Roman"/>
          <w:szCs w:val="24"/>
          <w:lang w:val="pt-BR" w:eastAsia="pt-BR" w:bidi="ar-SA"/>
        </w:rPr>
      </w:pPr>
      <w:r>
        <w:rPr>
          <w:rFonts w:eastAsia="Times New Roman" w:cs="Times New Roman"/>
          <w:szCs w:val="24"/>
          <w:lang w:val="pt-BR" w:eastAsia="pt-BR" w:bidi="ar-SA"/>
        </w:rPr>
        <w:tab/>
      </w:r>
      <m:oMath>
        <m:sSub>
          <m:sSubPr>
            <m:ctrlPr>
              <w:rPr>
                <w:rFonts w:ascii="Cambria Math" w:eastAsia="Times New Roman" w:hAnsi="Cambria Math" w:cs="Times New Roman"/>
                <w:i/>
                <w:szCs w:val="24"/>
                <w:lang w:val="pt-BR" w:eastAsia="pt-BR" w:bidi="ar-SA"/>
              </w:rPr>
            </m:ctrlPr>
          </m:sSubPr>
          <m:e>
            <m:r>
              <w:rPr>
                <w:rFonts w:ascii="Cambria Math" w:eastAsia="Times New Roman" w:hAnsi="Cambria Math" w:cs="Times New Roman"/>
                <w:szCs w:val="24"/>
                <w:lang w:val="pt-BR" w:eastAsia="pt-BR" w:bidi="ar-SA"/>
              </w:rPr>
              <m:t>ε</m:t>
            </m:r>
          </m:e>
          <m:sub>
            <m:r>
              <w:rPr>
                <w:rFonts w:ascii="Cambria Math" w:eastAsia="Times New Roman" w:hAnsi="Cambria Math" w:cs="Times New Roman"/>
                <w:szCs w:val="24"/>
                <w:lang w:val="pt-BR" w:eastAsia="pt-BR" w:bidi="ar-SA"/>
              </w:rPr>
              <m:t>it</m:t>
            </m:r>
          </m:sub>
        </m:sSub>
      </m:oMath>
      <w:r>
        <w:rPr>
          <w:rFonts w:eastAsia="Times New Roman" w:cs="Times New Roman"/>
          <w:szCs w:val="24"/>
          <w:lang w:val="pt-BR" w:eastAsia="pt-BR" w:bidi="ar-SA"/>
        </w:rPr>
        <w:t xml:space="preserve"> = erro usual da regressão. </w:t>
      </w:r>
      <w:r>
        <w:rPr>
          <w:rFonts w:eastAsia="Times New Roman" w:cs="Times New Roman"/>
          <w:szCs w:val="24"/>
          <w:lang w:val="pt-BR" w:eastAsia="pt-BR" w:bidi="ar-SA"/>
        </w:rPr>
        <w:tab/>
      </w:r>
    </w:p>
    <w:p w14:paraId="211970CD" w14:textId="77777777" w:rsidR="00356C7B" w:rsidRDefault="00356C7B" w:rsidP="00356C7B">
      <w:pPr>
        <w:pStyle w:val="SemEspaamento"/>
        <w:rPr>
          <w:rFonts w:eastAsia="Times New Roman"/>
          <w:lang w:val="pt-BR" w:eastAsia="pt-BR" w:bidi="ar-SA"/>
        </w:rPr>
      </w:pPr>
    </w:p>
    <w:p w14:paraId="1E4DB539" w14:textId="39BA3223" w:rsidR="007B6A07" w:rsidRDefault="00356C7B" w:rsidP="00356C7B">
      <w:pPr>
        <w:pStyle w:val="SemEspaamento"/>
        <w:rPr>
          <w:rFonts w:eastAsia="Times New Roman"/>
          <w:lang w:val="pt-BR" w:eastAsia="pt-BR" w:bidi="ar-SA"/>
        </w:rPr>
      </w:pPr>
      <w:r w:rsidRPr="00A638A4">
        <w:rPr>
          <w:rFonts w:eastAsia="Times New Roman"/>
          <w:lang w:val="pt-BR" w:eastAsia="pt-BR" w:bidi="ar-SA"/>
        </w:rPr>
        <w:t xml:space="preserve">Para verificar a adequabilidade do modelo, </w:t>
      </w:r>
      <w:r>
        <w:rPr>
          <w:rFonts w:eastAsia="Times New Roman"/>
          <w:lang w:val="pt-BR" w:eastAsia="pt-BR" w:bidi="ar-SA"/>
        </w:rPr>
        <w:t xml:space="preserve">foram </w:t>
      </w:r>
      <w:r w:rsidRPr="00A638A4">
        <w:rPr>
          <w:rFonts w:eastAsia="Times New Roman"/>
          <w:lang w:val="pt-BR" w:eastAsia="pt-BR" w:bidi="ar-SA"/>
        </w:rPr>
        <w:t>realiza</w:t>
      </w:r>
      <w:r>
        <w:rPr>
          <w:rFonts w:eastAsia="Times New Roman"/>
          <w:lang w:val="pt-BR" w:eastAsia="pt-BR" w:bidi="ar-SA"/>
        </w:rPr>
        <w:t>dos</w:t>
      </w:r>
      <w:r w:rsidRPr="00A638A4">
        <w:rPr>
          <w:rFonts w:eastAsia="Times New Roman"/>
          <w:lang w:val="pt-BR" w:eastAsia="pt-BR" w:bidi="ar-SA"/>
        </w:rPr>
        <w:t xml:space="preserve"> alguns testes após a estimação do modelo </w:t>
      </w:r>
      <w:proofErr w:type="spellStart"/>
      <w:r w:rsidRPr="00A638A4">
        <w:rPr>
          <w:rFonts w:eastAsia="Times New Roman"/>
          <w:i/>
          <w:lang w:val="pt-BR" w:eastAsia="pt-BR" w:bidi="ar-SA"/>
        </w:rPr>
        <w:t>poole</w:t>
      </w:r>
      <w:r>
        <w:rPr>
          <w:rFonts w:eastAsia="Times New Roman"/>
          <w:i/>
          <w:lang w:val="pt-BR" w:eastAsia="pt-BR" w:bidi="ar-SA"/>
        </w:rPr>
        <w:t>d</w:t>
      </w:r>
      <w:proofErr w:type="spellEnd"/>
      <w:r w:rsidR="007B6A07">
        <w:rPr>
          <w:rFonts w:eastAsia="Times New Roman"/>
          <w:i/>
          <w:lang w:val="pt-BR" w:eastAsia="pt-BR" w:bidi="ar-SA"/>
        </w:rPr>
        <w:t xml:space="preserve">, </w:t>
      </w:r>
      <w:r w:rsidR="007B6A07">
        <w:rPr>
          <w:rFonts w:eastAsia="Times New Roman"/>
          <w:lang w:val="pt-BR" w:eastAsia="pt-BR" w:bidi="ar-SA"/>
        </w:rPr>
        <w:t xml:space="preserve">sendo </w:t>
      </w:r>
      <w:proofErr w:type="gramStart"/>
      <w:r w:rsidR="007B6A07">
        <w:rPr>
          <w:rFonts w:eastAsia="Times New Roman"/>
          <w:lang w:val="pt-BR" w:eastAsia="pt-BR" w:bidi="ar-SA"/>
        </w:rPr>
        <w:t>eles teste</w:t>
      </w:r>
      <w:proofErr w:type="gramEnd"/>
      <w:r w:rsidR="007B6A07">
        <w:rPr>
          <w:rFonts w:eastAsia="Times New Roman"/>
          <w:lang w:val="pt-BR" w:eastAsia="pt-BR" w:bidi="ar-SA"/>
        </w:rPr>
        <w:t xml:space="preserve"> de Fator de Inflação da Variância (VIF), teste RESET e teste de </w:t>
      </w:r>
      <w:proofErr w:type="spellStart"/>
      <w:r w:rsidR="007B6A07">
        <w:rPr>
          <w:rFonts w:eastAsia="Times New Roman"/>
          <w:lang w:val="pt-BR" w:eastAsia="pt-BR" w:bidi="ar-SA"/>
        </w:rPr>
        <w:t>Doornik</w:t>
      </w:r>
      <w:proofErr w:type="spellEnd"/>
      <w:r w:rsidR="007B6A07">
        <w:rPr>
          <w:rFonts w:eastAsia="Times New Roman"/>
          <w:lang w:val="pt-BR" w:eastAsia="pt-BR" w:bidi="ar-SA"/>
        </w:rPr>
        <w:t xml:space="preserve">-Hansen utilizados, respectivamente, para teste a </w:t>
      </w:r>
      <w:proofErr w:type="spellStart"/>
      <w:r w:rsidR="007B6A07">
        <w:rPr>
          <w:rFonts w:eastAsia="Times New Roman"/>
          <w:lang w:val="pt-BR" w:eastAsia="pt-BR" w:bidi="ar-SA"/>
        </w:rPr>
        <w:t>multicolineariedade</w:t>
      </w:r>
      <w:proofErr w:type="spellEnd"/>
      <w:r w:rsidR="007B6A07">
        <w:rPr>
          <w:rFonts w:eastAsia="Times New Roman"/>
          <w:lang w:val="pt-BR" w:eastAsia="pt-BR" w:bidi="ar-SA"/>
        </w:rPr>
        <w:t xml:space="preserve"> entre as variáveis, a forma funcional do modelo </w:t>
      </w:r>
      <w:r w:rsidR="007714EB">
        <w:rPr>
          <w:rFonts w:eastAsia="Times New Roman"/>
          <w:lang w:val="pt-BR" w:eastAsia="pt-BR" w:bidi="ar-SA"/>
        </w:rPr>
        <w:t xml:space="preserve">de regressão e a normalidade dos resíduos. </w:t>
      </w:r>
    </w:p>
    <w:p w14:paraId="40962A0B" w14:textId="5C8BE11F" w:rsidR="00356C7B" w:rsidRPr="007714EB" w:rsidRDefault="007714EB" w:rsidP="007714EB">
      <w:pPr>
        <w:pStyle w:val="SemEspaamento"/>
        <w:rPr>
          <w:rFonts w:eastAsia="Times New Roman"/>
          <w:lang w:val="pt-BR" w:eastAsia="pt-BR" w:bidi="ar-SA"/>
        </w:rPr>
      </w:pPr>
      <w:r>
        <w:rPr>
          <w:rFonts w:eastAsia="Times New Roman"/>
          <w:lang w:val="pt-BR" w:eastAsia="pt-BR" w:bidi="ar-SA"/>
        </w:rPr>
        <w:t xml:space="preserve">Em seguida, realizou-se os testes </w:t>
      </w:r>
      <w:r w:rsidR="00356C7B" w:rsidRPr="00A638A4">
        <w:rPr>
          <w:rFonts w:eastAsia="Times New Roman"/>
          <w:lang w:val="pt-BR" w:eastAsia="pt-BR" w:bidi="ar-SA"/>
        </w:rPr>
        <w:t>referente</w:t>
      </w:r>
      <w:r w:rsidR="00356C7B">
        <w:rPr>
          <w:rFonts w:eastAsia="Times New Roman"/>
          <w:lang w:val="pt-BR" w:eastAsia="pt-BR" w:bidi="ar-SA"/>
        </w:rPr>
        <w:t>s</w:t>
      </w:r>
      <w:r w:rsidR="00356C7B" w:rsidRPr="00A638A4">
        <w:rPr>
          <w:rFonts w:eastAsia="Times New Roman"/>
          <w:lang w:val="pt-BR" w:eastAsia="pt-BR" w:bidi="ar-SA"/>
        </w:rPr>
        <w:t xml:space="preserve"> à </w:t>
      </w:r>
      <w:r w:rsidR="00216242">
        <w:rPr>
          <w:rFonts w:eastAsia="Times New Roman"/>
          <w:lang w:val="pt-BR" w:eastAsia="pt-BR" w:bidi="ar-SA"/>
        </w:rPr>
        <w:t>adequação</w:t>
      </w:r>
      <w:r w:rsidR="00356C7B" w:rsidRPr="00A638A4">
        <w:rPr>
          <w:rFonts w:eastAsia="Times New Roman"/>
          <w:lang w:val="pt-BR" w:eastAsia="pt-BR" w:bidi="ar-SA"/>
        </w:rPr>
        <w:t xml:space="preserve"> do </w:t>
      </w:r>
      <w:r w:rsidR="00216242">
        <w:rPr>
          <w:rFonts w:eastAsia="Times New Roman"/>
          <w:lang w:val="pt-BR" w:eastAsia="pt-BR" w:bidi="ar-SA"/>
        </w:rPr>
        <w:t xml:space="preserve">melhor </w:t>
      </w:r>
      <w:r w:rsidR="00356C7B" w:rsidRPr="00A638A4">
        <w:rPr>
          <w:rFonts w:eastAsia="Times New Roman"/>
          <w:lang w:val="pt-BR" w:eastAsia="pt-BR" w:bidi="ar-SA"/>
        </w:rPr>
        <w:t>modelo de regressão em dados em painel</w:t>
      </w:r>
      <w:r w:rsidR="00216242">
        <w:rPr>
          <w:rFonts w:eastAsia="Times New Roman"/>
          <w:lang w:val="pt-BR" w:eastAsia="pt-BR" w:bidi="ar-SA"/>
        </w:rPr>
        <w:t xml:space="preserve"> entre m</w:t>
      </w:r>
      <w:r w:rsidR="004159BC">
        <w:rPr>
          <w:rFonts w:eastAsia="Times New Roman"/>
          <w:lang w:val="pt-BR" w:eastAsia="pt-BR" w:bidi="ar-SA"/>
        </w:rPr>
        <w:t xml:space="preserve">odelo </w:t>
      </w:r>
      <w:proofErr w:type="spellStart"/>
      <w:r w:rsidR="004159BC" w:rsidRPr="004159BC">
        <w:rPr>
          <w:rFonts w:eastAsia="Times New Roman"/>
          <w:i/>
          <w:lang w:val="pt-BR" w:eastAsia="pt-BR" w:bidi="ar-SA"/>
        </w:rPr>
        <w:t>pooled</w:t>
      </w:r>
      <w:proofErr w:type="spellEnd"/>
      <w:r w:rsidR="004159BC">
        <w:rPr>
          <w:rFonts w:eastAsia="Times New Roman"/>
          <w:lang w:val="pt-BR" w:eastAsia="pt-BR" w:bidi="ar-SA"/>
        </w:rPr>
        <w:t>,</w:t>
      </w:r>
      <w:r w:rsidR="00216242">
        <w:rPr>
          <w:rFonts w:eastAsia="Times New Roman"/>
          <w:lang w:val="pt-BR" w:eastAsia="pt-BR" w:bidi="ar-SA"/>
        </w:rPr>
        <w:t xml:space="preserve"> com</w:t>
      </w:r>
      <w:r w:rsidR="004159BC">
        <w:rPr>
          <w:rFonts w:eastAsia="Times New Roman"/>
          <w:lang w:val="pt-BR" w:eastAsia="pt-BR" w:bidi="ar-SA"/>
        </w:rPr>
        <w:t xml:space="preserve"> efeitos fixos </w:t>
      </w:r>
      <w:r w:rsidR="00216242">
        <w:rPr>
          <w:rFonts w:eastAsia="Times New Roman"/>
          <w:lang w:val="pt-BR" w:eastAsia="pt-BR" w:bidi="ar-SA"/>
        </w:rPr>
        <w:t>ou com</w:t>
      </w:r>
      <w:r w:rsidR="004159BC">
        <w:rPr>
          <w:rFonts w:eastAsia="Times New Roman"/>
          <w:lang w:val="pt-BR" w:eastAsia="pt-BR" w:bidi="ar-SA"/>
        </w:rPr>
        <w:t xml:space="preserve"> efeitos aleatórios</w:t>
      </w:r>
      <w:r w:rsidR="00E7044E">
        <w:rPr>
          <w:rFonts w:eastAsia="Times New Roman"/>
          <w:lang w:val="pt-BR" w:eastAsia="pt-BR" w:bidi="ar-SA"/>
        </w:rPr>
        <w:t>.</w:t>
      </w:r>
      <w:r w:rsidR="004159BC">
        <w:rPr>
          <w:rFonts w:eastAsia="Times New Roman"/>
          <w:lang w:val="pt-BR" w:eastAsia="pt-BR" w:bidi="ar-SA"/>
        </w:rPr>
        <w:t xml:space="preserve"> </w:t>
      </w:r>
      <w:r w:rsidR="00216242">
        <w:rPr>
          <w:rFonts w:eastAsia="Times New Roman"/>
          <w:lang w:val="pt-BR" w:eastAsia="pt-BR" w:bidi="ar-SA"/>
        </w:rPr>
        <w:t xml:space="preserve">Os </w:t>
      </w:r>
      <w:r w:rsidR="00356C7B" w:rsidRPr="00A638A4">
        <w:rPr>
          <w:rFonts w:eastAsia="Times New Roman"/>
          <w:lang w:val="pt-BR" w:eastAsia="pt-BR" w:bidi="ar-SA"/>
        </w:rPr>
        <w:t>teste</w:t>
      </w:r>
      <w:r w:rsidR="00216242">
        <w:rPr>
          <w:rFonts w:eastAsia="Times New Roman"/>
          <w:lang w:val="pt-BR" w:eastAsia="pt-BR" w:bidi="ar-SA"/>
        </w:rPr>
        <w:t>s realizados foram teste</w:t>
      </w:r>
      <w:r w:rsidR="00356C7B" w:rsidRPr="00A638A4">
        <w:rPr>
          <w:rFonts w:eastAsia="Times New Roman"/>
          <w:lang w:val="pt-BR" w:eastAsia="pt-BR" w:bidi="ar-SA"/>
        </w:rPr>
        <w:t xml:space="preserve"> de </w:t>
      </w:r>
      <w:proofErr w:type="spellStart"/>
      <w:r w:rsidR="00356C7B" w:rsidRPr="00A638A4">
        <w:rPr>
          <w:rFonts w:eastAsia="Times New Roman"/>
          <w:lang w:val="pt-BR" w:eastAsia="pt-BR" w:bidi="ar-SA"/>
        </w:rPr>
        <w:t>Chow</w:t>
      </w:r>
      <w:proofErr w:type="spellEnd"/>
      <w:r w:rsidR="00356C7B" w:rsidRPr="00A638A4">
        <w:rPr>
          <w:rFonts w:eastAsia="Times New Roman"/>
          <w:lang w:val="pt-BR" w:eastAsia="pt-BR" w:bidi="ar-SA"/>
        </w:rPr>
        <w:t>,</w:t>
      </w:r>
      <w:r>
        <w:rPr>
          <w:rFonts w:eastAsia="Times New Roman"/>
          <w:lang w:val="pt-BR" w:eastAsia="pt-BR" w:bidi="ar-SA"/>
        </w:rPr>
        <w:t xml:space="preserve"> teste</w:t>
      </w:r>
      <w:r w:rsidR="00356C7B" w:rsidRPr="00A638A4">
        <w:rPr>
          <w:rFonts w:eastAsia="Times New Roman"/>
          <w:lang w:val="pt-BR" w:eastAsia="pt-BR" w:bidi="ar-SA"/>
        </w:rPr>
        <w:t xml:space="preserve"> de </w:t>
      </w:r>
      <w:proofErr w:type="spellStart"/>
      <w:r w:rsidR="00356C7B" w:rsidRPr="00A638A4">
        <w:rPr>
          <w:rFonts w:eastAsia="Times New Roman"/>
          <w:lang w:val="pt-BR" w:eastAsia="pt-BR" w:bidi="ar-SA"/>
        </w:rPr>
        <w:t>Breusch-Pagan</w:t>
      </w:r>
      <w:proofErr w:type="spellEnd"/>
      <w:r w:rsidR="00356C7B" w:rsidRPr="00A638A4">
        <w:rPr>
          <w:rFonts w:eastAsia="Times New Roman"/>
          <w:lang w:val="pt-BR" w:eastAsia="pt-BR" w:bidi="ar-SA"/>
        </w:rPr>
        <w:t xml:space="preserve"> </w:t>
      </w:r>
      <w:r>
        <w:rPr>
          <w:rFonts w:eastAsia="Times New Roman"/>
          <w:lang w:val="pt-BR" w:eastAsia="pt-BR" w:bidi="ar-SA"/>
        </w:rPr>
        <w:t xml:space="preserve">e </w:t>
      </w:r>
      <w:r w:rsidR="00356C7B" w:rsidRPr="00A638A4">
        <w:rPr>
          <w:rFonts w:eastAsia="Times New Roman"/>
          <w:lang w:val="pt-BR" w:eastAsia="pt-BR" w:bidi="ar-SA"/>
        </w:rPr>
        <w:t xml:space="preserve">teste de </w:t>
      </w:r>
      <w:proofErr w:type="spellStart"/>
      <w:r w:rsidR="00356C7B" w:rsidRPr="00A638A4">
        <w:rPr>
          <w:rFonts w:eastAsia="Times New Roman"/>
          <w:lang w:val="pt-BR" w:eastAsia="pt-BR" w:bidi="ar-SA"/>
        </w:rPr>
        <w:t>Hausman</w:t>
      </w:r>
      <w:proofErr w:type="spellEnd"/>
      <w:r>
        <w:rPr>
          <w:rFonts w:eastAsia="Times New Roman"/>
          <w:lang w:val="pt-BR" w:eastAsia="pt-BR" w:bidi="ar-SA"/>
        </w:rPr>
        <w:t xml:space="preserve">. </w:t>
      </w:r>
      <w:proofErr w:type="spellStart"/>
      <w:r>
        <w:rPr>
          <w:rFonts w:eastAsia="Times New Roman"/>
          <w:lang w:val="pt-BR" w:eastAsia="pt-BR" w:bidi="ar-SA"/>
        </w:rPr>
        <w:t>Posteriomente</w:t>
      </w:r>
      <w:proofErr w:type="spellEnd"/>
      <w:r>
        <w:rPr>
          <w:rFonts w:eastAsia="Times New Roman"/>
          <w:lang w:val="pt-BR" w:eastAsia="pt-BR" w:bidi="ar-SA"/>
        </w:rPr>
        <w:t xml:space="preserve">, </w:t>
      </w:r>
      <w:r w:rsidR="00356C7B">
        <w:rPr>
          <w:rFonts w:eastAsia="Times New Roman"/>
          <w:lang w:val="pt-BR" w:eastAsia="pt-BR" w:bidi="ar-SA"/>
        </w:rPr>
        <w:t>avali</w:t>
      </w:r>
      <w:r>
        <w:rPr>
          <w:rFonts w:eastAsia="Times New Roman"/>
          <w:lang w:val="pt-BR" w:eastAsia="pt-BR" w:bidi="ar-SA"/>
        </w:rPr>
        <w:t xml:space="preserve">ou </w:t>
      </w:r>
      <w:r w:rsidR="00356C7B" w:rsidRPr="00A638A4">
        <w:rPr>
          <w:rFonts w:eastAsia="Times New Roman"/>
          <w:lang w:val="pt-BR" w:eastAsia="pt-BR" w:bidi="ar-SA"/>
        </w:rPr>
        <w:t xml:space="preserve">a </w:t>
      </w:r>
      <w:r>
        <w:rPr>
          <w:rFonts w:eastAsia="Times New Roman"/>
          <w:lang w:val="pt-BR" w:eastAsia="pt-BR" w:bidi="ar-SA"/>
        </w:rPr>
        <w:t xml:space="preserve">existência de </w:t>
      </w:r>
      <w:proofErr w:type="spellStart"/>
      <w:r>
        <w:rPr>
          <w:rFonts w:eastAsia="Times New Roman"/>
          <w:lang w:val="pt-BR" w:eastAsia="pt-BR" w:bidi="ar-SA"/>
        </w:rPr>
        <w:t>a</w:t>
      </w:r>
      <w:r w:rsidR="00356C7B" w:rsidRPr="00A638A4">
        <w:rPr>
          <w:rFonts w:eastAsia="Times New Roman"/>
          <w:lang w:val="pt-BR" w:eastAsia="pt-BR" w:bidi="ar-SA"/>
        </w:rPr>
        <w:t>utocorrelação</w:t>
      </w:r>
      <w:proofErr w:type="spellEnd"/>
      <w:r w:rsidR="00356C7B" w:rsidRPr="00A638A4">
        <w:rPr>
          <w:rFonts w:eastAsia="Times New Roman"/>
          <w:lang w:val="pt-BR" w:eastAsia="pt-BR" w:bidi="ar-SA"/>
        </w:rPr>
        <w:t xml:space="preserve"> e </w:t>
      </w:r>
      <w:proofErr w:type="spellStart"/>
      <w:r w:rsidR="00356C7B" w:rsidRPr="00A638A4">
        <w:rPr>
          <w:rFonts w:eastAsia="Times New Roman"/>
          <w:lang w:val="pt-BR" w:eastAsia="pt-BR" w:bidi="ar-SA"/>
        </w:rPr>
        <w:t>heterocedasticidad</w:t>
      </w:r>
      <w:r w:rsidR="00E45D5A">
        <w:rPr>
          <w:rFonts w:eastAsia="Times New Roman"/>
          <w:lang w:val="pt-BR" w:eastAsia="pt-BR" w:bidi="ar-SA"/>
        </w:rPr>
        <w:t>e</w:t>
      </w:r>
      <w:proofErr w:type="spellEnd"/>
      <w:r w:rsidR="00356C7B">
        <w:rPr>
          <w:rFonts w:eastAsia="Times New Roman"/>
          <w:lang w:val="pt-BR" w:eastAsia="pt-BR" w:bidi="ar-SA"/>
        </w:rPr>
        <w:t xml:space="preserve">, sendo utilizados os testes de </w:t>
      </w:r>
      <w:proofErr w:type="spellStart"/>
      <w:r w:rsidR="00356C7B" w:rsidRPr="00A638A4">
        <w:rPr>
          <w:rFonts w:eastAsia="Times New Roman"/>
          <w:lang w:val="pt-BR" w:eastAsia="pt-BR" w:bidi="ar-SA"/>
        </w:rPr>
        <w:t>Wooldridge</w:t>
      </w:r>
      <w:proofErr w:type="spellEnd"/>
      <w:r>
        <w:rPr>
          <w:rFonts w:eastAsia="Times New Roman"/>
          <w:lang w:val="pt-BR" w:eastAsia="pt-BR" w:bidi="ar-SA"/>
        </w:rPr>
        <w:t xml:space="preserve"> e</w:t>
      </w:r>
      <w:r w:rsidR="00356C7B">
        <w:rPr>
          <w:rFonts w:eastAsia="Times New Roman"/>
          <w:lang w:val="pt-BR" w:eastAsia="pt-BR" w:bidi="ar-SA"/>
        </w:rPr>
        <w:t xml:space="preserve"> de </w:t>
      </w:r>
      <w:proofErr w:type="spellStart"/>
      <w:r w:rsidR="00356C7B" w:rsidRPr="00A638A4">
        <w:rPr>
          <w:rFonts w:eastAsia="Times New Roman"/>
          <w:lang w:val="pt-BR" w:eastAsia="pt-BR" w:bidi="ar-SA"/>
        </w:rPr>
        <w:t>Likelihood-ratio</w:t>
      </w:r>
      <w:proofErr w:type="spellEnd"/>
      <w:r>
        <w:rPr>
          <w:rFonts w:eastAsia="Times New Roman"/>
          <w:lang w:val="pt-BR" w:eastAsia="pt-BR" w:bidi="ar-SA"/>
        </w:rPr>
        <w:t>.</w:t>
      </w:r>
      <w:r w:rsidR="00356C7B" w:rsidRPr="00A638A4">
        <w:rPr>
          <w:rFonts w:eastAsia="Times New Roman"/>
          <w:lang w:val="pt-BR" w:eastAsia="pt-BR" w:bidi="ar-SA"/>
        </w:rPr>
        <w:t xml:space="preserve"> </w:t>
      </w:r>
      <w:r w:rsidR="00954655">
        <w:rPr>
          <w:rFonts w:eastAsia="Times New Roman"/>
          <w:lang w:val="pt-BR" w:eastAsia="pt-BR" w:bidi="ar-SA"/>
        </w:rPr>
        <w:t>Para todos os testes adotou-se o intervalo de confiança de 95%.</w:t>
      </w:r>
    </w:p>
    <w:p w14:paraId="5BD7CAE6" w14:textId="77777777" w:rsidR="00356C7B" w:rsidRPr="00485432" w:rsidRDefault="00356C7B" w:rsidP="008703F0">
      <w:pPr>
        <w:pStyle w:val="SemEspaamento"/>
        <w:rPr>
          <w:rFonts w:eastAsia="Times New Roman"/>
          <w:lang w:val="pt-BR" w:eastAsia="pt-BR" w:bidi="ar-SA"/>
        </w:rPr>
      </w:pPr>
      <w:r w:rsidRPr="007330EA">
        <w:rPr>
          <w:rFonts w:eastAsia="Times New Roman"/>
          <w:lang w:val="pt-BR" w:eastAsia="pt-BR" w:bidi="ar-SA"/>
        </w:rPr>
        <w:t xml:space="preserve">Sobre o tratamento de </w:t>
      </w:r>
      <w:r w:rsidRPr="007330EA">
        <w:rPr>
          <w:rFonts w:eastAsia="Times New Roman"/>
          <w:i/>
          <w:lang w:val="pt-BR" w:eastAsia="pt-BR" w:bidi="ar-SA"/>
        </w:rPr>
        <w:t>outliers</w:t>
      </w:r>
      <w:r w:rsidRPr="007330EA">
        <w:rPr>
          <w:rFonts w:eastAsia="Times New Roman"/>
          <w:lang w:val="pt-BR" w:eastAsia="pt-BR" w:bidi="ar-SA"/>
        </w:rPr>
        <w:t xml:space="preserve">, </w:t>
      </w:r>
      <w:r w:rsidR="00BF6AD0" w:rsidRPr="007330EA">
        <w:rPr>
          <w:rFonts w:eastAsia="Times New Roman"/>
          <w:lang w:val="pt-BR" w:eastAsia="pt-BR" w:bidi="ar-SA"/>
        </w:rPr>
        <w:t xml:space="preserve">utilizou-se da técnica de </w:t>
      </w:r>
      <w:proofErr w:type="spellStart"/>
      <w:r w:rsidR="00BF6AD0" w:rsidRPr="007330EA">
        <w:rPr>
          <w:rFonts w:eastAsia="Times New Roman"/>
          <w:lang w:val="pt-BR" w:eastAsia="pt-BR" w:bidi="ar-SA"/>
        </w:rPr>
        <w:t>Winsorização</w:t>
      </w:r>
      <w:proofErr w:type="spellEnd"/>
      <w:r w:rsidR="008703F0" w:rsidRPr="007330EA">
        <w:rPr>
          <w:rFonts w:eastAsia="Times New Roman"/>
          <w:lang w:val="pt-BR" w:eastAsia="pt-BR" w:bidi="ar-SA"/>
        </w:rPr>
        <w:t xml:space="preserve">, que consiste em aparar os valores extremos (acima ou abaixo dos percentis mínimos e máximos definidos), substituindo-os pelos valores menores e maiores remanescentes na distribuição calculados pelos percentis selecionados. O intervalo adotado foi do percentil 5% até 95%. Dessa forma, todos os valores maiores que o percentil de 95% ganham novo valor, passando a obter o maior valor encontrado no percentil 95%. A mesma ideia é aplicada para o percentil 5%. </w:t>
      </w:r>
      <w:r w:rsidRPr="007330EA">
        <w:rPr>
          <w:rFonts w:eastAsia="Times New Roman"/>
          <w:lang w:val="pt-BR" w:eastAsia="pt-BR" w:bidi="ar-SA"/>
        </w:rPr>
        <w:t>Assim, de acordo com a disponibilidade dos dado</w:t>
      </w:r>
      <w:r w:rsidR="008703F0" w:rsidRPr="007330EA">
        <w:rPr>
          <w:rFonts w:eastAsia="Times New Roman"/>
          <w:lang w:val="pt-BR" w:eastAsia="pt-BR" w:bidi="ar-SA"/>
        </w:rPr>
        <w:t>s</w:t>
      </w:r>
      <w:r w:rsidRPr="007330EA">
        <w:rPr>
          <w:rFonts w:eastAsia="Times New Roman"/>
          <w:lang w:val="pt-BR" w:eastAsia="pt-BR" w:bidi="ar-SA"/>
        </w:rPr>
        <w:t>, obteve-</w:t>
      </w:r>
      <w:r>
        <w:rPr>
          <w:rFonts w:eastAsia="Times New Roman"/>
          <w:lang w:val="pt-BR" w:eastAsia="pt-BR" w:bidi="ar-SA"/>
        </w:rPr>
        <w:t xml:space="preserve">se </w:t>
      </w:r>
      <w:r w:rsidR="00B34A1C" w:rsidRPr="00B34A1C">
        <w:rPr>
          <w:rFonts w:eastAsia="Times New Roman"/>
          <w:lang w:val="pt-BR" w:eastAsia="pt-BR" w:bidi="ar-SA"/>
        </w:rPr>
        <w:t>170</w:t>
      </w:r>
      <w:r>
        <w:rPr>
          <w:rFonts w:eastAsia="Times New Roman"/>
          <w:lang w:val="pt-BR" w:eastAsia="pt-BR" w:bidi="ar-SA"/>
        </w:rPr>
        <w:t xml:space="preserve"> observações para o índice P/L, </w:t>
      </w:r>
      <w:r w:rsidR="00B34A1C">
        <w:rPr>
          <w:rFonts w:eastAsia="Times New Roman"/>
          <w:lang w:val="pt-BR" w:eastAsia="pt-BR" w:bidi="ar-SA"/>
        </w:rPr>
        <w:t>192</w:t>
      </w:r>
      <w:r>
        <w:rPr>
          <w:rFonts w:eastAsia="Times New Roman"/>
          <w:lang w:val="pt-BR" w:eastAsia="pt-BR" w:bidi="ar-SA"/>
        </w:rPr>
        <w:t xml:space="preserve"> para P/B e </w:t>
      </w:r>
      <w:r w:rsidR="00B34A1C">
        <w:rPr>
          <w:rFonts w:eastAsia="Times New Roman"/>
          <w:lang w:val="pt-BR" w:eastAsia="pt-BR" w:bidi="ar-SA"/>
        </w:rPr>
        <w:t>156</w:t>
      </w:r>
      <w:r>
        <w:rPr>
          <w:rFonts w:eastAsia="Times New Roman"/>
          <w:lang w:val="pt-BR" w:eastAsia="pt-BR" w:bidi="ar-SA"/>
        </w:rPr>
        <w:t xml:space="preserve"> para P/LO.</w:t>
      </w:r>
    </w:p>
    <w:p w14:paraId="008FD0C5" w14:textId="77777777" w:rsidR="00356C7B" w:rsidRDefault="00356C7B" w:rsidP="00356C7B">
      <w:pPr>
        <w:pStyle w:val="SemEspaamento"/>
        <w:rPr>
          <w:rFonts w:eastAsia="Times New Roman"/>
          <w:lang w:val="pt-BR" w:eastAsia="pt-BR" w:bidi="ar-SA"/>
        </w:rPr>
      </w:pPr>
    </w:p>
    <w:p w14:paraId="2848C8AB" w14:textId="3FD9410E" w:rsidR="00356C7B" w:rsidRDefault="00356C7B" w:rsidP="002E04DA">
      <w:pPr>
        <w:spacing w:before="0" w:after="120" w:line="240" w:lineRule="auto"/>
        <w:rPr>
          <w:rFonts w:eastAsia="Times New Roman" w:cs="Times New Roman"/>
          <w:b/>
          <w:szCs w:val="24"/>
          <w:lang w:val="pt-BR" w:eastAsia="pt-BR" w:bidi="ar-SA"/>
        </w:rPr>
      </w:pPr>
      <w:r>
        <w:rPr>
          <w:rFonts w:eastAsia="Times New Roman" w:cs="Times New Roman"/>
          <w:b/>
          <w:szCs w:val="24"/>
          <w:lang w:val="pt-BR" w:eastAsia="pt-BR" w:bidi="ar-SA"/>
        </w:rPr>
        <w:t xml:space="preserve">4 </w:t>
      </w:r>
      <w:r w:rsidR="00E45D5A">
        <w:rPr>
          <w:rFonts w:eastAsia="Times New Roman" w:cs="Times New Roman"/>
          <w:b/>
          <w:szCs w:val="24"/>
          <w:lang w:val="pt-BR" w:eastAsia="pt-BR" w:bidi="ar-SA"/>
        </w:rPr>
        <w:t xml:space="preserve">Análise e Discussão dos </w:t>
      </w:r>
      <w:r>
        <w:rPr>
          <w:rFonts w:eastAsia="Times New Roman" w:cs="Times New Roman"/>
          <w:b/>
          <w:szCs w:val="24"/>
          <w:lang w:val="pt-BR" w:eastAsia="pt-BR" w:bidi="ar-SA"/>
        </w:rPr>
        <w:t>Resultados</w:t>
      </w:r>
    </w:p>
    <w:p w14:paraId="0B471D52" w14:textId="77777777" w:rsidR="00356C7B" w:rsidRDefault="00356C7B" w:rsidP="002E04DA">
      <w:pPr>
        <w:spacing w:before="0" w:after="120" w:line="240" w:lineRule="auto"/>
        <w:rPr>
          <w:rFonts w:eastAsia="Times New Roman" w:cs="Times New Roman"/>
          <w:b/>
          <w:szCs w:val="24"/>
          <w:lang w:val="pt-BR" w:eastAsia="pt-BR" w:bidi="ar-SA"/>
        </w:rPr>
      </w:pPr>
      <w:r>
        <w:rPr>
          <w:rFonts w:eastAsia="Times New Roman" w:cs="Times New Roman"/>
          <w:b/>
          <w:szCs w:val="24"/>
          <w:lang w:val="pt-BR" w:eastAsia="pt-BR" w:bidi="ar-SA"/>
        </w:rPr>
        <w:t>4.1 Estatística Descritiva</w:t>
      </w:r>
    </w:p>
    <w:p w14:paraId="423C7F8F" w14:textId="77777777" w:rsidR="00D64447" w:rsidRDefault="00D64447" w:rsidP="003424F0">
      <w:pPr>
        <w:pStyle w:val="SemEspaamento"/>
        <w:rPr>
          <w:rFonts w:eastAsia="Times New Roman"/>
          <w:lang w:val="pt-BR" w:eastAsia="pt-BR" w:bidi="ar-SA"/>
        </w:rPr>
      </w:pPr>
      <w:r>
        <w:rPr>
          <w:rFonts w:eastAsia="Times New Roman"/>
          <w:lang w:val="pt-BR" w:eastAsia="pt-BR" w:bidi="ar-SA"/>
        </w:rPr>
        <w:t>Para realçar os resultados da pesquisa, primeiramente, foi estimada a estatística descritiva dos múltiplos P/L, P/B e P/LO e das variáveis explicativas incluídas no modelo de regressão com dados em painel. A estatística descritiva é mostrada na Tabela 1.</w:t>
      </w:r>
      <w:r w:rsidR="003424F0">
        <w:rPr>
          <w:rFonts w:eastAsia="Times New Roman"/>
          <w:lang w:val="pt-BR" w:eastAsia="pt-BR" w:bidi="ar-SA"/>
        </w:rPr>
        <w:t xml:space="preserve"> Após o cálculo dos múltiplos, foram excluídas observações que resultaram em múltiplos negativos, pois a interpretação dos mesmos só é passível de ser realizada quando encontra resultados positivos. Além disso, c</w:t>
      </w:r>
      <w:r>
        <w:rPr>
          <w:rFonts w:eastAsia="Times New Roman"/>
          <w:lang w:val="pt-BR" w:eastAsia="pt-BR" w:bidi="ar-SA"/>
        </w:rPr>
        <w:t xml:space="preserve">omo cada modelo obteve um valor distinto de observações, para as variáveis independentes foram considerados os valores encontrados no modelo referente ao P/B devido ter sido o modelo com maior número de observações. </w:t>
      </w:r>
      <w:r w:rsidR="00946004">
        <w:rPr>
          <w:rFonts w:eastAsia="Times New Roman"/>
          <w:lang w:val="pt-BR" w:eastAsia="pt-BR" w:bidi="ar-SA"/>
        </w:rPr>
        <w:t xml:space="preserve">Os valores mostrados são os estimados após a </w:t>
      </w:r>
      <w:proofErr w:type="spellStart"/>
      <w:r w:rsidR="00946004">
        <w:rPr>
          <w:rFonts w:eastAsia="Times New Roman"/>
          <w:lang w:val="pt-BR" w:eastAsia="pt-BR" w:bidi="ar-SA"/>
        </w:rPr>
        <w:t>winsorização</w:t>
      </w:r>
      <w:proofErr w:type="spellEnd"/>
      <w:r w:rsidR="00A37758">
        <w:rPr>
          <w:rFonts w:eastAsia="Times New Roman"/>
          <w:lang w:val="pt-BR" w:eastAsia="pt-BR" w:bidi="ar-SA"/>
        </w:rPr>
        <w:t>, que se mostrou necessári</w:t>
      </w:r>
      <w:r w:rsidR="001C2BD8">
        <w:rPr>
          <w:rFonts w:eastAsia="Times New Roman"/>
          <w:lang w:val="pt-BR" w:eastAsia="pt-BR" w:bidi="ar-SA"/>
        </w:rPr>
        <w:t>a</w:t>
      </w:r>
      <w:r w:rsidR="00A37758">
        <w:rPr>
          <w:rFonts w:eastAsia="Times New Roman"/>
          <w:lang w:val="pt-BR" w:eastAsia="pt-BR" w:bidi="ar-SA"/>
        </w:rPr>
        <w:t xml:space="preserve"> devido a amostra apresentar alta dispersão de dados, principalmente dos múltiplos. </w:t>
      </w:r>
    </w:p>
    <w:p w14:paraId="25F66BF4" w14:textId="77777777" w:rsidR="00D64447" w:rsidRDefault="00182F9D" w:rsidP="00D64447">
      <w:pPr>
        <w:pStyle w:val="SemEspaamento"/>
        <w:rPr>
          <w:rFonts w:eastAsia="Times New Roman"/>
          <w:lang w:val="pt-BR" w:eastAsia="pt-BR" w:bidi="ar-SA"/>
        </w:rPr>
      </w:pPr>
      <w:r>
        <w:rPr>
          <w:rFonts w:eastAsia="Times New Roman"/>
          <w:lang w:val="pt-BR" w:eastAsia="pt-BR" w:bidi="ar-SA"/>
        </w:rPr>
        <w:t xml:space="preserve">O múltiplo P/L </w:t>
      </w:r>
      <w:r w:rsidR="003A556F">
        <w:rPr>
          <w:rFonts w:eastAsia="Times New Roman"/>
          <w:lang w:val="pt-BR" w:eastAsia="pt-BR" w:bidi="ar-SA"/>
        </w:rPr>
        <w:t>obteve médio de 32,98, ou seja, o preço da ação é, aproximadamente, 33 vezes maior que o lucro por ação gerado p</w:t>
      </w:r>
      <w:r w:rsidR="003263DD">
        <w:rPr>
          <w:rFonts w:eastAsia="Times New Roman"/>
          <w:lang w:val="pt-BR" w:eastAsia="pt-BR" w:bidi="ar-SA"/>
        </w:rPr>
        <w:t xml:space="preserve">elos bancos. Esse valor pode ser considerado alto já que o investidor esperar pagar taxas de P/L baixas. O desvio-padrão foi de 16,02, um valor </w:t>
      </w:r>
      <w:r w:rsidR="003263DD">
        <w:rPr>
          <w:rFonts w:eastAsia="Times New Roman"/>
          <w:lang w:val="pt-BR" w:eastAsia="pt-BR" w:bidi="ar-SA"/>
        </w:rPr>
        <w:lastRenderedPageBreak/>
        <w:t xml:space="preserve">consideravelmente alto, mas justificável devido a amostra conter bancos de diferentes tamanhos e a previsão dos múltiplos é ponderada por uma variável econômica justamente buscando captar as diferenças existentes entre empresas de diferentes portes. </w:t>
      </w:r>
    </w:p>
    <w:p w14:paraId="79982716" w14:textId="77777777" w:rsidR="003263DD" w:rsidRDefault="003263DD" w:rsidP="00D64447">
      <w:pPr>
        <w:pStyle w:val="SemEspaamento"/>
        <w:rPr>
          <w:rFonts w:eastAsia="Times New Roman"/>
          <w:lang w:val="pt-BR" w:eastAsia="pt-BR" w:bidi="ar-SA"/>
        </w:rPr>
      </w:pPr>
      <w:r>
        <w:rPr>
          <w:rFonts w:eastAsia="Times New Roman"/>
          <w:lang w:val="pt-BR" w:eastAsia="pt-BR" w:bidi="ar-SA"/>
        </w:rPr>
        <w:t xml:space="preserve">Já o múltiplo P/B foi o que obteve valores menos dispersos da média entre os três múltiplos abordados no estudo. Sua média foi de 1,12 e o desvio padrão de 0,77. Pode-se afirmar que, na média, os bancos encontram-se supervalorizados, visto que a média do P/B foi maior que 1, mostrando que o valor de mercado é maior que o valor contábil dos bancos. Antes da </w:t>
      </w:r>
      <w:proofErr w:type="spellStart"/>
      <w:r>
        <w:rPr>
          <w:rFonts w:eastAsia="Times New Roman"/>
          <w:lang w:val="pt-BR" w:eastAsia="pt-BR" w:bidi="ar-SA"/>
        </w:rPr>
        <w:t>winsorização</w:t>
      </w:r>
      <w:proofErr w:type="spellEnd"/>
      <w:r>
        <w:rPr>
          <w:rFonts w:eastAsia="Times New Roman"/>
          <w:lang w:val="pt-BR" w:eastAsia="pt-BR" w:bidi="ar-SA"/>
        </w:rPr>
        <w:t xml:space="preserve">, a Alfa Holding obteve um P/B de 0,18 no segundo trimestre de 2016, mostrando que essa firma estava altamente subvalorizada, tendo suas ações valendo apenas 18% do </w:t>
      </w:r>
      <w:r w:rsidR="003424F0">
        <w:rPr>
          <w:rFonts w:eastAsia="Times New Roman"/>
          <w:lang w:val="pt-BR" w:eastAsia="pt-BR" w:bidi="ar-SA"/>
        </w:rPr>
        <w:t xml:space="preserve">patrimônio registrado em seu balanço. Por outro lado, o Banco Mercantil de Investimentos alcançou no segundo trimestre de 2017 o valor de 166 para o P/B, tendo um expressivo resultado de </w:t>
      </w:r>
      <w:proofErr w:type="spellStart"/>
      <w:r w:rsidR="003424F0">
        <w:rPr>
          <w:rFonts w:eastAsia="Times New Roman"/>
          <w:lang w:val="pt-BR" w:eastAsia="pt-BR" w:bidi="ar-SA"/>
        </w:rPr>
        <w:t>superprecificação</w:t>
      </w:r>
      <w:proofErr w:type="spellEnd"/>
      <w:r w:rsidR="003424F0">
        <w:rPr>
          <w:rFonts w:eastAsia="Times New Roman"/>
          <w:lang w:val="pt-BR" w:eastAsia="pt-BR" w:bidi="ar-SA"/>
        </w:rPr>
        <w:t xml:space="preserve"> de suas ações. Acredita-se que isso se deve ao fato do capital social do Banco Mercantil de Investimentos ter reduzido em 86% nos primeiros 6 meses de 2017.</w:t>
      </w:r>
    </w:p>
    <w:p w14:paraId="5D2060B7" w14:textId="77777777" w:rsidR="003424F0" w:rsidRDefault="003424F0" w:rsidP="00D64447">
      <w:pPr>
        <w:pStyle w:val="SemEspaamento"/>
        <w:rPr>
          <w:rFonts w:eastAsia="Times New Roman"/>
          <w:lang w:val="pt-BR" w:eastAsia="pt-BR" w:bidi="ar-SA"/>
        </w:rPr>
      </w:pPr>
    </w:p>
    <w:p w14:paraId="1A1ED5CE" w14:textId="1AA7E311" w:rsidR="00356C7B" w:rsidRPr="00D92324" w:rsidRDefault="00356C7B" w:rsidP="00E51A9A">
      <w:pPr>
        <w:widowControl w:val="0"/>
        <w:spacing w:before="0" w:after="0" w:line="240" w:lineRule="auto"/>
        <w:jc w:val="center"/>
        <w:rPr>
          <w:sz w:val="20"/>
          <w:szCs w:val="20"/>
          <w:lang w:val="pt-BR"/>
        </w:rPr>
      </w:pPr>
      <w:r w:rsidRPr="00D92324">
        <w:rPr>
          <w:sz w:val="20"/>
          <w:szCs w:val="20"/>
          <w:lang w:val="pt-BR"/>
        </w:rPr>
        <w:t>Tabela 1</w:t>
      </w:r>
      <w:r w:rsidR="00E51A9A">
        <w:rPr>
          <w:sz w:val="20"/>
          <w:szCs w:val="20"/>
          <w:lang w:val="pt-BR"/>
        </w:rPr>
        <w:t xml:space="preserve">. </w:t>
      </w:r>
      <w:r w:rsidRPr="00D92324">
        <w:rPr>
          <w:sz w:val="20"/>
          <w:szCs w:val="20"/>
          <w:lang w:val="pt-BR"/>
        </w:rPr>
        <w:t>Estatística descritiva das variáveis propostas pelo estudo</w:t>
      </w:r>
    </w:p>
    <w:tbl>
      <w:tblPr>
        <w:tblW w:w="5000" w:type="pct"/>
        <w:tblBorders>
          <w:top w:val="nil"/>
          <w:left w:val="nil"/>
          <w:bottom w:val="nil"/>
          <w:right w:val="nil"/>
          <w:insideH w:val="nil"/>
          <w:insideV w:val="nil"/>
        </w:tblBorders>
        <w:tblCellMar>
          <w:top w:w="100" w:type="dxa"/>
          <w:left w:w="100" w:type="dxa"/>
          <w:bottom w:w="100" w:type="dxa"/>
          <w:right w:w="100" w:type="dxa"/>
        </w:tblCellMar>
        <w:tblLook w:val="0600" w:firstRow="0" w:lastRow="0" w:firstColumn="0" w:lastColumn="0" w:noHBand="1" w:noVBand="1"/>
      </w:tblPr>
      <w:tblGrid>
        <w:gridCol w:w="3327"/>
        <w:gridCol w:w="1058"/>
        <w:gridCol w:w="907"/>
        <w:gridCol w:w="1513"/>
        <w:gridCol w:w="1324"/>
        <w:gridCol w:w="942"/>
      </w:tblGrid>
      <w:tr w:rsidR="00356C7B" w14:paraId="27305F23" w14:textId="77777777" w:rsidTr="00946004">
        <w:trPr>
          <w:trHeight w:val="20"/>
        </w:trPr>
        <w:tc>
          <w:tcPr>
            <w:tcW w:w="1834" w:type="pct"/>
            <w:tcBorders>
              <w:top w:val="single" w:sz="7" w:space="0" w:color="000000"/>
              <w:left w:val="nil"/>
              <w:bottom w:val="single" w:sz="7" w:space="0" w:color="000000"/>
              <w:right w:val="nil"/>
            </w:tcBorders>
            <w:shd w:val="clear" w:color="auto" w:fill="auto"/>
            <w:tcMar>
              <w:top w:w="100" w:type="dxa"/>
              <w:left w:w="80" w:type="dxa"/>
              <w:bottom w:w="100" w:type="dxa"/>
              <w:right w:w="80" w:type="dxa"/>
            </w:tcMar>
          </w:tcPr>
          <w:p w14:paraId="2BFD0CA4" w14:textId="77777777" w:rsidR="00356C7B" w:rsidRPr="00105DE8" w:rsidRDefault="00356C7B" w:rsidP="00D70978">
            <w:pPr>
              <w:widowControl w:val="0"/>
              <w:spacing w:before="0" w:after="0" w:line="240" w:lineRule="auto"/>
              <w:jc w:val="center"/>
              <w:rPr>
                <w:sz w:val="20"/>
                <w:szCs w:val="20"/>
              </w:rPr>
            </w:pPr>
            <w:proofErr w:type="spellStart"/>
            <w:r w:rsidRPr="00105DE8">
              <w:rPr>
                <w:sz w:val="20"/>
                <w:szCs w:val="20"/>
              </w:rPr>
              <w:t>Variável</w:t>
            </w:r>
            <w:proofErr w:type="spellEnd"/>
          </w:p>
        </w:tc>
        <w:tc>
          <w:tcPr>
            <w:tcW w:w="583" w:type="pct"/>
            <w:tcBorders>
              <w:top w:val="single" w:sz="7" w:space="0" w:color="000000"/>
              <w:left w:val="nil"/>
              <w:bottom w:val="single" w:sz="7" w:space="0" w:color="000000"/>
              <w:right w:val="nil"/>
            </w:tcBorders>
          </w:tcPr>
          <w:p w14:paraId="25DAAA06" w14:textId="77777777" w:rsidR="00356C7B" w:rsidRPr="00105DE8" w:rsidRDefault="00356C7B" w:rsidP="00D70978">
            <w:pPr>
              <w:widowControl w:val="0"/>
              <w:spacing w:before="0" w:after="0" w:line="240" w:lineRule="auto"/>
              <w:jc w:val="center"/>
              <w:rPr>
                <w:sz w:val="20"/>
                <w:szCs w:val="20"/>
              </w:rPr>
            </w:pPr>
            <w:r>
              <w:rPr>
                <w:sz w:val="20"/>
                <w:szCs w:val="20"/>
              </w:rPr>
              <w:t>Obs.</w:t>
            </w:r>
          </w:p>
        </w:tc>
        <w:tc>
          <w:tcPr>
            <w:tcW w:w="500" w:type="pct"/>
            <w:tcBorders>
              <w:top w:val="single" w:sz="7" w:space="0" w:color="000000"/>
              <w:left w:val="nil"/>
              <w:bottom w:val="single" w:sz="7" w:space="0" w:color="000000"/>
              <w:right w:val="nil"/>
            </w:tcBorders>
            <w:shd w:val="clear" w:color="auto" w:fill="auto"/>
            <w:tcMar>
              <w:top w:w="100" w:type="dxa"/>
              <w:left w:w="80" w:type="dxa"/>
              <w:bottom w:w="100" w:type="dxa"/>
              <w:right w:w="80" w:type="dxa"/>
            </w:tcMar>
          </w:tcPr>
          <w:p w14:paraId="50B975BB" w14:textId="77777777" w:rsidR="00356C7B" w:rsidRPr="00105DE8" w:rsidRDefault="00356C7B" w:rsidP="00D70978">
            <w:pPr>
              <w:widowControl w:val="0"/>
              <w:spacing w:before="0" w:after="0" w:line="240" w:lineRule="auto"/>
              <w:jc w:val="center"/>
              <w:rPr>
                <w:sz w:val="20"/>
                <w:szCs w:val="20"/>
              </w:rPr>
            </w:pPr>
            <w:proofErr w:type="spellStart"/>
            <w:r w:rsidRPr="00105DE8">
              <w:rPr>
                <w:sz w:val="20"/>
                <w:szCs w:val="20"/>
              </w:rPr>
              <w:t>Média</w:t>
            </w:r>
            <w:proofErr w:type="spellEnd"/>
          </w:p>
        </w:tc>
        <w:tc>
          <w:tcPr>
            <w:tcW w:w="834" w:type="pct"/>
            <w:tcBorders>
              <w:top w:val="single" w:sz="7" w:space="0" w:color="000000"/>
              <w:left w:val="nil"/>
              <w:bottom w:val="single" w:sz="7" w:space="0" w:color="000000"/>
              <w:right w:val="nil"/>
            </w:tcBorders>
            <w:shd w:val="clear" w:color="auto" w:fill="auto"/>
            <w:tcMar>
              <w:top w:w="100" w:type="dxa"/>
              <w:left w:w="80" w:type="dxa"/>
              <w:bottom w:w="100" w:type="dxa"/>
              <w:right w:w="80" w:type="dxa"/>
            </w:tcMar>
          </w:tcPr>
          <w:p w14:paraId="75E660B2" w14:textId="77777777" w:rsidR="00356C7B" w:rsidRPr="00105DE8" w:rsidRDefault="00356C7B" w:rsidP="00D70978">
            <w:pPr>
              <w:widowControl w:val="0"/>
              <w:spacing w:before="0" w:after="0" w:line="240" w:lineRule="auto"/>
              <w:jc w:val="center"/>
              <w:rPr>
                <w:sz w:val="20"/>
                <w:szCs w:val="20"/>
              </w:rPr>
            </w:pPr>
            <w:proofErr w:type="spellStart"/>
            <w:r w:rsidRPr="00105DE8">
              <w:rPr>
                <w:sz w:val="20"/>
                <w:szCs w:val="20"/>
              </w:rPr>
              <w:t>Desvio</w:t>
            </w:r>
            <w:r w:rsidR="003263DD">
              <w:rPr>
                <w:sz w:val="20"/>
                <w:szCs w:val="20"/>
              </w:rPr>
              <w:t>-</w:t>
            </w:r>
            <w:r w:rsidRPr="00105DE8">
              <w:rPr>
                <w:sz w:val="20"/>
                <w:szCs w:val="20"/>
              </w:rPr>
              <w:t>Padrão</w:t>
            </w:r>
            <w:proofErr w:type="spellEnd"/>
          </w:p>
        </w:tc>
        <w:tc>
          <w:tcPr>
            <w:tcW w:w="730" w:type="pct"/>
            <w:tcBorders>
              <w:top w:val="single" w:sz="7" w:space="0" w:color="000000"/>
              <w:left w:val="nil"/>
              <w:bottom w:val="single" w:sz="7" w:space="0" w:color="000000"/>
              <w:right w:val="nil"/>
            </w:tcBorders>
            <w:shd w:val="clear" w:color="auto" w:fill="auto"/>
            <w:tcMar>
              <w:top w:w="100" w:type="dxa"/>
              <w:left w:w="80" w:type="dxa"/>
              <w:bottom w:w="100" w:type="dxa"/>
              <w:right w:w="80" w:type="dxa"/>
            </w:tcMar>
          </w:tcPr>
          <w:p w14:paraId="22187DBC" w14:textId="77777777" w:rsidR="00356C7B" w:rsidRPr="00105DE8" w:rsidRDefault="00356C7B" w:rsidP="00D70978">
            <w:pPr>
              <w:widowControl w:val="0"/>
              <w:spacing w:before="0" w:after="0" w:line="240" w:lineRule="auto"/>
              <w:jc w:val="center"/>
              <w:rPr>
                <w:sz w:val="20"/>
                <w:szCs w:val="20"/>
              </w:rPr>
            </w:pPr>
            <w:proofErr w:type="spellStart"/>
            <w:r w:rsidRPr="00105DE8">
              <w:rPr>
                <w:sz w:val="20"/>
                <w:szCs w:val="20"/>
              </w:rPr>
              <w:t>Mínimo</w:t>
            </w:r>
            <w:proofErr w:type="spellEnd"/>
          </w:p>
        </w:tc>
        <w:tc>
          <w:tcPr>
            <w:tcW w:w="519" w:type="pct"/>
            <w:tcBorders>
              <w:top w:val="single" w:sz="7" w:space="0" w:color="000000"/>
              <w:left w:val="nil"/>
              <w:bottom w:val="single" w:sz="7" w:space="0" w:color="000000"/>
              <w:right w:val="nil"/>
            </w:tcBorders>
            <w:shd w:val="clear" w:color="auto" w:fill="auto"/>
            <w:tcMar>
              <w:top w:w="100" w:type="dxa"/>
              <w:left w:w="80" w:type="dxa"/>
              <w:bottom w:w="100" w:type="dxa"/>
              <w:right w:w="80" w:type="dxa"/>
            </w:tcMar>
          </w:tcPr>
          <w:p w14:paraId="209C4C85" w14:textId="77777777" w:rsidR="00356C7B" w:rsidRPr="00105DE8" w:rsidRDefault="00356C7B" w:rsidP="00D70978">
            <w:pPr>
              <w:widowControl w:val="0"/>
              <w:spacing w:before="0" w:after="0" w:line="240" w:lineRule="auto"/>
              <w:jc w:val="center"/>
              <w:rPr>
                <w:sz w:val="20"/>
                <w:szCs w:val="20"/>
              </w:rPr>
            </w:pPr>
            <w:proofErr w:type="spellStart"/>
            <w:r w:rsidRPr="00105DE8">
              <w:rPr>
                <w:sz w:val="20"/>
                <w:szCs w:val="20"/>
              </w:rPr>
              <w:t>Máximo</w:t>
            </w:r>
            <w:proofErr w:type="spellEnd"/>
          </w:p>
        </w:tc>
      </w:tr>
      <w:tr w:rsidR="00356C7B" w14:paraId="484934EF" w14:textId="77777777" w:rsidTr="00D70978">
        <w:trPr>
          <w:trHeight w:val="176"/>
        </w:trPr>
        <w:tc>
          <w:tcPr>
            <w:tcW w:w="1834" w:type="pct"/>
            <w:shd w:val="clear" w:color="auto" w:fill="auto"/>
            <w:vAlign w:val="center"/>
          </w:tcPr>
          <w:p w14:paraId="05BE8CDF" w14:textId="77777777" w:rsidR="00356C7B" w:rsidRPr="00105DE8" w:rsidRDefault="00356C7B" w:rsidP="00D70978">
            <w:pPr>
              <w:spacing w:before="0" w:after="0" w:line="240" w:lineRule="auto"/>
              <w:ind w:left="-46"/>
              <w:rPr>
                <w:b/>
                <w:color w:val="FF0000"/>
                <w:sz w:val="20"/>
                <w:szCs w:val="20"/>
                <w:vertAlign w:val="superscript"/>
              </w:rPr>
            </w:pPr>
            <w:r>
              <w:rPr>
                <w:sz w:val="20"/>
                <w:szCs w:val="20"/>
              </w:rPr>
              <w:t>P/L</w:t>
            </w:r>
          </w:p>
        </w:tc>
        <w:tc>
          <w:tcPr>
            <w:tcW w:w="583" w:type="pct"/>
          </w:tcPr>
          <w:p w14:paraId="7A2F019A" w14:textId="77777777" w:rsidR="00356C7B" w:rsidRPr="00105DE8" w:rsidRDefault="00356C7B" w:rsidP="00D70978">
            <w:pPr>
              <w:widowControl w:val="0"/>
              <w:spacing w:before="0" w:after="0" w:line="240" w:lineRule="auto"/>
              <w:jc w:val="center"/>
              <w:rPr>
                <w:sz w:val="20"/>
                <w:szCs w:val="20"/>
              </w:rPr>
            </w:pPr>
            <w:r>
              <w:rPr>
                <w:sz w:val="20"/>
                <w:szCs w:val="20"/>
              </w:rPr>
              <w:t>1</w:t>
            </w:r>
            <w:r w:rsidR="00D64447">
              <w:rPr>
                <w:sz w:val="20"/>
                <w:szCs w:val="20"/>
              </w:rPr>
              <w:t>70</w:t>
            </w:r>
          </w:p>
        </w:tc>
        <w:tc>
          <w:tcPr>
            <w:tcW w:w="500" w:type="pct"/>
            <w:tcBorders>
              <w:top w:val="nil"/>
              <w:left w:val="nil"/>
              <w:bottom w:val="nil"/>
              <w:right w:val="nil"/>
            </w:tcBorders>
            <w:shd w:val="clear" w:color="auto" w:fill="auto"/>
            <w:tcMar>
              <w:top w:w="100" w:type="dxa"/>
              <w:left w:w="80" w:type="dxa"/>
              <w:bottom w:w="100" w:type="dxa"/>
              <w:right w:w="80" w:type="dxa"/>
            </w:tcMar>
          </w:tcPr>
          <w:p w14:paraId="785D72CB" w14:textId="77777777" w:rsidR="00356C7B" w:rsidRPr="00105DE8" w:rsidRDefault="00946004" w:rsidP="00D70978">
            <w:pPr>
              <w:widowControl w:val="0"/>
              <w:spacing w:before="0" w:after="0" w:line="240" w:lineRule="auto"/>
              <w:jc w:val="center"/>
              <w:rPr>
                <w:sz w:val="20"/>
                <w:szCs w:val="20"/>
              </w:rPr>
            </w:pPr>
            <w:r>
              <w:rPr>
                <w:sz w:val="20"/>
                <w:szCs w:val="20"/>
              </w:rPr>
              <w:t>32,98</w:t>
            </w:r>
          </w:p>
        </w:tc>
        <w:tc>
          <w:tcPr>
            <w:tcW w:w="834" w:type="pct"/>
            <w:tcBorders>
              <w:top w:val="nil"/>
              <w:left w:val="nil"/>
              <w:bottom w:val="nil"/>
              <w:right w:val="nil"/>
            </w:tcBorders>
            <w:shd w:val="clear" w:color="auto" w:fill="auto"/>
            <w:tcMar>
              <w:top w:w="100" w:type="dxa"/>
              <w:left w:w="80" w:type="dxa"/>
              <w:bottom w:w="100" w:type="dxa"/>
              <w:right w:w="80" w:type="dxa"/>
            </w:tcMar>
          </w:tcPr>
          <w:p w14:paraId="3409CDB5" w14:textId="77777777" w:rsidR="00356C7B" w:rsidRPr="00105DE8" w:rsidRDefault="00946004" w:rsidP="00D70978">
            <w:pPr>
              <w:widowControl w:val="0"/>
              <w:spacing w:before="0" w:after="0" w:line="240" w:lineRule="auto"/>
              <w:jc w:val="center"/>
              <w:rPr>
                <w:sz w:val="20"/>
                <w:szCs w:val="20"/>
              </w:rPr>
            </w:pPr>
            <w:r>
              <w:rPr>
                <w:sz w:val="20"/>
                <w:szCs w:val="20"/>
              </w:rPr>
              <w:t>16,02</w:t>
            </w:r>
          </w:p>
        </w:tc>
        <w:tc>
          <w:tcPr>
            <w:tcW w:w="730" w:type="pct"/>
            <w:tcBorders>
              <w:top w:val="nil"/>
              <w:left w:val="nil"/>
              <w:bottom w:val="nil"/>
              <w:right w:val="nil"/>
            </w:tcBorders>
            <w:shd w:val="clear" w:color="auto" w:fill="auto"/>
            <w:tcMar>
              <w:top w:w="100" w:type="dxa"/>
              <w:left w:w="80" w:type="dxa"/>
              <w:bottom w:w="100" w:type="dxa"/>
              <w:right w:w="80" w:type="dxa"/>
            </w:tcMar>
          </w:tcPr>
          <w:p w14:paraId="77256B3F" w14:textId="77777777" w:rsidR="00356C7B" w:rsidRPr="00105DE8" w:rsidRDefault="00946004" w:rsidP="00D70978">
            <w:pPr>
              <w:widowControl w:val="0"/>
              <w:spacing w:before="0" w:after="0" w:line="240" w:lineRule="auto"/>
              <w:jc w:val="center"/>
              <w:rPr>
                <w:sz w:val="20"/>
                <w:szCs w:val="20"/>
              </w:rPr>
            </w:pPr>
            <w:r>
              <w:rPr>
                <w:sz w:val="20"/>
                <w:szCs w:val="20"/>
              </w:rPr>
              <w:t>13,08</w:t>
            </w:r>
          </w:p>
        </w:tc>
        <w:tc>
          <w:tcPr>
            <w:tcW w:w="519" w:type="pct"/>
            <w:tcBorders>
              <w:top w:val="nil"/>
              <w:left w:val="nil"/>
              <w:bottom w:val="nil"/>
              <w:right w:val="nil"/>
            </w:tcBorders>
            <w:shd w:val="clear" w:color="auto" w:fill="auto"/>
            <w:tcMar>
              <w:top w:w="100" w:type="dxa"/>
              <w:left w:w="80" w:type="dxa"/>
              <w:bottom w:w="100" w:type="dxa"/>
              <w:right w:w="80" w:type="dxa"/>
            </w:tcMar>
          </w:tcPr>
          <w:p w14:paraId="71904F90" w14:textId="77777777" w:rsidR="00356C7B" w:rsidRPr="00105DE8" w:rsidRDefault="00946004" w:rsidP="00D70978">
            <w:pPr>
              <w:widowControl w:val="0"/>
              <w:spacing w:before="0" w:after="0" w:line="240" w:lineRule="auto"/>
              <w:jc w:val="center"/>
              <w:rPr>
                <w:sz w:val="20"/>
                <w:szCs w:val="20"/>
              </w:rPr>
            </w:pPr>
            <w:r>
              <w:rPr>
                <w:sz w:val="20"/>
                <w:szCs w:val="20"/>
              </w:rPr>
              <w:t>75,97</w:t>
            </w:r>
          </w:p>
        </w:tc>
      </w:tr>
      <w:tr w:rsidR="00356C7B" w14:paraId="0EEA0276" w14:textId="77777777" w:rsidTr="00946004">
        <w:trPr>
          <w:trHeight w:val="20"/>
        </w:trPr>
        <w:tc>
          <w:tcPr>
            <w:tcW w:w="1834" w:type="pct"/>
            <w:shd w:val="clear" w:color="auto" w:fill="auto"/>
            <w:vAlign w:val="center"/>
          </w:tcPr>
          <w:p w14:paraId="3B8084C6" w14:textId="77777777" w:rsidR="00356C7B" w:rsidRPr="00105DE8" w:rsidRDefault="00356C7B" w:rsidP="00D70978">
            <w:pPr>
              <w:spacing w:before="0" w:after="0" w:line="240" w:lineRule="auto"/>
              <w:rPr>
                <w:sz w:val="20"/>
                <w:szCs w:val="20"/>
                <w:vertAlign w:val="superscript"/>
              </w:rPr>
            </w:pPr>
            <w:r>
              <w:rPr>
                <w:sz w:val="20"/>
                <w:szCs w:val="20"/>
              </w:rPr>
              <w:t>P/B</w:t>
            </w:r>
          </w:p>
        </w:tc>
        <w:tc>
          <w:tcPr>
            <w:tcW w:w="583" w:type="pct"/>
          </w:tcPr>
          <w:p w14:paraId="4C727280" w14:textId="77777777" w:rsidR="00356C7B" w:rsidRPr="00105DE8" w:rsidRDefault="004850DE" w:rsidP="00D70978">
            <w:pPr>
              <w:widowControl w:val="0"/>
              <w:spacing w:before="0" w:after="0" w:line="240" w:lineRule="auto"/>
              <w:jc w:val="center"/>
              <w:rPr>
                <w:sz w:val="20"/>
                <w:szCs w:val="20"/>
              </w:rPr>
            </w:pPr>
            <w:r>
              <w:rPr>
                <w:sz w:val="20"/>
                <w:szCs w:val="20"/>
              </w:rPr>
              <w:t>192</w:t>
            </w:r>
          </w:p>
        </w:tc>
        <w:tc>
          <w:tcPr>
            <w:tcW w:w="500" w:type="pct"/>
            <w:tcBorders>
              <w:top w:val="nil"/>
              <w:left w:val="nil"/>
              <w:bottom w:val="nil"/>
              <w:right w:val="nil"/>
            </w:tcBorders>
            <w:shd w:val="clear" w:color="auto" w:fill="auto"/>
            <w:tcMar>
              <w:top w:w="100" w:type="dxa"/>
              <w:left w:w="80" w:type="dxa"/>
              <w:bottom w:w="100" w:type="dxa"/>
              <w:right w:w="80" w:type="dxa"/>
            </w:tcMar>
          </w:tcPr>
          <w:p w14:paraId="5D9F78C8" w14:textId="77777777" w:rsidR="00356C7B" w:rsidRPr="00105DE8" w:rsidRDefault="00946004" w:rsidP="00D70978">
            <w:pPr>
              <w:widowControl w:val="0"/>
              <w:spacing w:before="0" w:after="0" w:line="240" w:lineRule="auto"/>
              <w:jc w:val="center"/>
              <w:rPr>
                <w:sz w:val="20"/>
                <w:szCs w:val="20"/>
              </w:rPr>
            </w:pPr>
            <w:r>
              <w:rPr>
                <w:sz w:val="20"/>
                <w:szCs w:val="20"/>
              </w:rPr>
              <w:t>1,12</w:t>
            </w:r>
          </w:p>
        </w:tc>
        <w:tc>
          <w:tcPr>
            <w:tcW w:w="834" w:type="pct"/>
            <w:tcBorders>
              <w:top w:val="nil"/>
              <w:left w:val="nil"/>
              <w:bottom w:val="nil"/>
              <w:right w:val="nil"/>
            </w:tcBorders>
            <w:shd w:val="clear" w:color="auto" w:fill="auto"/>
            <w:tcMar>
              <w:top w:w="100" w:type="dxa"/>
              <w:left w:w="80" w:type="dxa"/>
              <w:bottom w:w="100" w:type="dxa"/>
              <w:right w:w="80" w:type="dxa"/>
            </w:tcMar>
          </w:tcPr>
          <w:p w14:paraId="49E97A28" w14:textId="77777777" w:rsidR="00356C7B" w:rsidRPr="00105DE8" w:rsidRDefault="00946004" w:rsidP="00D70978">
            <w:pPr>
              <w:widowControl w:val="0"/>
              <w:spacing w:before="0" w:after="0" w:line="240" w:lineRule="auto"/>
              <w:jc w:val="center"/>
              <w:rPr>
                <w:sz w:val="20"/>
                <w:szCs w:val="20"/>
              </w:rPr>
            </w:pPr>
            <w:r>
              <w:rPr>
                <w:sz w:val="20"/>
                <w:szCs w:val="20"/>
              </w:rPr>
              <w:t>0,77</w:t>
            </w:r>
          </w:p>
        </w:tc>
        <w:tc>
          <w:tcPr>
            <w:tcW w:w="730" w:type="pct"/>
            <w:tcBorders>
              <w:top w:val="nil"/>
              <w:left w:val="nil"/>
              <w:bottom w:val="nil"/>
              <w:right w:val="nil"/>
            </w:tcBorders>
            <w:shd w:val="clear" w:color="auto" w:fill="auto"/>
            <w:tcMar>
              <w:top w:w="100" w:type="dxa"/>
              <w:left w:w="80" w:type="dxa"/>
              <w:bottom w:w="100" w:type="dxa"/>
              <w:right w:w="80" w:type="dxa"/>
            </w:tcMar>
          </w:tcPr>
          <w:p w14:paraId="1D0020C8" w14:textId="77777777" w:rsidR="00356C7B" w:rsidRPr="00105DE8" w:rsidRDefault="00946004" w:rsidP="00D70978">
            <w:pPr>
              <w:widowControl w:val="0"/>
              <w:spacing w:before="0" w:after="0" w:line="240" w:lineRule="auto"/>
              <w:jc w:val="center"/>
              <w:rPr>
                <w:sz w:val="20"/>
                <w:szCs w:val="20"/>
              </w:rPr>
            </w:pPr>
            <w:r>
              <w:rPr>
                <w:sz w:val="20"/>
                <w:szCs w:val="20"/>
              </w:rPr>
              <w:t>0,31</w:t>
            </w:r>
          </w:p>
        </w:tc>
        <w:tc>
          <w:tcPr>
            <w:tcW w:w="519" w:type="pct"/>
            <w:tcBorders>
              <w:top w:val="nil"/>
              <w:left w:val="nil"/>
              <w:bottom w:val="nil"/>
              <w:right w:val="nil"/>
            </w:tcBorders>
            <w:shd w:val="clear" w:color="auto" w:fill="auto"/>
            <w:tcMar>
              <w:top w:w="100" w:type="dxa"/>
              <w:left w:w="80" w:type="dxa"/>
              <w:bottom w:w="100" w:type="dxa"/>
              <w:right w:w="80" w:type="dxa"/>
            </w:tcMar>
          </w:tcPr>
          <w:p w14:paraId="28F660BD" w14:textId="77777777" w:rsidR="00356C7B" w:rsidRPr="00105DE8" w:rsidRDefault="00946004" w:rsidP="00D70978">
            <w:pPr>
              <w:widowControl w:val="0"/>
              <w:spacing w:before="0" w:after="0" w:line="240" w:lineRule="auto"/>
              <w:jc w:val="center"/>
              <w:rPr>
                <w:sz w:val="20"/>
                <w:szCs w:val="20"/>
              </w:rPr>
            </w:pPr>
            <w:r>
              <w:rPr>
                <w:sz w:val="20"/>
                <w:szCs w:val="20"/>
              </w:rPr>
              <w:t>3,44</w:t>
            </w:r>
          </w:p>
        </w:tc>
      </w:tr>
      <w:tr w:rsidR="00356C7B" w14:paraId="4962D09E" w14:textId="77777777" w:rsidTr="00946004">
        <w:trPr>
          <w:trHeight w:val="20"/>
        </w:trPr>
        <w:tc>
          <w:tcPr>
            <w:tcW w:w="1834" w:type="pct"/>
            <w:shd w:val="clear" w:color="auto" w:fill="auto"/>
            <w:vAlign w:val="center"/>
          </w:tcPr>
          <w:p w14:paraId="426D2D80" w14:textId="77777777" w:rsidR="00356C7B" w:rsidRPr="00105DE8" w:rsidRDefault="00356C7B" w:rsidP="00D70978">
            <w:pPr>
              <w:spacing w:before="0" w:after="0" w:line="240" w:lineRule="auto"/>
              <w:rPr>
                <w:sz w:val="20"/>
                <w:szCs w:val="20"/>
                <w:vertAlign w:val="superscript"/>
              </w:rPr>
            </w:pPr>
            <w:r>
              <w:rPr>
                <w:sz w:val="20"/>
                <w:szCs w:val="20"/>
              </w:rPr>
              <w:t>P/LO</w:t>
            </w:r>
          </w:p>
        </w:tc>
        <w:tc>
          <w:tcPr>
            <w:tcW w:w="583" w:type="pct"/>
          </w:tcPr>
          <w:p w14:paraId="71777006" w14:textId="77777777" w:rsidR="00356C7B" w:rsidRPr="00105DE8" w:rsidRDefault="004850DE" w:rsidP="00D70978">
            <w:pPr>
              <w:widowControl w:val="0"/>
              <w:spacing w:before="0" w:after="0" w:line="240" w:lineRule="auto"/>
              <w:jc w:val="center"/>
              <w:rPr>
                <w:sz w:val="20"/>
                <w:szCs w:val="20"/>
              </w:rPr>
            </w:pPr>
            <w:r>
              <w:rPr>
                <w:sz w:val="20"/>
                <w:szCs w:val="20"/>
              </w:rPr>
              <w:t>156</w:t>
            </w:r>
          </w:p>
        </w:tc>
        <w:tc>
          <w:tcPr>
            <w:tcW w:w="500" w:type="pct"/>
            <w:tcBorders>
              <w:top w:val="nil"/>
              <w:left w:val="nil"/>
              <w:bottom w:val="nil"/>
              <w:right w:val="nil"/>
            </w:tcBorders>
            <w:shd w:val="clear" w:color="auto" w:fill="auto"/>
            <w:tcMar>
              <w:top w:w="100" w:type="dxa"/>
              <w:left w:w="80" w:type="dxa"/>
              <w:bottom w:w="100" w:type="dxa"/>
              <w:right w:w="80" w:type="dxa"/>
            </w:tcMar>
          </w:tcPr>
          <w:p w14:paraId="0E117EEF" w14:textId="77777777" w:rsidR="00356C7B" w:rsidRPr="00105DE8" w:rsidRDefault="00D70978" w:rsidP="00D70978">
            <w:pPr>
              <w:widowControl w:val="0"/>
              <w:spacing w:before="0" w:after="0" w:line="240" w:lineRule="auto"/>
              <w:jc w:val="center"/>
              <w:rPr>
                <w:sz w:val="20"/>
                <w:szCs w:val="20"/>
              </w:rPr>
            </w:pPr>
            <w:r>
              <w:rPr>
                <w:sz w:val="20"/>
                <w:szCs w:val="20"/>
              </w:rPr>
              <w:t>25,00</w:t>
            </w:r>
          </w:p>
        </w:tc>
        <w:tc>
          <w:tcPr>
            <w:tcW w:w="834" w:type="pct"/>
            <w:tcBorders>
              <w:top w:val="nil"/>
              <w:left w:val="nil"/>
              <w:bottom w:val="nil"/>
              <w:right w:val="nil"/>
            </w:tcBorders>
            <w:shd w:val="clear" w:color="auto" w:fill="auto"/>
            <w:tcMar>
              <w:top w:w="100" w:type="dxa"/>
              <w:left w:w="80" w:type="dxa"/>
              <w:bottom w:w="100" w:type="dxa"/>
              <w:right w:w="80" w:type="dxa"/>
            </w:tcMar>
          </w:tcPr>
          <w:p w14:paraId="503F47E7" w14:textId="77777777" w:rsidR="00356C7B" w:rsidRPr="00105DE8" w:rsidRDefault="00D70978" w:rsidP="00D70978">
            <w:pPr>
              <w:widowControl w:val="0"/>
              <w:spacing w:before="0" w:after="0" w:line="240" w:lineRule="auto"/>
              <w:jc w:val="center"/>
              <w:rPr>
                <w:sz w:val="20"/>
                <w:szCs w:val="20"/>
              </w:rPr>
            </w:pPr>
            <w:r>
              <w:rPr>
                <w:sz w:val="20"/>
                <w:szCs w:val="20"/>
              </w:rPr>
              <w:t>16,27</w:t>
            </w:r>
          </w:p>
        </w:tc>
        <w:tc>
          <w:tcPr>
            <w:tcW w:w="730" w:type="pct"/>
            <w:tcBorders>
              <w:top w:val="nil"/>
              <w:left w:val="nil"/>
              <w:bottom w:val="nil"/>
              <w:right w:val="nil"/>
            </w:tcBorders>
            <w:shd w:val="clear" w:color="auto" w:fill="auto"/>
            <w:tcMar>
              <w:top w:w="100" w:type="dxa"/>
              <w:left w:w="80" w:type="dxa"/>
              <w:bottom w:w="100" w:type="dxa"/>
              <w:right w:w="80" w:type="dxa"/>
            </w:tcMar>
          </w:tcPr>
          <w:p w14:paraId="26B641C9" w14:textId="77777777" w:rsidR="00356C7B" w:rsidRPr="00105DE8" w:rsidRDefault="00D70978" w:rsidP="00D70978">
            <w:pPr>
              <w:widowControl w:val="0"/>
              <w:spacing w:before="0" w:after="0" w:line="240" w:lineRule="auto"/>
              <w:jc w:val="center"/>
              <w:rPr>
                <w:sz w:val="20"/>
                <w:szCs w:val="20"/>
              </w:rPr>
            </w:pPr>
            <w:r>
              <w:rPr>
                <w:sz w:val="20"/>
                <w:szCs w:val="20"/>
              </w:rPr>
              <w:t>6,88</w:t>
            </w:r>
          </w:p>
        </w:tc>
        <w:tc>
          <w:tcPr>
            <w:tcW w:w="519" w:type="pct"/>
            <w:tcBorders>
              <w:top w:val="nil"/>
              <w:left w:val="nil"/>
              <w:bottom w:val="nil"/>
              <w:right w:val="nil"/>
            </w:tcBorders>
            <w:shd w:val="clear" w:color="auto" w:fill="auto"/>
            <w:tcMar>
              <w:top w:w="100" w:type="dxa"/>
              <w:left w:w="80" w:type="dxa"/>
              <w:bottom w:w="100" w:type="dxa"/>
              <w:right w:w="80" w:type="dxa"/>
            </w:tcMar>
          </w:tcPr>
          <w:p w14:paraId="39067FD5" w14:textId="77777777" w:rsidR="00356C7B" w:rsidRPr="00105DE8" w:rsidRDefault="00D70978" w:rsidP="00D70978">
            <w:pPr>
              <w:widowControl w:val="0"/>
              <w:spacing w:before="0" w:after="0" w:line="240" w:lineRule="auto"/>
              <w:jc w:val="center"/>
              <w:rPr>
                <w:sz w:val="20"/>
                <w:szCs w:val="20"/>
              </w:rPr>
            </w:pPr>
            <w:r>
              <w:rPr>
                <w:sz w:val="20"/>
                <w:szCs w:val="20"/>
              </w:rPr>
              <w:t>67,26</w:t>
            </w:r>
          </w:p>
        </w:tc>
      </w:tr>
      <w:tr w:rsidR="00946004" w14:paraId="2D20E242" w14:textId="77777777" w:rsidTr="00946004">
        <w:trPr>
          <w:trHeight w:val="20"/>
        </w:trPr>
        <w:tc>
          <w:tcPr>
            <w:tcW w:w="1834" w:type="pct"/>
            <w:shd w:val="clear" w:color="auto" w:fill="auto"/>
          </w:tcPr>
          <w:p w14:paraId="6EEA06C0" w14:textId="77777777" w:rsidR="00946004" w:rsidRPr="00105DE8" w:rsidRDefault="00946004" w:rsidP="00D70978">
            <w:pPr>
              <w:spacing w:before="0" w:after="0" w:line="240" w:lineRule="auto"/>
              <w:rPr>
                <w:b/>
                <w:color w:val="FF0000"/>
                <w:sz w:val="20"/>
                <w:szCs w:val="20"/>
                <w:vertAlign w:val="superscript"/>
              </w:rPr>
            </w:pPr>
            <w:proofErr w:type="spellStart"/>
            <w:r w:rsidRPr="00105DE8">
              <w:rPr>
                <w:sz w:val="20"/>
                <w:szCs w:val="20"/>
              </w:rPr>
              <w:t>Rentabilidade</w:t>
            </w:r>
            <w:proofErr w:type="spellEnd"/>
            <w:r w:rsidRPr="00105DE8">
              <w:rPr>
                <w:sz w:val="20"/>
                <w:szCs w:val="20"/>
              </w:rPr>
              <w:t xml:space="preserve"> </w:t>
            </w:r>
            <w:proofErr w:type="spellStart"/>
            <w:r>
              <w:rPr>
                <w:sz w:val="20"/>
                <w:szCs w:val="20"/>
              </w:rPr>
              <w:t>sobre</w:t>
            </w:r>
            <w:proofErr w:type="spellEnd"/>
            <w:r>
              <w:rPr>
                <w:sz w:val="20"/>
                <w:szCs w:val="20"/>
              </w:rPr>
              <w:t xml:space="preserve"> o</w:t>
            </w:r>
            <w:r w:rsidRPr="00105DE8">
              <w:rPr>
                <w:sz w:val="20"/>
                <w:szCs w:val="20"/>
              </w:rPr>
              <w:t xml:space="preserve"> </w:t>
            </w:r>
            <w:r>
              <w:rPr>
                <w:sz w:val="20"/>
                <w:szCs w:val="20"/>
              </w:rPr>
              <w:t>PL</w:t>
            </w:r>
            <w:r w:rsidRPr="00105DE8">
              <w:rPr>
                <w:sz w:val="20"/>
                <w:szCs w:val="20"/>
              </w:rPr>
              <w:t xml:space="preserve"> </w:t>
            </w:r>
            <w:r w:rsidRPr="00946004">
              <w:rPr>
                <w:sz w:val="20"/>
                <w:szCs w:val="20"/>
              </w:rPr>
              <w:t>(</w:t>
            </w:r>
            <m:oMath>
              <m:sSub>
                <m:sSubPr>
                  <m:ctrlPr>
                    <w:rPr>
                      <w:rFonts w:ascii="Cambria Math" w:hAnsi="Cambria Math"/>
                      <w:sz w:val="20"/>
                      <w:szCs w:val="20"/>
                    </w:rPr>
                  </m:ctrlPr>
                </m:sSubPr>
                <m:e>
                  <m:r>
                    <m:rPr>
                      <m:sty m:val="p"/>
                    </m:rPr>
                    <w:rPr>
                      <w:rFonts w:ascii="Cambria Math" w:hAnsi="Cambria Math"/>
                      <w:sz w:val="20"/>
                      <w:szCs w:val="20"/>
                    </w:rPr>
                    <m:t>ROE</m:t>
                  </m:r>
                </m:e>
                <m:sub>
                  <m:r>
                    <m:rPr>
                      <m:sty m:val="p"/>
                    </m:rPr>
                    <w:rPr>
                      <w:rFonts w:ascii="Cambria Math" w:hAnsi="Cambria Math"/>
                      <w:sz w:val="20"/>
                      <w:szCs w:val="20"/>
                    </w:rPr>
                    <m:t>t-1</m:t>
                  </m:r>
                </m:sub>
              </m:sSub>
            </m:oMath>
            <w:r w:rsidRPr="00105DE8">
              <w:rPr>
                <w:sz w:val="20"/>
                <w:szCs w:val="20"/>
              </w:rPr>
              <w:t>)</w:t>
            </w:r>
          </w:p>
        </w:tc>
        <w:tc>
          <w:tcPr>
            <w:tcW w:w="583" w:type="pct"/>
          </w:tcPr>
          <w:p w14:paraId="2311ED49" w14:textId="77777777" w:rsidR="00946004" w:rsidRPr="00105DE8" w:rsidRDefault="00946004" w:rsidP="00D70978">
            <w:pPr>
              <w:widowControl w:val="0"/>
              <w:spacing w:before="0" w:after="0" w:line="240" w:lineRule="auto"/>
              <w:jc w:val="center"/>
              <w:rPr>
                <w:sz w:val="20"/>
                <w:szCs w:val="20"/>
              </w:rPr>
            </w:pPr>
            <w:r>
              <w:rPr>
                <w:sz w:val="20"/>
                <w:szCs w:val="20"/>
              </w:rPr>
              <w:t>192</w:t>
            </w:r>
          </w:p>
        </w:tc>
        <w:tc>
          <w:tcPr>
            <w:tcW w:w="500" w:type="pct"/>
            <w:tcBorders>
              <w:top w:val="nil"/>
              <w:left w:val="nil"/>
              <w:bottom w:val="nil"/>
              <w:right w:val="nil"/>
            </w:tcBorders>
            <w:shd w:val="clear" w:color="auto" w:fill="auto"/>
            <w:tcMar>
              <w:top w:w="100" w:type="dxa"/>
              <w:left w:w="80" w:type="dxa"/>
              <w:bottom w:w="100" w:type="dxa"/>
              <w:right w:w="80" w:type="dxa"/>
            </w:tcMar>
          </w:tcPr>
          <w:p w14:paraId="01C8D4FA" w14:textId="77777777" w:rsidR="00946004" w:rsidRPr="00105DE8" w:rsidRDefault="00946004" w:rsidP="00D70978">
            <w:pPr>
              <w:widowControl w:val="0"/>
              <w:spacing w:before="0" w:after="0" w:line="240" w:lineRule="auto"/>
              <w:jc w:val="center"/>
              <w:rPr>
                <w:sz w:val="20"/>
                <w:szCs w:val="20"/>
              </w:rPr>
            </w:pPr>
            <w:r>
              <w:rPr>
                <w:sz w:val="20"/>
                <w:szCs w:val="20"/>
              </w:rPr>
              <w:t>2,65</w:t>
            </w:r>
          </w:p>
        </w:tc>
        <w:tc>
          <w:tcPr>
            <w:tcW w:w="834" w:type="pct"/>
            <w:tcBorders>
              <w:top w:val="nil"/>
              <w:left w:val="nil"/>
              <w:bottom w:val="nil"/>
              <w:right w:val="nil"/>
            </w:tcBorders>
            <w:shd w:val="clear" w:color="auto" w:fill="auto"/>
            <w:tcMar>
              <w:top w:w="100" w:type="dxa"/>
              <w:left w:w="80" w:type="dxa"/>
              <w:bottom w:w="100" w:type="dxa"/>
              <w:right w:w="80" w:type="dxa"/>
            </w:tcMar>
          </w:tcPr>
          <w:p w14:paraId="109F2AED" w14:textId="77777777" w:rsidR="00946004" w:rsidRPr="00105DE8" w:rsidRDefault="00946004" w:rsidP="00D70978">
            <w:pPr>
              <w:widowControl w:val="0"/>
              <w:spacing w:before="0" w:after="0" w:line="240" w:lineRule="auto"/>
              <w:jc w:val="center"/>
              <w:rPr>
                <w:sz w:val="20"/>
                <w:szCs w:val="20"/>
              </w:rPr>
            </w:pPr>
            <w:r>
              <w:rPr>
                <w:sz w:val="20"/>
                <w:szCs w:val="20"/>
              </w:rPr>
              <w:t>2,30</w:t>
            </w:r>
          </w:p>
        </w:tc>
        <w:tc>
          <w:tcPr>
            <w:tcW w:w="730" w:type="pct"/>
            <w:tcBorders>
              <w:top w:val="nil"/>
              <w:left w:val="nil"/>
              <w:bottom w:val="nil"/>
              <w:right w:val="nil"/>
            </w:tcBorders>
            <w:shd w:val="clear" w:color="auto" w:fill="auto"/>
            <w:tcMar>
              <w:top w:w="100" w:type="dxa"/>
              <w:left w:w="80" w:type="dxa"/>
              <w:bottom w:w="100" w:type="dxa"/>
              <w:right w:w="80" w:type="dxa"/>
            </w:tcMar>
          </w:tcPr>
          <w:p w14:paraId="453E911A" w14:textId="77777777" w:rsidR="00946004" w:rsidRPr="00105DE8" w:rsidRDefault="00946004" w:rsidP="00D70978">
            <w:pPr>
              <w:widowControl w:val="0"/>
              <w:spacing w:before="0" w:after="0" w:line="240" w:lineRule="auto"/>
              <w:jc w:val="center"/>
              <w:rPr>
                <w:sz w:val="20"/>
                <w:szCs w:val="20"/>
              </w:rPr>
            </w:pPr>
            <w:r>
              <w:rPr>
                <w:sz w:val="20"/>
                <w:szCs w:val="20"/>
              </w:rPr>
              <w:t>-3,68</w:t>
            </w:r>
          </w:p>
        </w:tc>
        <w:tc>
          <w:tcPr>
            <w:tcW w:w="519" w:type="pct"/>
            <w:tcBorders>
              <w:top w:val="nil"/>
              <w:left w:val="nil"/>
              <w:bottom w:val="nil"/>
              <w:right w:val="nil"/>
            </w:tcBorders>
            <w:shd w:val="clear" w:color="auto" w:fill="auto"/>
            <w:tcMar>
              <w:top w:w="100" w:type="dxa"/>
              <w:left w:w="80" w:type="dxa"/>
              <w:bottom w:w="100" w:type="dxa"/>
              <w:right w:w="80" w:type="dxa"/>
            </w:tcMar>
          </w:tcPr>
          <w:p w14:paraId="0C517C79" w14:textId="77777777" w:rsidR="00946004" w:rsidRPr="00105DE8" w:rsidRDefault="00946004" w:rsidP="00D70978">
            <w:pPr>
              <w:widowControl w:val="0"/>
              <w:spacing w:before="0" w:after="0" w:line="240" w:lineRule="auto"/>
              <w:jc w:val="center"/>
              <w:rPr>
                <w:sz w:val="20"/>
                <w:szCs w:val="20"/>
              </w:rPr>
            </w:pPr>
            <w:r>
              <w:rPr>
                <w:sz w:val="20"/>
                <w:szCs w:val="20"/>
              </w:rPr>
              <w:t>6,13</w:t>
            </w:r>
          </w:p>
        </w:tc>
      </w:tr>
      <w:tr w:rsidR="00946004" w14:paraId="6B605AAA" w14:textId="77777777" w:rsidTr="00946004">
        <w:trPr>
          <w:trHeight w:val="20"/>
        </w:trPr>
        <w:tc>
          <w:tcPr>
            <w:tcW w:w="1834" w:type="pct"/>
            <w:shd w:val="clear" w:color="auto" w:fill="auto"/>
            <w:vAlign w:val="center"/>
          </w:tcPr>
          <w:p w14:paraId="6194CF92" w14:textId="77777777" w:rsidR="00946004" w:rsidRPr="00105DE8" w:rsidRDefault="00946004" w:rsidP="00D70978">
            <w:pPr>
              <w:spacing w:before="0" w:after="0" w:line="240" w:lineRule="auto"/>
              <w:rPr>
                <w:sz w:val="20"/>
                <w:szCs w:val="20"/>
              </w:rPr>
            </w:pPr>
            <w:proofErr w:type="spellStart"/>
            <w:r>
              <w:rPr>
                <w:sz w:val="20"/>
                <w:szCs w:val="20"/>
              </w:rPr>
              <w:t>Risco</w:t>
            </w:r>
            <w:proofErr w:type="spellEnd"/>
            <w:r>
              <w:rPr>
                <w:sz w:val="20"/>
                <w:szCs w:val="20"/>
              </w:rPr>
              <w:t xml:space="preserve"> do </w:t>
            </w:r>
            <w:proofErr w:type="spellStart"/>
            <w:r>
              <w:rPr>
                <w:sz w:val="20"/>
                <w:szCs w:val="20"/>
              </w:rPr>
              <w:t>negócio</w:t>
            </w:r>
            <w:proofErr w:type="spellEnd"/>
            <w:r>
              <w:rPr>
                <w:sz w:val="20"/>
                <w:szCs w:val="20"/>
              </w:rPr>
              <w:t xml:space="preserve"> </w:t>
            </w:r>
            <w:r w:rsidRPr="00105DE8">
              <w:rPr>
                <w:sz w:val="20"/>
                <w:szCs w:val="20"/>
              </w:rPr>
              <w:t>(</w:t>
            </w:r>
            <w:r>
              <w:rPr>
                <w:sz w:val="20"/>
                <w:szCs w:val="20"/>
              </w:rPr>
              <w:t>RISC)</w:t>
            </w:r>
          </w:p>
        </w:tc>
        <w:tc>
          <w:tcPr>
            <w:tcW w:w="583" w:type="pct"/>
          </w:tcPr>
          <w:p w14:paraId="24EC0CD3" w14:textId="77777777" w:rsidR="00946004" w:rsidRPr="00105DE8" w:rsidRDefault="00946004" w:rsidP="00D70978">
            <w:pPr>
              <w:widowControl w:val="0"/>
              <w:spacing w:before="0" w:after="0" w:line="240" w:lineRule="auto"/>
              <w:jc w:val="center"/>
              <w:rPr>
                <w:sz w:val="20"/>
                <w:szCs w:val="20"/>
              </w:rPr>
            </w:pPr>
            <w:r>
              <w:rPr>
                <w:sz w:val="20"/>
                <w:szCs w:val="20"/>
              </w:rPr>
              <w:t>192</w:t>
            </w:r>
          </w:p>
        </w:tc>
        <w:tc>
          <w:tcPr>
            <w:tcW w:w="500" w:type="pct"/>
            <w:tcBorders>
              <w:top w:val="nil"/>
              <w:left w:val="nil"/>
              <w:bottom w:val="nil"/>
              <w:right w:val="nil"/>
            </w:tcBorders>
            <w:shd w:val="clear" w:color="auto" w:fill="auto"/>
            <w:tcMar>
              <w:top w:w="100" w:type="dxa"/>
              <w:left w:w="80" w:type="dxa"/>
              <w:bottom w:w="100" w:type="dxa"/>
              <w:right w:w="80" w:type="dxa"/>
            </w:tcMar>
          </w:tcPr>
          <w:p w14:paraId="0EB4CD00" w14:textId="77777777" w:rsidR="00946004" w:rsidRPr="00105DE8" w:rsidRDefault="00D70978" w:rsidP="00D70978">
            <w:pPr>
              <w:widowControl w:val="0"/>
              <w:spacing w:before="0" w:after="0" w:line="240" w:lineRule="auto"/>
              <w:jc w:val="center"/>
              <w:rPr>
                <w:sz w:val="20"/>
                <w:szCs w:val="20"/>
              </w:rPr>
            </w:pPr>
            <w:r>
              <w:rPr>
                <w:sz w:val="20"/>
                <w:szCs w:val="20"/>
              </w:rPr>
              <w:t>18,03</w:t>
            </w:r>
          </w:p>
        </w:tc>
        <w:tc>
          <w:tcPr>
            <w:tcW w:w="834" w:type="pct"/>
            <w:tcBorders>
              <w:top w:val="nil"/>
              <w:left w:val="nil"/>
              <w:bottom w:val="nil"/>
              <w:right w:val="nil"/>
            </w:tcBorders>
            <w:shd w:val="clear" w:color="auto" w:fill="auto"/>
            <w:tcMar>
              <w:top w:w="100" w:type="dxa"/>
              <w:left w:w="80" w:type="dxa"/>
              <w:bottom w:w="100" w:type="dxa"/>
              <w:right w:w="80" w:type="dxa"/>
            </w:tcMar>
          </w:tcPr>
          <w:p w14:paraId="49294461" w14:textId="77777777" w:rsidR="00946004" w:rsidRPr="00105DE8" w:rsidRDefault="00D70978" w:rsidP="00D70978">
            <w:pPr>
              <w:widowControl w:val="0"/>
              <w:spacing w:before="0" w:after="0" w:line="240" w:lineRule="auto"/>
              <w:jc w:val="center"/>
              <w:rPr>
                <w:sz w:val="20"/>
                <w:szCs w:val="20"/>
              </w:rPr>
            </w:pPr>
            <w:r>
              <w:rPr>
                <w:sz w:val="20"/>
                <w:szCs w:val="20"/>
              </w:rPr>
              <w:t>11,31</w:t>
            </w:r>
          </w:p>
        </w:tc>
        <w:tc>
          <w:tcPr>
            <w:tcW w:w="730" w:type="pct"/>
            <w:tcBorders>
              <w:top w:val="nil"/>
              <w:left w:val="nil"/>
              <w:bottom w:val="nil"/>
              <w:right w:val="nil"/>
            </w:tcBorders>
            <w:shd w:val="clear" w:color="auto" w:fill="auto"/>
            <w:tcMar>
              <w:top w:w="100" w:type="dxa"/>
              <w:left w:w="80" w:type="dxa"/>
              <w:bottom w:w="100" w:type="dxa"/>
              <w:right w:w="80" w:type="dxa"/>
            </w:tcMar>
          </w:tcPr>
          <w:p w14:paraId="4F310CBD" w14:textId="77777777" w:rsidR="00946004" w:rsidRPr="00105DE8" w:rsidRDefault="00D70978" w:rsidP="00D70978">
            <w:pPr>
              <w:widowControl w:val="0"/>
              <w:spacing w:before="0" w:after="0" w:line="240" w:lineRule="auto"/>
              <w:jc w:val="center"/>
              <w:rPr>
                <w:sz w:val="20"/>
                <w:szCs w:val="20"/>
              </w:rPr>
            </w:pPr>
            <w:r>
              <w:rPr>
                <w:sz w:val="20"/>
                <w:szCs w:val="20"/>
              </w:rPr>
              <w:t>4,23</w:t>
            </w:r>
          </w:p>
        </w:tc>
        <w:tc>
          <w:tcPr>
            <w:tcW w:w="519" w:type="pct"/>
            <w:tcBorders>
              <w:top w:val="nil"/>
              <w:left w:val="nil"/>
              <w:bottom w:val="nil"/>
              <w:right w:val="nil"/>
            </w:tcBorders>
            <w:shd w:val="clear" w:color="auto" w:fill="auto"/>
            <w:tcMar>
              <w:top w:w="100" w:type="dxa"/>
              <w:left w:w="80" w:type="dxa"/>
              <w:bottom w:w="100" w:type="dxa"/>
              <w:right w:w="80" w:type="dxa"/>
            </w:tcMar>
          </w:tcPr>
          <w:p w14:paraId="27C27DC9" w14:textId="77777777" w:rsidR="00946004" w:rsidRPr="00105DE8" w:rsidRDefault="00D70978" w:rsidP="00D70978">
            <w:pPr>
              <w:widowControl w:val="0"/>
              <w:spacing w:before="0" w:after="0" w:line="240" w:lineRule="auto"/>
              <w:jc w:val="center"/>
              <w:rPr>
                <w:sz w:val="20"/>
                <w:szCs w:val="20"/>
              </w:rPr>
            </w:pPr>
            <w:r>
              <w:rPr>
                <w:sz w:val="20"/>
                <w:szCs w:val="20"/>
              </w:rPr>
              <w:t>45,12</w:t>
            </w:r>
          </w:p>
        </w:tc>
      </w:tr>
      <w:tr w:rsidR="00946004" w14:paraId="6A3D2F89" w14:textId="77777777" w:rsidTr="00946004">
        <w:trPr>
          <w:trHeight w:val="20"/>
        </w:trPr>
        <w:tc>
          <w:tcPr>
            <w:tcW w:w="1834" w:type="pct"/>
            <w:shd w:val="clear" w:color="auto" w:fill="auto"/>
            <w:vAlign w:val="center"/>
          </w:tcPr>
          <w:p w14:paraId="6A831302" w14:textId="77777777" w:rsidR="00946004" w:rsidRPr="00105DE8" w:rsidRDefault="00946004" w:rsidP="00D70978">
            <w:pPr>
              <w:spacing w:before="0" w:after="0" w:line="240" w:lineRule="auto"/>
              <w:rPr>
                <w:sz w:val="20"/>
                <w:szCs w:val="20"/>
              </w:rPr>
            </w:pPr>
            <w:proofErr w:type="spellStart"/>
            <w:r w:rsidRPr="00105DE8">
              <w:rPr>
                <w:sz w:val="20"/>
                <w:szCs w:val="20"/>
              </w:rPr>
              <w:t>Tamanho</w:t>
            </w:r>
            <w:proofErr w:type="spellEnd"/>
            <w:r w:rsidRPr="00105DE8">
              <w:rPr>
                <w:sz w:val="20"/>
                <w:szCs w:val="20"/>
              </w:rPr>
              <w:t xml:space="preserve"> da </w:t>
            </w:r>
            <w:proofErr w:type="spellStart"/>
            <w:r w:rsidRPr="00105DE8">
              <w:rPr>
                <w:sz w:val="20"/>
                <w:szCs w:val="20"/>
              </w:rPr>
              <w:t>empresa</w:t>
            </w:r>
            <w:proofErr w:type="spellEnd"/>
            <w:r w:rsidRPr="00105DE8">
              <w:rPr>
                <w:sz w:val="20"/>
                <w:szCs w:val="20"/>
              </w:rPr>
              <w:t xml:space="preserve"> (</w:t>
            </w:r>
            <w:r>
              <w:rPr>
                <w:sz w:val="20"/>
                <w:szCs w:val="20"/>
              </w:rPr>
              <w:t>TAM)</w:t>
            </w:r>
          </w:p>
        </w:tc>
        <w:tc>
          <w:tcPr>
            <w:tcW w:w="583" w:type="pct"/>
          </w:tcPr>
          <w:p w14:paraId="417D1941" w14:textId="77777777" w:rsidR="00946004" w:rsidRPr="00105DE8" w:rsidRDefault="00946004" w:rsidP="00D70978">
            <w:pPr>
              <w:widowControl w:val="0"/>
              <w:spacing w:before="0" w:after="0" w:line="240" w:lineRule="auto"/>
              <w:jc w:val="center"/>
              <w:rPr>
                <w:sz w:val="20"/>
                <w:szCs w:val="20"/>
              </w:rPr>
            </w:pPr>
            <w:r>
              <w:rPr>
                <w:sz w:val="20"/>
                <w:szCs w:val="20"/>
              </w:rPr>
              <w:t>192</w:t>
            </w:r>
          </w:p>
        </w:tc>
        <w:tc>
          <w:tcPr>
            <w:tcW w:w="500" w:type="pct"/>
            <w:tcBorders>
              <w:top w:val="nil"/>
              <w:left w:val="nil"/>
              <w:bottom w:val="nil"/>
              <w:right w:val="nil"/>
            </w:tcBorders>
            <w:shd w:val="clear" w:color="auto" w:fill="auto"/>
            <w:tcMar>
              <w:top w:w="100" w:type="dxa"/>
              <w:left w:w="80" w:type="dxa"/>
              <w:bottom w:w="100" w:type="dxa"/>
              <w:right w:w="80" w:type="dxa"/>
            </w:tcMar>
          </w:tcPr>
          <w:p w14:paraId="773EB12B" w14:textId="77777777" w:rsidR="00946004" w:rsidRPr="00105DE8" w:rsidRDefault="00D70978" w:rsidP="00D70978">
            <w:pPr>
              <w:widowControl w:val="0"/>
              <w:spacing w:before="0" w:after="0" w:line="240" w:lineRule="auto"/>
              <w:jc w:val="center"/>
              <w:rPr>
                <w:sz w:val="20"/>
                <w:szCs w:val="20"/>
              </w:rPr>
            </w:pPr>
            <w:r>
              <w:rPr>
                <w:sz w:val="20"/>
                <w:szCs w:val="20"/>
              </w:rPr>
              <w:t>17,74</w:t>
            </w:r>
          </w:p>
        </w:tc>
        <w:tc>
          <w:tcPr>
            <w:tcW w:w="834" w:type="pct"/>
            <w:tcBorders>
              <w:top w:val="nil"/>
              <w:left w:val="nil"/>
              <w:bottom w:val="nil"/>
              <w:right w:val="nil"/>
            </w:tcBorders>
            <w:shd w:val="clear" w:color="auto" w:fill="auto"/>
            <w:tcMar>
              <w:top w:w="100" w:type="dxa"/>
              <w:left w:w="80" w:type="dxa"/>
              <w:bottom w:w="100" w:type="dxa"/>
              <w:right w:w="80" w:type="dxa"/>
            </w:tcMar>
          </w:tcPr>
          <w:p w14:paraId="3B1FC7AA" w14:textId="77777777" w:rsidR="00946004" w:rsidRPr="00105DE8" w:rsidRDefault="00D70978" w:rsidP="00D70978">
            <w:pPr>
              <w:widowControl w:val="0"/>
              <w:spacing w:before="0" w:after="0" w:line="240" w:lineRule="auto"/>
              <w:jc w:val="center"/>
              <w:rPr>
                <w:sz w:val="20"/>
                <w:szCs w:val="20"/>
              </w:rPr>
            </w:pPr>
            <w:r>
              <w:rPr>
                <w:sz w:val="20"/>
                <w:szCs w:val="20"/>
              </w:rPr>
              <w:t>1,88</w:t>
            </w:r>
          </w:p>
        </w:tc>
        <w:tc>
          <w:tcPr>
            <w:tcW w:w="730" w:type="pct"/>
            <w:tcBorders>
              <w:top w:val="nil"/>
              <w:left w:val="nil"/>
              <w:bottom w:val="nil"/>
              <w:right w:val="nil"/>
            </w:tcBorders>
            <w:shd w:val="clear" w:color="auto" w:fill="auto"/>
            <w:tcMar>
              <w:top w:w="100" w:type="dxa"/>
              <w:left w:w="80" w:type="dxa"/>
              <w:bottom w:w="100" w:type="dxa"/>
              <w:right w:w="80" w:type="dxa"/>
            </w:tcMar>
          </w:tcPr>
          <w:p w14:paraId="4D3BA723" w14:textId="77777777" w:rsidR="00946004" w:rsidRPr="00105DE8" w:rsidRDefault="00D70978" w:rsidP="00D70978">
            <w:pPr>
              <w:widowControl w:val="0"/>
              <w:spacing w:before="0" w:after="0" w:line="240" w:lineRule="auto"/>
              <w:jc w:val="center"/>
              <w:rPr>
                <w:sz w:val="20"/>
                <w:szCs w:val="20"/>
              </w:rPr>
            </w:pPr>
            <w:r>
              <w:rPr>
                <w:sz w:val="20"/>
                <w:szCs w:val="20"/>
              </w:rPr>
              <w:t>14,70</w:t>
            </w:r>
          </w:p>
        </w:tc>
        <w:tc>
          <w:tcPr>
            <w:tcW w:w="519" w:type="pct"/>
            <w:tcBorders>
              <w:top w:val="nil"/>
              <w:left w:val="nil"/>
              <w:bottom w:val="nil"/>
              <w:right w:val="nil"/>
            </w:tcBorders>
            <w:shd w:val="clear" w:color="auto" w:fill="auto"/>
            <w:tcMar>
              <w:top w:w="100" w:type="dxa"/>
              <w:left w:w="80" w:type="dxa"/>
              <w:bottom w:w="100" w:type="dxa"/>
              <w:right w:w="80" w:type="dxa"/>
            </w:tcMar>
          </w:tcPr>
          <w:p w14:paraId="0487D684" w14:textId="77777777" w:rsidR="00946004" w:rsidRPr="00105DE8" w:rsidRDefault="00D70978" w:rsidP="00D70978">
            <w:pPr>
              <w:widowControl w:val="0"/>
              <w:spacing w:before="0" w:after="0" w:line="240" w:lineRule="auto"/>
              <w:jc w:val="center"/>
              <w:rPr>
                <w:sz w:val="20"/>
                <w:szCs w:val="20"/>
              </w:rPr>
            </w:pPr>
            <w:r>
              <w:rPr>
                <w:sz w:val="20"/>
                <w:szCs w:val="20"/>
              </w:rPr>
              <w:t>21,11</w:t>
            </w:r>
          </w:p>
        </w:tc>
      </w:tr>
      <w:tr w:rsidR="00946004" w14:paraId="1699AB95" w14:textId="77777777" w:rsidTr="00946004">
        <w:trPr>
          <w:trHeight w:val="20"/>
        </w:trPr>
        <w:tc>
          <w:tcPr>
            <w:tcW w:w="1834" w:type="pct"/>
            <w:tcBorders>
              <w:top w:val="nil"/>
              <w:left w:val="nil"/>
              <w:bottom w:val="single" w:sz="4" w:space="0" w:color="auto"/>
              <w:right w:val="nil"/>
            </w:tcBorders>
            <w:shd w:val="clear" w:color="auto" w:fill="auto"/>
            <w:tcMar>
              <w:top w:w="100" w:type="dxa"/>
              <w:left w:w="80" w:type="dxa"/>
              <w:bottom w:w="100" w:type="dxa"/>
              <w:right w:w="80" w:type="dxa"/>
            </w:tcMar>
          </w:tcPr>
          <w:p w14:paraId="485593B4" w14:textId="77777777" w:rsidR="00946004" w:rsidRPr="00105DE8" w:rsidRDefault="00946004" w:rsidP="00D70978">
            <w:pPr>
              <w:spacing w:before="0" w:after="0" w:line="240" w:lineRule="auto"/>
              <w:rPr>
                <w:sz w:val="20"/>
                <w:szCs w:val="20"/>
              </w:rPr>
            </w:pPr>
            <w:proofErr w:type="spellStart"/>
            <w:r w:rsidRPr="00105DE8">
              <w:rPr>
                <w:sz w:val="20"/>
                <w:szCs w:val="20"/>
              </w:rPr>
              <w:t>C</w:t>
            </w:r>
            <w:r>
              <w:rPr>
                <w:sz w:val="20"/>
                <w:szCs w:val="20"/>
              </w:rPr>
              <w:t>rescimento</w:t>
            </w:r>
            <w:proofErr w:type="spellEnd"/>
            <w:r>
              <w:rPr>
                <w:sz w:val="20"/>
                <w:szCs w:val="20"/>
              </w:rPr>
              <w:t xml:space="preserve"> da </w:t>
            </w:r>
            <w:proofErr w:type="spellStart"/>
            <w:r>
              <w:rPr>
                <w:sz w:val="20"/>
                <w:szCs w:val="20"/>
              </w:rPr>
              <w:t>firma</w:t>
            </w:r>
            <w:proofErr w:type="spellEnd"/>
            <w:r w:rsidRPr="00105DE8">
              <w:rPr>
                <w:sz w:val="20"/>
                <w:szCs w:val="20"/>
              </w:rPr>
              <w:t xml:space="preserve"> (</w:t>
            </w:r>
            <w:r>
              <w:rPr>
                <w:sz w:val="20"/>
                <w:szCs w:val="20"/>
              </w:rPr>
              <w:t>CRESC</w:t>
            </w:r>
            <w:r w:rsidRPr="00105DE8">
              <w:rPr>
                <w:sz w:val="20"/>
                <w:szCs w:val="20"/>
              </w:rPr>
              <w:t>)</w:t>
            </w:r>
          </w:p>
        </w:tc>
        <w:tc>
          <w:tcPr>
            <w:tcW w:w="583" w:type="pct"/>
            <w:tcBorders>
              <w:top w:val="nil"/>
              <w:left w:val="nil"/>
              <w:bottom w:val="single" w:sz="4" w:space="0" w:color="auto"/>
              <w:right w:val="nil"/>
            </w:tcBorders>
          </w:tcPr>
          <w:p w14:paraId="161040AD" w14:textId="77777777" w:rsidR="00946004" w:rsidRPr="00105DE8" w:rsidRDefault="00946004" w:rsidP="00D70978">
            <w:pPr>
              <w:widowControl w:val="0"/>
              <w:spacing w:before="0" w:after="0" w:line="240" w:lineRule="auto"/>
              <w:jc w:val="center"/>
              <w:rPr>
                <w:sz w:val="20"/>
                <w:szCs w:val="20"/>
              </w:rPr>
            </w:pPr>
            <w:r>
              <w:rPr>
                <w:sz w:val="20"/>
                <w:szCs w:val="20"/>
              </w:rPr>
              <w:t>192</w:t>
            </w:r>
          </w:p>
        </w:tc>
        <w:tc>
          <w:tcPr>
            <w:tcW w:w="500" w:type="pct"/>
            <w:tcBorders>
              <w:top w:val="nil"/>
              <w:left w:val="nil"/>
              <w:bottom w:val="single" w:sz="4" w:space="0" w:color="auto"/>
              <w:right w:val="nil"/>
            </w:tcBorders>
            <w:shd w:val="clear" w:color="auto" w:fill="auto"/>
            <w:tcMar>
              <w:top w:w="100" w:type="dxa"/>
              <w:left w:w="80" w:type="dxa"/>
              <w:bottom w:w="100" w:type="dxa"/>
              <w:right w:w="80" w:type="dxa"/>
            </w:tcMar>
          </w:tcPr>
          <w:p w14:paraId="088DEFFD" w14:textId="77777777" w:rsidR="00946004" w:rsidRPr="00105DE8" w:rsidRDefault="00D70978" w:rsidP="00D70978">
            <w:pPr>
              <w:widowControl w:val="0"/>
              <w:spacing w:before="0" w:after="0" w:line="240" w:lineRule="auto"/>
              <w:jc w:val="center"/>
              <w:rPr>
                <w:sz w:val="20"/>
                <w:szCs w:val="20"/>
              </w:rPr>
            </w:pPr>
            <w:r>
              <w:rPr>
                <w:sz w:val="20"/>
                <w:szCs w:val="20"/>
              </w:rPr>
              <w:t>0,01</w:t>
            </w:r>
          </w:p>
        </w:tc>
        <w:tc>
          <w:tcPr>
            <w:tcW w:w="834" w:type="pct"/>
            <w:tcBorders>
              <w:top w:val="nil"/>
              <w:left w:val="nil"/>
              <w:bottom w:val="single" w:sz="4" w:space="0" w:color="auto"/>
              <w:right w:val="nil"/>
            </w:tcBorders>
            <w:shd w:val="clear" w:color="auto" w:fill="auto"/>
            <w:tcMar>
              <w:top w:w="100" w:type="dxa"/>
              <w:left w:w="80" w:type="dxa"/>
              <w:bottom w:w="100" w:type="dxa"/>
              <w:right w:w="80" w:type="dxa"/>
            </w:tcMar>
          </w:tcPr>
          <w:p w14:paraId="483C66CB" w14:textId="77777777" w:rsidR="00946004" w:rsidRPr="00105DE8" w:rsidRDefault="00D70978" w:rsidP="00D70978">
            <w:pPr>
              <w:widowControl w:val="0"/>
              <w:spacing w:before="0" w:after="0" w:line="240" w:lineRule="auto"/>
              <w:jc w:val="center"/>
              <w:rPr>
                <w:sz w:val="20"/>
                <w:szCs w:val="20"/>
              </w:rPr>
            </w:pPr>
            <w:r>
              <w:rPr>
                <w:sz w:val="20"/>
                <w:szCs w:val="20"/>
              </w:rPr>
              <w:t>0,42</w:t>
            </w:r>
          </w:p>
        </w:tc>
        <w:tc>
          <w:tcPr>
            <w:tcW w:w="730" w:type="pct"/>
            <w:tcBorders>
              <w:top w:val="nil"/>
              <w:left w:val="nil"/>
              <w:bottom w:val="single" w:sz="4" w:space="0" w:color="auto"/>
              <w:right w:val="nil"/>
            </w:tcBorders>
            <w:shd w:val="clear" w:color="auto" w:fill="auto"/>
            <w:tcMar>
              <w:top w:w="100" w:type="dxa"/>
              <w:left w:w="80" w:type="dxa"/>
              <w:bottom w:w="100" w:type="dxa"/>
              <w:right w:w="80" w:type="dxa"/>
            </w:tcMar>
          </w:tcPr>
          <w:p w14:paraId="50406831" w14:textId="77777777" w:rsidR="00946004" w:rsidRPr="00105DE8" w:rsidRDefault="00D70978" w:rsidP="00D70978">
            <w:pPr>
              <w:widowControl w:val="0"/>
              <w:spacing w:before="0" w:after="0" w:line="240" w:lineRule="auto"/>
              <w:jc w:val="center"/>
              <w:rPr>
                <w:sz w:val="20"/>
                <w:szCs w:val="20"/>
              </w:rPr>
            </w:pPr>
            <w:r>
              <w:rPr>
                <w:sz w:val="20"/>
                <w:szCs w:val="20"/>
              </w:rPr>
              <w:t>-0,09</w:t>
            </w:r>
          </w:p>
        </w:tc>
        <w:tc>
          <w:tcPr>
            <w:tcW w:w="519" w:type="pct"/>
            <w:tcBorders>
              <w:top w:val="nil"/>
              <w:left w:val="nil"/>
              <w:bottom w:val="single" w:sz="4" w:space="0" w:color="auto"/>
              <w:right w:val="nil"/>
            </w:tcBorders>
            <w:shd w:val="clear" w:color="auto" w:fill="auto"/>
            <w:tcMar>
              <w:top w:w="100" w:type="dxa"/>
              <w:left w:w="80" w:type="dxa"/>
              <w:bottom w:w="100" w:type="dxa"/>
              <w:right w:w="80" w:type="dxa"/>
            </w:tcMar>
          </w:tcPr>
          <w:p w14:paraId="51E9EF99" w14:textId="77777777" w:rsidR="00D70978" w:rsidRPr="00105DE8" w:rsidRDefault="00D70978" w:rsidP="00D70978">
            <w:pPr>
              <w:widowControl w:val="0"/>
              <w:spacing w:before="0" w:after="0" w:line="240" w:lineRule="auto"/>
              <w:jc w:val="center"/>
              <w:rPr>
                <w:sz w:val="20"/>
                <w:szCs w:val="20"/>
              </w:rPr>
            </w:pPr>
            <w:r>
              <w:rPr>
                <w:sz w:val="20"/>
                <w:szCs w:val="20"/>
              </w:rPr>
              <w:t>0,08</w:t>
            </w:r>
          </w:p>
        </w:tc>
      </w:tr>
    </w:tbl>
    <w:p w14:paraId="2058354B" w14:textId="77777777" w:rsidR="00356C7B" w:rsidRDefault="00356C7B" w:rsidP="00E51A9A">
      <w:pPr>
        <w:widowControl w:val="0"/>
        <w:spacing w:before="0" w:after="0" w:line="240" w:lineRule="auto"/>
        <w:jc w:val="center"/>
        <w:rPr>
          <w:sz w:val="20"/>
          <w:szCs w:val="20"/>
        </w:rPr>
      </w:pPr>
      <w:r>
        <w:rPr>
          <w:sz w:val="20"/>
          <w:szCs w:val="20"/>
        </w:rPr>
        <w:t xml:space="preserve">Fonte: Dados da </w:t>
      </w:r>
      <w:proofErr w:type="spellStart"/>
      <w:r>
        <w:rPr>
          <w:sz w:val="20"/>
          <w:szCs w:val="20"/>
        </w:rPr>
        <w:t>pesquisa</w:t>
      </w:r>
      <w:proofErr w:type="spellEnd"/>
      <w:r>
        <w:rPr>
          <w:sz w:val="20"/>
          <w:szCs w:val="20"/>
        </w:rPr>
        <w:t>.</w:t>
      </w:r>
    </w:p>
    <w:p w14:paraId="730140A1" w14:textId="77777777" w:rsidR="00356C7B" w:rsidRDefault="00356C7B" w:rsidP="003424F0">
      <w:pPr>
        <w:pStyle w:val="SemEspaamento"/>
      </w:pPr>
    </w:p>
    <w:p w14:paraId="12195E25" w14:textId="77777777" w:rsidR="003424F0" w:rsidRPr="00DB07E0" w:rsidRDefault="00DB07E0" w:rsidP="003424F0">
      <w:pPr>
        <w:pStyle w:val="SemEspaamento"/>
        <w:rPr>
          <w:lang w:val="pt-BR"/>
        </w:rPr>
      </w:pPr>
      <w:r w:rsidRPr="00DB07E0">
        <w:rPr>
          <w:lang w:val="pt-BR"/>
        </w:rPr>
        <w:t>Sobre o múltiplo P/L</w:t>
      </w:r>
      <w:r>
        <w:rPr>
          <w:lang w:val="pt-BR"/>
        </w:rPr>
        <w:t xml:space="preserve">O, a média dos bancos foi de 25, que comparada com a média do P/L ainda pode ser considerado um resultado alto, realçando que os bancos tendem a ser precificados com altos valores de cotação da ação em relação ao lucro operacional gerado. O desvio-padrão foi próximo ao do P/L (16,27) após a </w:t>
      </w:r>
      <w:proofErr w:type="spellStart"/>
      <w:r>
        <w:rPr>
          <w:lang w:val="pt-BR"/>
        </w:rPr>
        <w:t>winsorização</w:t>
      </w:r>
      <w:proofErr w:type="spellEnd"/>
      <w:r>
        <w:rPr>
          <w:lang w:val="pt-BR"/>
        </w:rPr>
        <w:t xml:space="preserve">. Entre os bancos analisados, para esse múltiplo destaca-se o banco Amazônia, que obteve o menor valor do P/LO no quarto trimestre de 2017, mas teve um dos maiores valores </w:t>
      </w:r>
      <w:r w:rsidR="00205CF7">
        <w:rPr>
          <w:lang w:val="pt-BR"/>
        </w:rPr>
        <w:t xml:space="preserve">no primeiro trimestre de 2016. Observou-se que nesse período o número de ações do banco Amazônia foi reduzido em 100 vezes, o que impactou nessa diferença de P/LO, pois com a diminuição das ações, o lucro operacional por ação aumentou, impactando assim na redução da relação preço/lucro operacional. </w:t>
      </w:r>
    </w:p>
    <w:p w14:paraId="723D7C71" w14:textId="4E9586D0" w:rsidR="00356C7B" w:rsidRPr="00D902B1" w:rsidRDefault="00205CF7" w:rsidP="00356C7B">
      <w:pPr>
        <w:pStyle w:val="SemEspaamento"/>
        <w:rPr>
          <w:lang w:val="pt-BR"/>
        </w:rPr>
      </w:pPr>
      <w:r>
        <w:rPr>
          <w:lang w:val="pt-BR"/>
        </w:rPr>
        <w:t xml:space="preserve">Em relação às variáveis explicativas do modelo de regressão com dados em painel, a rentabilidade sobre o patrimônio encontrou média de 2,65, ou seja, o lucro líquido médio trimestral dos bancos é 2 vezes maior do que o seu patrimônio. O risco do negócio, que foi medido pelo desvio-padrão dos retornos das ações, obteve alta dispersão dos valores, tendo desvio de 11,31. Por se tratar de dados trimestrais, é </w:t>
      </w:r>
      <w:r w:rsidR="008F5DAB">
        <w:rPr>
          <w:lang w:val="pt-BR"/>
        </w:rPr>
        <w:t xml:space="preserve">compreensível essa dispersão, visto que as firmas tendem a ter retornos maiores em períodos específicos do ano. O crescimento médio da firma foi de 1% ao trimestre. O banco Banestes no quarto período de 2016 alcançou crescimento de 28% no trimestre muito devido ao aumento das </w:t>
      </w:r>
      <w:r w:rsidR="008F5DAB" w:rsidRPr="008F5DAB">
        <w:rPr>
          <w:lang w:val="pt-BR"/>
        </w:rPr>
        <w:t>Aplicações Interfinanceiras de Liquidez</w:t>
      </w:r>
      <w:r w:rsidR="008F5DAB">
        <w:rPr>
          <w:lang w:val="pt-BR"/>
        </w:rPr>
        <w:t xml:space="preserve"> que dobraram de 2015 para 2016. </w:t>
      </w:r>
      <w:r w:rsidR="00E65025">
        <w:rPr>
          <w:lang w:val="pt-BR"/>
        </w:rPr>
        <w:t>O c</w:t>
      </w:r>
      <w:r w:rsidR="00356C7B" w:rsidRPr="00D902B1">
        <w:rPr>
          <w:lang w:val="pt-BR"/>
        </w:rPr>
        <w:t>ontrole de Propriedad</w:t>
      </w:r>
      <w:r w:rsidR="00E65025">
        <w:rPr>
          <w:lang w:val="pt-BR"/>
        </w:rPr>
        <w:t xml:space="preserve">e, que não é apresentado na Tabela 1 por ser uma variável dicotômica, tem como frequência que </w:t>
      </w:r>
      <w:r w:rsidR="00356C7B">
        <w:rPr>
          <w:lang w:val="pt-BR"/>
        </w:rPr>
        <w:t>67</w:t>
      </w:r>
      <w:r w:rsidR="00356C7B" w:rsidRPr="00D902B1">
        <w:rPr>
          <w:lang w:val="pt-BR"/>
        </w:rPr>
        <w:t xml:space="preserve">% </w:t>
      </w:r>
      <w:r w:rsidR="00356C7B">
        <w:rPr>
          <w:lang w:val="pt-BR"/>
        </w:rPr>
        <w:t xml:space="preserve">são bancos </w:t>
      </w:r>
      <w:r w:rsidR="00E65025">
        <w:rPr>
          <w:lang w:val="pt-BR"/>
        </w:rPr>
        <w:t>tem</w:t>
      </w:r>
      <w:r w:rsidR="00356C7B">
        <w:rPr>
          <w:lang w:val="pt-BR"/>
        </w:rPr>
        <w:t xml:space="preserve"> controle de </w:t>
      </w:r>
      <w:r w:rsidR="00356C7B">
        <w:rPr>
          <w:lang w:val="pt-BR"/>
        </w:rPr>
        <w:lastRenderedPageBreak/>
        <w:t xml:space="preserve">propriedade estatal e 33% tem controle de propriedade de pessoa física ou jurídica. </w:t>
      </w:r>
      <w:r w:rsidR="00E65025">
        <w:rPr>
          <w:lang w:val="pt-BR"/>
        </w:rPr>
        <w:t xml:space="preserve">Espera-se que os bancos com controle </w:t>
      </w:r>
      <w:r w:rsidR="00EF5DE0">
        <w:rPr>
          <w:lang w:val="pt-BR"/>
        </w:rPr>
        <w:t>privado</w:t>
      </w:r>
      <w:r w:rsidR="00E65025">
        <w:rPr>
          <w:lang w:val="pt-BR"/>
        </w:rPr>
        <w:t xml:space="preserve"> encontrem múltiplos maiores.</w:t>
      </w:r>
      <w:r w:rsidR="00356C7B" w:rsidRPr="00D902B1">
        <w:rPr>
          <w:lang w:val="pt-BR"/>
        </w:rPr>
        <w:t xml:space="preserve"> </w:t>
      </w:r>
    </w:p>
    <w:p w14:paraId="3BDBF46F" w14:textId="77777777" w:rsidR="00356C7B" w:rsidRDefault="00356C7B" w:rsidP="00356C7B">
      <w:pPr>
        <w:spacing w:before="0" w:after="0" w:line="240" w:lineRule="auto"/>
        <w:rPr>
          <w:lang w:val="pt-BR"/>
        </w:rPr>
      </w:pPr>
    </w:p>
    <w:p w14:paraId="003D2A0F" w14:textId="77777777" w:rsidR="00356C7B" w:rsidRDefault="00356C7B" w:rsidP="002E04DA">
      <w:pPr>
        <w:spacing w:before="0" w:after="120" w:line="240" w:lineRule="auto"/>
        <w:rPr>
          <w:b/>
          <w:lang w:val="pt-BR"/>
        </w:rPr>
      </w:pPr>
      <w:r w:rsidRPr="00715706">
        <w:rPr>
          <w:b/>
          <w:lang w:val="pt-BR"/>
        </w:rPr>
        <w:t>4.2</w:t>
      </w:r>
      <w:r>
        <w:rPr>
          <w:b/>
          <w:lang w:val="pt-BR"/>
        </w:rPr>
        <w:t xml:space="preserve"> Poder explicativo dos múltiplos</w:t>
      </w:r>
    </w:p>
    <w:p w14:paraId="45832BDC" w14:textId="77777777" w:rsidR="001654B6" w:rsidRDefault="00300A66" w:rsidP="00537C44">
      <w:pPr>
        <w:pStyle w:val="SemEspaamento"/>
        <w:rPr>
          <w:rFonts w:eastAsia="Times New Roman" w:cs="Times New Roman"/>
          <w:szCs w:val="24"/>
          <w:lang w:val="pt-BR" w:eastAsia="pt-BR" w:bidi="ar-SA"/>
        </w:rPr>
      </w:pPr>
      <w:r>
        <w:rPr>
          <w:lang w:val="pt-BR"/>
        </w:rPr>
        <w:t>Após o cálculo dos múltiplos e a apresentação da estatística descritiva, procedeu-se ao</w:t>
      </w:r>
      <w:r w:rsidR="001654B6">
        <w:rPr>
          <w:lang w:val="pt-BR"/>
        </w:rPr>
        <w:t xml:space="preserve"> cálculo do </w:t>
      </w:r>
      <w:r w:rsidR="001654B6">
        <w:rPr>
          <w:rFonts w:eastAsia="Times New Roman" w:cs="Times New Roman"/>
          <w:szCs w:val="24"/>
          <w:lang w:val="pt-BR" w:eastAsia="pt-BR" w:bidi="ar-SA"/>
        </w:rPr>
        <w:t>Erro Percentual Absoluto Médio (MAPE)</w:t>
      </w:r>
      <w:r>
        <w:rPr>
          <w:rFonts w:eastAsia="Times New Roman" w:cs="Times New Roman"/>
          <w:szCs w:val="24"/>
          <w:lang w:val="pt-BR" w:eastAsia="pt-BR" w:bidi="ar-SA"/>
        </w:rPr>
        <w:t xml:space="preserve"> para atender ao objetivo principal do estudo de identificar o poder explicativo dos múltiplos</w:t>
      </w:r>
      <w:r w:rsidR="001654B6">
        <w:rPr>
          <w:rFonts w:eastAsia="Times New Roman" w:cs="Times New Roman"/>
          <w:szCs w:val="24"/>
          <w:lang w:val="pt-BR" w:eastAsia="pt-BR" w:bidi="ar-SA"/>
        </w:rPr>
        <w:t>.</w:t>
      </w:r>
      <w:r w:rsidR="005B30AD">
        <w:rPr>
          <w:rFonts w:eastAsia="Times New Roman" w:cs="Times New Roman"/>
          <w:szCs w:val="24"/>
          <w:lang w:val="pt-BR" w:eastAsia="pt-BR" w:bidi="ar-SA"/>
        </w:rPr>
        <w:t xml:space="preserve"> Sabendo o valor médio dos múltiplos dos bancos – que foram considerados como empresas comparáveis –, foi possível realizar as estimativas do preço da ação de cada um dos bancos encontrados na amostra.</w:t>
      </w:r>
      <w:r w:rsidR="001654B6">
        <w:rPr>
          <w:rFonts w:eastAsia="Times New Roman" w:cs="Times New Roman"/>
          <w:szCs w:val="24"/>
          <w:lang w:val="pt-BR" w:eastAsia="pt-BR" w:bidi="ar-SA"/>
        </w:rPr>
        <w:t xml:space="preserve"> </w:t>
      </w:r>
      <w:r w:rsidR="005B30AD">
        <w:rPr>
          <w:rFonts w:eastAsia="Times New Roman" w:cs="Times New Roman"/>
          <w:szCs w:val="24"/>
          <w:lang w:val="pt-BR" w:eastAsia="pt-BR" w:bidi="ar-SA"/>
        </w:rPr>
        <w:t xml:space="preserve">Após a estimação do preço, comparou-se o preço real da ação naquele trimestre com o preço estimado pelo múltiplo. </w:t>
      </w:r>
      <w:r w:rsidR="001654B6">
        <w:rPr>
          <w:rFonts w:eastAsia="Times New Roman" w:cs="Times New Roman"/>
          <w:szCs w:val="24"/>
          <w:lang w:val="pt-BR" w:eastAsia="pt-BR" w:bidi="ar-SA"/>
        </w:rPr>
        <w:t xml:space="preserve">Os valores encontrados </w:t>
      </w:r>
      <w:r w:rsidR="005B30AD">
        <w:rPr>
          <w:rFonts w:eastAsia="Times New Roman" w:cs="Times New Roman"/>
          <w:szCs w:val="24"/>
          <w:lang w:val="pt-BR" w:eastAsia="pt-BR" w:bidi="ar-SA"/>
        </w:rPr>
        <w:t xml:space="preserve">para o MAPE de cada um dos múltiplos </w:t>
      </w:r>
      <w:r w:rsidR="001654B6">
        <w:rPr>
          <w:rFonts w:eastAsia="Times New Roman" w:cs="Times New Roman"/>
          <w:szCs w:val="24"/>
          <w:lang w:val="pt-BR" w:eastAsia="pt-BR" w:bidi="ar-SA"/>
        </w:rPr>
        <w:t xml:space="preserve">são apresentados na </w:t>
      </w:r>
      <w:r w:rsidR="00764594">
        <w:rPr>
          <w:rFonts w:eastAsia="Times New Roman" w:cs="Times New Roman"/>
          <w:szCs w:val="24"/>
          <w:lang w:val="pt-BR" w:eastAsia="pt-BR" w:bidi="ar-SA"/>
        </w:rPr>
        <w:t>Tabela 2.</w:t>
      </w:r>
      <w:r w:rsidR="001654B6">
        <w:rPr>
          <w:rFonts w:eastAsia="Times New Roman" w:cs="Times New Roman"/>
          <w:szCs w:val="24"/>
          <w:lang w:val="pt-BR" w:eastAsia="pt-BR" w:bidi="ar-SA"/>
        </w:rPr>
        <w:t xml:space="preserve"> </w:t>
      </w:r>
    </w:p>
    <w:p w14:paraId="5436696B" w14:textId="77777777" w:rsidR="001654B6" w:rsidRDefault="001654B6" w:rsidP="00537C44">
      <w:pPr>
        <w:pStyle w:val="SemEspaamento"/>
        <w:rPr>
          <w:rFonts w:eastAsia="Times New Roman" w:cs="Times New Roman"/>
          <w:szCs w:val="24"/>
          <w:lang w:val="pt-BR" w:eastAsia="pt-BR" w:bidi="ar-SA"/>
        </w:rPr>
      </w:pPr>
    </w:p>
    <w:p w14:paraId="61836ADD" w14:textId="0F86E90C" w:rsidR="00764594" w:rsidRPr="00E1688C" w:rsidRDefault="00764594" w:rsidP="00E51A9A">
      <w:pPr>
        <w:pStyle w:val="SemEspaamento"/>
        <w:ind w:firstLine="0"/>
        <w:jc w:val="center"/>
        <w:rPr>
          <w:sz w:val="20"/>
          <w:lang w:val="pt-BR"/>
        </w:rPr>
      </w:pPr>
      <w:r w:rsidRPr="00E1688C">
        <w:rPr>
          <w:sz w:val="20"/>
          <w:lang w:val="pt-BR"/>
        </w:rPr>
        <w:t>Tabela 2</w:t>
      </w:r>
      <w:r w:rsidR="00E51A9A">
        <w:rPr>
          <w:sz w:val="20"/>
          <w:lang w:val="pt-BR"/>
        </w:rPr>
        <w:t xml:space="preserve">. </w:t>
      </w:r>
      <w:r w:rsidRPr="00E1688C">
        <w:rPr>
          <w:sz w:val="20"/>
          <w:lang w:val="pt-BR"/>
        </w:rPr>
        <w:t>Resultado do cálculo do Erro Percentual Absoluto Médio (MAPE).</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1654B6" w14:paraId="3797778C" w14:textId="77777777" w:rsidTr="00764594">
        <w:tc>
          <w:tcPr>
            <w:tcW w:w="2500" w:type="pct"/>
            <w:tcBorders>
              <w:top w:val="single" w:sz="4" w:space="0" w:color="auto"/>
              <w:bottom w:val="single" w:sz="4" w:space="0" w:color="auto"/>
            </w:tcBorders>
          </w:tcPr>
          <w:p w14:paraId="09A77E8C" w14:textId="77777777" w:rsidR="001654B6" w:rsidRDefault="001654B6" w:rsidP="00764594">
            <w:pPr>
              <w:pStyle w:val="SemEspaamento"/>
              <w:ind w:firstLine="0"/>
              <w:jc w:val="center"/>
              <w:rPr>
                <w:lang w:val="pt-BR"/>
              </w:rPr>
            </w:pPr>
            <w:r>
              <w:rPr>
                <w:lang w:val="pt-BR"/>
              </w:rPr>
              <w:t>Múltiplo</w:t>
            </w:r>
          </w:p>
        </w:tc>
        <w:tc>
          <w:tcPr>
            <w:tcW w:w="2500" w:type="pct"/>
            <w:tcBorders>
              <w:top w:val="single" w:sz="4" w:space="0" w:color="auto"/>
              <w:bottom w:val="single" w:sz="4" w:space="0" w:color="auto"/>
            </w:tcBorders>
          </w:tcPr>
          <w:p w14:paraId="79AE87AA" w14:textId="77777777" w:rsidR="001654B6" w:rsidRDefault="001654B6" w:rsidP="00764594">
            <w:pPr>
              <w:pStyle w:val="SemEspaamento"/>
              <w:ind w:firstLine="0"/>
              <w:jc w:val="center"/>
              <w:rPr>
                <w:lang w:val="pt-BR"/>
              </w:rPr>
            </w:pPr>
            <w:r>
              <w:rPr>
                <w:lang w:val="pt-BR"/>
              </w:rPr>
              <w:t>MAPE</w:t>
            </w:r>
          </w:p>
        </w:tc>
      </w:tr>
      <w:tr w:rsidR="001654B6" w14:paraId="1C68F01D" w14:textId="77777777" w:rsidTr="00764594">
        <w:tc>
          <w:tcPr>
            <w:tcW w:w="2500" w:type="pct"/>
            <w:tcBorders>
              <w:top w:val="single" w:sz="4" w:space="0" w:color="auto"/>
            </w:tcBorders>
          </w:tcPr>
          <w:p w14:paraId="48D21A30" w14:textId="77777777" w:rsidR="001654B6" w:rsidRDefault="001654B6" w:rsidP="00764594">
            <w:pPr>
              <w:pStyle w:val="SemEspaamento"/>
              <w:ind w:firstLine="0"/>
              <w:jc w:val="center"/>
              <w:rPr>
                <w:lang w:val="pt-BR"/>
              </w:rPr>
            </w:pPr>
            <w:r>
              <w:rPr>
                <w:lang w:val="pt-BR"/>
              </w:rPr>
              <w:t>P/L</w:t>
            </w:r>
          </w:p>
        </w:tc>
        <w:tc>
          <w:tcPr>
            <w:tcW w:w="2500" w:type="pct"/>
            <w:tcBorders>
              <w:top w:val="single" w:sz="4" w:space="0" w:color="auto"/>
            </w:tcBorders>
          </w:tcPr>
          <w:p w14:paraId="3F438598" w14:textId="77777777" w:rsidR="001654B6" w:rsidRDefault="001654B6" w:rsidP="00764594">
            <w:pPr>
              <w:pStyle w:val="SemEspaamento"/>
              <w:ind w:firstLine="0"/>
              <w:jc w:val="center"/>
              <w:rPr>
                <w:lang w:val="pt-BR"/>
              </w:rPr>
            </w:pPr>
            <w:r>
              <w:rPr>
                <w:lang w:val="pt-BR"/>
              </w:rPr>
              <w:t>0,43</w:t>
            </w:r>
          </w:p>
        </w:tc>
      </w:tr>
      <w:tr w:rsidR="001654B6" w14:paraId="41F2889F" w14:textId="77777777" w:rsidTr="00764594">
        <w:tc>
          <w:tcPr>
            <w:tcW w:w="2500" w:type="pct"/>
          </w:tcPr>
          <w:p w14:paraId="00D03E7D" w14:textId="77777777" w:rsidR="001654B6" w:rsidRDefault="001654B6" w:rsidP="00764594">
            <w:pPr>
              <w:pStyle w:val="SemEspaamento"/>
              <w:ind w:firstLine="0"/>
              <w:jc w:val="center"/>
              <w:rPr>
                <w:lang w:val="pt-BR"/>
              </w:rPr>
            </w:pPr>
            <w:r>
              <w:rPr>
                <w:lang w:val="pt-BR"/>
              </w:rPr>
              <w:t>P/B</w:t>
            </w:r>
          </w:p>
        </w:tc>
        <w:tc>
          <w:tcPr>
            <w:tcW w:w="2500" w:type="pct"/>
          </w:tcPr>
          <w:p w14:paraId="4FF9EC7E" w14:textId="77777777" w:rsidR="001654B6" w:rsidRDefault="001654B6" w:rsidP="00764594">
            <w:pPr>
              <w:pStyle w:val="SemEspaamento"/>
              <w:ind w:firstLine="0"/>
              <w:jc w:val="center"/>
              <w:rPr>
                <w:lang w:val="pt-BR"/>
              </w:rPr>
            </w:pPr>
            <w:r>
              <w:rPr>
                <w:lang w:val="pt-BR"/>
              </w:rPr>
              <w:t>1,01</w:t>
            </w:r>
          </w:p>
        </w:tc>
      </w:tr>
      <w:tr w:rsidR="001654B6" w14:paraId="5483A0F7" w14:textId="77777777" w:rsidTr="00764594">
        <w:tc>
          <w:tcPr>
            <w:tcW w:w="2500" w:type="pct"/>
            <w:tcBorders>
              <w:bottom w:val="single" w:sz="4" w:space="0" w:color="auto"/>
            </w:tcBorders>
          </w:tcPr>
          <w:p w14:paraId="107021D1" w14:textId="77777777" w:rsidR="001654B6" w:rsidRDefault="001654B6" w:rsidP="00764594">
            <w:pPr>
              <w:pStyle w:val="SemEspaamento"/>
              <w:ind w:firstLine="0"/>
              <w:jc w:val="center"/>
              <w:rPr>
                <w:lang w:val="pt-BR"/>
              </w:rPr>
            </w:pPr>
            <w:r>
              <w:rPr>
                <w:lang w:val="pt-BR"/>
              </w:rPr>
              <w:t>P/LO</w:t>
            </w:r>
          </w:p>
        </w:tc>
        <w:tc>
          <w:tcPr>
            <w:tcW w:w="2500" w:type="pct"/>
            <w:tcBorders>
              <w:bottom w:val="single" w:sz="4" w:space="0" w:color="auto"/>
            </w:tcBorders>
          </w:tcPr>
          <w:p w14:paraId="38CE118A" w14:textId="77777777" w:rsidR="001654B6" w:rsidRDefault="001654B6" w:rsidP="00764594">
            <w:pPr>
              <w:pStyle w:val="SemEspaamento"/>
              <w:ind w:firstLine="0"/>
              <w:jc w:val="center"/>
              <w:rPr>
                <w:lang w:val="pt-BR"/>
              </w:rPr>
            </w:pPr>
            <w:r>
              <w:rPr>
                <w:lang w:val="pt-BR"/>
              </w:rPr>
              <w:t>0,63</w:t>
            </w:r>
          </w:p>
        </w:tc>
      </w:tr>
    </w:tbl>
    <w:p w14:paraId="58C308A8" w14:textId="77777777" w:rsidR="001654B6" w:rsidRPr="001654B6" w:rsidRDefault="001654B6" w:rsidP="00E51A9A">
      <w:pPr>
        <w:pStyle w:val="SemEspaamento"/>
        <w:ind w:firstLine="0"/>
        <w:jc w:val="center"/>
        <w:rPr>
          <w:sz w:val="20"/>
          <w:lang w:val="pt-BR"/>
        </w:rPr>
      </w:pPr>
      <w:r w:rsidRPr="001654B6">
        <w:rPr>
          <w:sz w:val="20"/>
          <w:lang w:val="pt-BR"/>
        </w:rPr>
        <w:t>Fonte: Dados da pesquisa.</w:t>
      </w:r>
    </w:p>
    <w:p w14:paraId="4D300892" w14:textId="77777777" w:rsidR="001654B6" w:rsidRDefault="001654B6" w:rsidP="001654B6">
      <w:pPr>
        <w:pStyle w:val="SemEspaamento"/>
        <w:rPr>
          <w:lang w:val="pt-BR"/>
        </w:rPr>
      </w:pPr>
    </w:p>
    <w:p w14:paraId="46C5A653" w14:textId="77777777" w:rsidR="00B42D52" w:rsidRDefault="00356C7B" w:rsidP="001654B6">
      <w:pPr>
        <w:pStyle w:val="SemEspaamento"/>
        <w:rPr>
          <w:lang w:val="pt-BR"/>
        </w:rPr>
      </w:pPr>
      <w:r>
        <w:rPr>
          <w:lang w:val="pt-BR"/>
        </w:rPr>
        <w:t>O</w:t>
      </w:r>
      <w:r w:rsidR="005B30AD">
        <w:rPr>
          <w:lang w:val="pt-BR"/>
        </w:rPr>
        <w:t>bservou-se que o</w:t>
      </w:r>
      <w:r>
        <w:rPr>
          <w:lang w:val="pt-BR"/>
        </w:rPr>
        <w:t xml:space="preserve"> P/L </w:t>
      </w:r>
      <w:r w:rsidR="005B30AD">
        <w:rPr>
          <w:lang w:val="pt-BR"/>
        </w:rPr>
        <w:t xml:space="preserve">foi o </w:t>
      </w:r>
      <w:r>
        <w:rPr>
          <w:lang w:val="pt-BR"/>
        </w:rPr>
        <w:t>que</w:t>
      </w:r>
      <w:r w:rsidR="005B30AD">
        <w:rPr>
          <w:lang w:val="pt-BR"/>
        </w:rPr>
        <w:t xml:space="preserve"> obteve menor MAPE, ou seja, foi o múltiplo que atingiu o menor erro nas estimativas. Logo, o P/L</w:t>
      </w:r>
      <w:r>
        <w:rPr>
          <w:lang w:val="pt-BR"/>
        </w:rPr>
        <w:t xml:space="preserve"> </w:t>
      </w:r>
      <w:r w:rsidR="005B30AD">
        <w:rPr>
          <w:lang w:val="pt-BR"/>
        </w:rPr>
        <w:t xml:space="preserve">foi o múltiplo em que as estimativas realizadas foram as mais próximas do valor real das ações </w:t>
      </w:r>
      <w:r>
        <w:rPr>
          <w:lang w:val="pt-BR"/>
        </w:rPr>
        <w:t>dos bancos. Em seguida, o P/LO</w:t>
      </w:r>
      <w:r w:rsidR="005B30AD">
        <w:rPr>
          <w:lang w:val="pt-BR"/>
        </w:rPr>
        <w:t>, que ficou com o MAPE de 0,63</w:t>
      </w:r>
      <w:r>
        <w:rPr>
          <w:lang w:val="pt-BR"/>
        </w:rPr>
        <w:t xml:space="preserve"> e, em último, o P/B</w:t>
      </w:r>
      <w:r w:rsidR="005B30AD">
        <w:rPr>
          <w:lang w:val="pt-BR"/>
        </w:rPr>
        <w:t xml:space="preserve"> com 1,01</w:t>
      </w:r>
      <w:r>
        <w:rPr>
          <w:lang w:val="pt-BR"/>
        </w:rPr>
        <w:t xml:space="preserve">. Dessa forma, </w:t>
      </w:r>
      <w:r w:rsidR="005B30AD">
        <w:rPr>
          <w:lang w:val="pt-BR"/>
        </w:rPr>
        <w:t xml:space="preserve">o P/B foi quem gerou as piores estimativas entre os múltiplos analisados, mostrando que, no caso dos bancos, a comparação entre valor de mercado e patrimonial da ação pode ser útil </w:t>
      </w:r>
      <w:r w:rsidR="00B42D52">
        <w:rPr>
          <w:lang w:val="pt-BR"/>
        </w:rPr>
        <w:t>para verificar se a ação encontra-se sub ou superprecificada, entretanto, para previsão de valor futuro da ação essa técnica não é tão eficaz, sendo preferível a utilização do P/L ou P/LO.</w:t>
      </w:r>
    </w:p>
    <w:p w14:paraId="278A9D77" w14:textId="434A1DE7" w:rsidR="00356C7B" w:rsidRDefault="00B42D52" w:rsidP="00B42D52">
      <w:pPr>
        <w:pStyle w:val="SemEspaamento"/>
        <w:rPr>
          <w:lang w:val="pt-BR"/>
        </w:rPr>
      </w:pPr>
      <w:r>
        <w:rPr>
          <w:lang w:val="pt-BR"/>
        </w:rPr>
        <w:t xml:space="preserve">Como esperado, o fato </w:t>
      </w:r>
      <w:r w:rsidR="0045792E">
        <w:rPr>
          <w:lang w:val="pt-BR"/>
        </w:rPr>
        <w:t>de os</w:t>
      </w:r>
      <w:r>
        <w:rPr>
          <w:lang w:val="pt-BR"/>
        </w:rPr>
        <w:t xml:space="preserve"> bancos serem firmas com baixo ativo tangível e com altos ativos de boa liquidez, o P/B não seria um bom estimador, visto que ele é mais indicado para empresas que apresentam alta taxa de ativos tangíveis e considerável valor de depreciação. Assim, </w:t>
      </w:r>
      <w:r w:rsidR="00356C7B">
        <w:rPr>
          <w:lang w:val="pt-BR"/>
        </w:rPr>
        <w:t>as hipóteses</w:t>
      </w:r>
      <w:r>
        <w:rPr>
          <w:lang w:val="pt-BR"/>
        </w:rPr>
        <w:t xml:space="preserve"> da pesquisa</w:t>
      </w:r>
      <w:r w:rsidR="00356C7B">
        <w:rPr>
          <w:lang w:val="pt-BR"/>
        </w:rPr>
        <w:t xml:space="preserve"> H1</w:t>
      </w:r>
      <w:r>
        <w:rPr>
          <w:lang w:val="pt-BR"/>
        </w:rPr>
        <w:t>:</w:t>
      </w:r>
      <w:r w:rsidRPr="00E22CE5">
        <w:rPr>
          <w:lang w:val="pt-BR"/>
        </w:rPr>
        <w:t xml:space="preserve"> o múltiplo preço/lucro (P/L) oferece melhor precisão para precificar os bancos do que o múltiplo preço/valor contábil (P/B)</w:t>
      </w:r>
      <w:r>
        <w:rPr>
          <w:lang w:val="pt-BR"/>
        </w:rPr>
        <w:t xml:space="preserve"> e H2: o múltiplo preço/lucro operacional (P/LO) oferece melhor precisão para precificar os bancos do que o múltiplo preço/valor contábil (P/B)</w:t>
      </w:r>
      <w:r w:rsidR="00356C7B">
        <w:rPr>
          <w:lang w:val="pt-BR"/>
        </w:rPr>
        <w:t xml:space="preserve"> foram confirmadas</w:t>
      </w:r>
      <w:r w:rsidR="00161701">
        <w:rPr>
          <w:lang w:val="pt-BR"/>
        </w:rPr>
        <w:t xml:space="preserve">. O estudo de Saliba (2008), que abordou empresas de diferentes setores, encontrou resultados contrários a este estudo, já que no trabalho citado o melhor múltiplo </w:t>
      </w:r>
      <w:r w:rsidR="00BD201E">
        <w:rPr>
          <w:lang w:val="pt-BR"/>
        </w:rPr>
        <w:t xml:space="preserve">fundamentalista </w:t>
      </w:r>
      <w:r w:rsidR="00161701">
        <w:rPr>
          <w:lang w:val="pt-BR"/>
        </w:rPr>
        <w:t xml:space="preserve">foi o P/B. </w:t>
      </w:r>
      <w:r w:rsidR="00173378">
        <w:rPr>
          <w:rFonts w:cs="Times New Roman"/>
          <w:color w:val="222222"/>
          <w:szCs w:val="24"/>
          <w:shd w:val="clear" w:color="auto" w:fill="FFFFFF"/>
          <w:lang w:val="pt-BR"/>
        </w:rPr>
        <w:t xml:space="preserve">Entretanto, os resultados vão ao encontro de </w:t>
      </w:r>
      <w:proofErr w:type="spellStart"/>
      <w:r w:rsidR="00173378" w:rsidRPr="004E62ED">
        <w:rPr>
          <w:rFonts w:cs="Times New Roman"/>
          <w:color w:val="222222"/>
          <w:szCs w:val="24"/>
          <w:shd w:val="clear" w:color="auto" w:fill="FFFFFF"/>
          <w:lang w:val="pt-BR"/>
        </w:rPr>
        <w:t>Sehgal</w:t>
      </w:r>
      <w:proofErr w:type="spellEnd"/>
      <w:r w:rsidR="00173378">
        <w:rPr>
          <w:rFonts w:cs="Times New Roman"/>
          <w:color w:val="222222"/>
          <w:szCs w:val="24"/>
          <w:shd w:val="clear" w:color="auto" w:fill="FFFFFF"/>
          <w:lang w:val="pt-BR"/>
        </w:rPr>
        <w:t xml:space="preserve"> e</w:t>
      </w:r>
      <w:r w:rsidR="00173378" w:rsidRPr="004E62ED">
        <w:rPr>
          <w:rFonts w:cs="Times New Roman"/>
          <w:color w:val="222222"/>
          <w:szCs w:val="24"/>
          <w:shd w:val="clear" w:color="auto" w:fill="FFFFFF"/>
          <w:lang w:val="pt-BR"/>
        </w:rPr>
        <w:t xml:space="preserve"> </w:t>
      </w:r>
      <w:proofErr w:type="spellStart"/>
      <w:r w:rsidR="00173378" w:rsidRPr="004E62ED">
        <w:rPr>
          <w:rFonts w:cs="Times New Roman"/>
          <w:color w:val="222222"/>
          <w:szCs w:val="24"/>
          <w:shd w:val="clear" w:color="auto" w:fill="FFFFFF"/>
          <w:lang w:val="pt-BR"/>
        </w:rPr>
        <w:t>Pandey</w:t>
      </w:r>
      <w:proofErr w:type="spellEnd"/>
      <w:r w:rsidR="00173378" w:rsidRPr="004E62ED">
        <w:rPr>
          <w:rFonts w:cs="Times New Roman"/>
          <w:color w:val="222222"/>
          <w:szCs w:val="24"/>
          <w:shd w:val="clear" w:color="auto" w:fill="FFFFFF"/>
          <w:lang w:val="pt-BR"/>
        </w:rPr>
        <w:t xml:space="preserve"> (2010</w:t>
      </w:r>
      <w:r w:rsidR="00173378">
        <w:rPr>
          <w:rFonts w:cs="Times New Roman"/>
          <w:color w:val="222222"/>
          <w:szCs w:val="24"/>
          <w:shd w:val="clear" w:color="auto" w:fill="FFFFFF"/>
          <w:lang w:val="pt-BR"/>
        </w:rPr>
        <w:t xml:space="preserve">), que ao analisar os países do BRICKS, encontrou que o múltiplo P/L é o mais adequado para o mercado brasileiro. </w:t>
      </w:r>
    </w:p>
    <w:p w14:paraId="0BC79382" w14:textId="77777777" w:rsidR="00356C7B" w:rsidRDefault="00356C7B" w:rsidP="00B42D52">
      <w:pPr>
        <w:pStyle w:val="SemEspaamento"/>
        <w:rPr>
          <w:lang w:val="pt-BR"/>
        </w:rPr>
      </w:pPr>
    </w:p>
    <w:p w14:paraId="02729B53" w14:textId="1D0EF334" w:rsidR="00356C7B" w:rsidRPr="00715706" w:rsidRDefault="00356C7B" w:rsidP="002E04DA">
      <w:pPr>
        <w:spacing w:before="0" w:after="120" w:line="240" w:lineRule="auto"/>
        <w:rPr>
          <w:b/>
          <w:lang w:val="pt-BR"/>
        </w:rPr>
      </w:pPr>
      <w:r w:rsidRPr="00715706">
        <w:rPr>
          <w:b/>
          <w:lang w:val="pt-BR"/>
        </w:rPr>
        <w:t>4.</w:t>
      </w:r>
      <w:r>
        <w:rPr>
          <w:b/>
          <w:lang w:val="pt-BR"/>
        </w:rPr>
        <w:t>3</w:t>
      </w:r>
      <w:r w:rsidRPr="00715706">
        <w:rPr>
          <w:b/>
          <w:lang w:val="pt-BR"/>
        </w:rPr>
        <w:t xml:space="preserve"> Modelo empírico para determinantes dos múltiplos</w:t>
      </w:r>
      <w:r w:rsidR="00C71E60">
        <w:rPr>
          <w:b/>
          <w:lang w:val="pt-BR"/>
        </w:rPr>
        <w:t xml:space="preserve"> fundamentalistas</w:t>
      </w:r>
    </w:p>
    <w:p w14:paraId="01BD825E" w14:textId="77777777" w:rsidR="0045792E" w:rsidRDefault="0045792E" w:rsidP="0045792E">
      <w:pPr>
        <w:pStyle w:val="SemEspaamento"/>
        <w:rPr>
          <w:lang w:val="pt-BR"/>
        </w:rPr>
      </w:pPr>
      <w:r w:rsidRPr="0045792E">
        <w:rPr>
          <w:lang w:val="pt-BR"/>
        </w:rPr>
        <w:t xml:space="preserve">Para alcançar </w:t>
      </w:r>
      <w:r>
        <w:rPr>
          <w:lang w:val="pt-BR"/>
        </w:rPr>
        <w:t xml:space="preserve">o objetivo adicional de identificar os fatores que influenciam o valor dos múltiplos, passou-se para a realização da regressão múltipla com dados em painel. </w:t>
      </w:r>
      <w:r w:rsidR="005F7EC1">
        <w:rPr>
          <w:lang w:val="pt-BR"/>
        </w:rPr>
        <w:t xml:space="preserve"> Inicialmente, foram realizados os testes para verificar a adequabilidade do modelo. Constatou-se que em nenhum dos três modelos os resíduos têm distribuição normal, mas, por apresentar uma amostra suficientemente grande, adotou-se o teorema do limite central, e a interpretação dos modelos pode ser realizada. No caso do modelo que teve como variável explicada o P/B, </w:t>
      </w:r>
      <w:r w:rsidR="009A103C">
        <w:rPr>
          <w:lang w:val="pt-BR"/>
        </w:rPr>
        <w:t xml:space="preserve">o teste de forma funcional apontou que a forma funcional não era a adequada ou que havia variáveis relevantes omitidas. Mas, da mesma forma que a normalidade dos resíduos, esse caso </w:t>
      </w:r>
      <w:r w:rsidR="009A103C">
        <w:rPr>
          <w:lang w:val="pt-BR"/>
        </w:rPr>
        <w:lastRenderedPageBreak/>
        <w:t xml:space="preserve">é aceitável de interpretação dos coeficientes devido não ser possível abordar todas as variáveis que impactam o valor do P/B em um modelo. </w:t>
      </w:r>
    </w:p>
    <w:p w14:paraId="5E3F0101" w14:textId="77777777" w:rsidR="009A103C" w:rsidRDefault="009A103C" w:rsidP="0045792E">
      <w:pPr>
        <w:pStyle w:val="SemEspaamento"/>
        <w:rPr>
          <w:lang w:val="pt-BR"/>
        </w:rPr>
      </w:pPr>
      <w:r>
        <w:rPr>
          <w:lang w:val="pt-BR"/>
        </w:rPr>
        <w:t xml:space="preserve">Em seguida, foram realizados os testes para averiguar qual a melhor técnica de estimativa era a mais adequada para cada um dos três modelos: </w:t>
      </w:r>
      <w:proofErr w:type="spellStart"/>
      <w:r w:rsidRPr="009A103C">
        <w:rPr>
          <w:i/>
          <w:lang w:val="pt-BR"/>
        </w:rPr>
        <w:t>pooled</w:t>
      </w:r>
      <w:proofErr w:type="spellEnd"/>
      <w:r>
        <w:rPr>
          <w:lang w:val="pt-BR"/>
        </w:rPr>
        <w:t xml:space="preserve">, efeitos fixos ou efeitos aleatórios. Para os modelos de P/L e P/B os efeitos aleatórios mostraram-se mais adequados, enquanto que para o P/LO, o melhor modelo foi o de efeitos fixos. </w:t>
      </w:r>
    </w:p>
    <w:p w14:paraId="4E649878" w14:textId="77777777" w:rsidR="009A103C" w:rsidRDefault="009A103C" w:rsidP="0045792E">
      <w:pPr>
        <w:pStyle w:val="SemEspaamento"/>
        <w:rPr>
          <w:lang w:val="pt-BR"/>
        </w:rPr>
      </w:pPr>
      <w:r>
        <w:rPr>
          <w:lang w:val="pt-BR"/>
        </w:rPr>
        <w:t xml:space="preserve">Sobre a existência de </w:t>
      </w:r>
      <w:proofErr w:type="spellStart"/>
      <w:r>
        <w:rPr>
          <w:lang w:val="pt-BR"/>
        </w:rPr>
        <w:t>autocorrelação</w:t>
      </w:r>
      <w:proofErr w:type="spellEnd"/>
      <w:r>
        <w:rPr>
          <w:lang w:val="pt-BR"/>
        </w:rPr>
        <w:t xml:space="preserve"> e </w:t>
      </w:r>
      <w:proofErr w:type="spellStart"/>
      <w:r>
        <w:rPr>
          <w:lang w:val="pt-BR"/>
        </w:rPr>
        <w:t>heterocedasticidade</w:t>
      </w:r>
      <w:proofErr w:type="spellEnd"/>
      <w:r>
        <w:rPr>
          <w:lang w:val="pt-BR"/>
        </w:rPr>
        <w:t xml:space="preserve"> dos resíduos, constatou-se a existência dos dois problemas nos modelos de P/B e P/LO. Já o modelo de P/L existe apenas a </w:t>
      </w:r>
      <w:proofErr w:type="spellStart"/>
      <w:r>
        <w:rPr>
          <w:lang w:val="pt-BR"/>
        </w:rPr>
        <w:t>autocorrelação</w:t>
      </w:r>
      <w:proofErr w:type="spellEnd"/>
      <w:r>
        <w:rPr>
          <w:lang w:val="pt-BR"/>
        </w:rPr>
        <w:t xml:space="preserve"> dos resíduos. </w:t>
      </w:r>
      <w:r w:rsidR="00D56B24">
        <w:rPr>
          <w:lang w:val="pt-BR"/>
        </w:rPr>
        <w:t xml:space="preserve"> Assim, os modelos foram estimados considerando a existência desses problemas e os resultados encontrados são mostrados na Tabela 3. </w:t>
      </w:r>
    </w:p>
    <w:p w14:paraId="4244AB72" w14:textId="77777777" w:rsidR="00F95C0F" w:rsidRDefault="00F95C0F" w:rsidP="00F95C0F">
      <w:pPr>
        <w:pStyle w:val="SemEspaamento"/>
        <w:rPr>
          <w:lang w:val="pt-BR"/>
        </w:rPr>
      </w:pPr>
      <w:r>
        <w:rPr>
          <w:lang w:val="pt-BR"/>
        </w:rPr>
        <w:t>Para o modelo de P/L, as variáveis que se mostraram significativas estatisticamente foram o risco do negócio e o controle de propriedade, a 10% e 1% de significância, respectivamente. As duas variáveis encontraram coeficientes positivos, ou seja, quanto maior o risco, maior o P/L e bancos com controle privado tem maiores P/L do que bancos estatais. Esses resultados contrariam os achados de Serra e Fávero (2016) e Serra e Saito (2016), que encontraram relação negativa entre o beta (representando risco) e o múltiplo fundamentalista. Entretanto, nos trabalhos citados, foi analisado apenas o P/B.</w:t>
      </w:r>
    </w:p>
    <w:p w14:paraId="740C89F0" w14:textId="42C36195" w:rsidR="00F95C0F" w:rsidRDefault="00F95C0F" w:rsidP="00F95C0F">
      <w:pPr>
        <w:pStyle w:val="SemEspaamento"/>
        <w:rPr>
          <w:lang w:val="pt-BR"/>
        </w:rPr>
      </w:pPr>
      <w:r>
        <w:rPr>
          <w:lang w:val="pt-BR"/>
        </w:rPr>
        <w:t xml:space="preserve">Por outro lado, o modelo de P/B encontrou significância para o ROE do período anterior a 10% e para o tamanho da firma e o controle de propriedade a 1% de significância. Ao contrário do achado para o P/L, o controle de propriedade obteve coeficiente negativo para o P/B, mostrando assim que, para essa amostra, bancos estatais tem maior P/B que bancos com controle privado. Já o tamanho da firma e o retorno sobre o patrimônio encontraram betas positivos, assim, a tendência é que bancos com maior ROE e de maior porte tenham maior P/B. </w:t>
      </w:r>
      <w:r>
        <w:rPr>
          <w:rFonts w:eastAsiaTheme="minorHAnsi" w:cs="Times New Roman"/>
          <w:szCs w:val="24"/>
          <w:lang w:val="pt-BR" w:bidi="ar-SA"/>
        </w:rPr>
        <w:t>A relação positiva entre o tamanho da firma e o P/B pode indicar que as empresas maiores tenham mais facilidade em obter e manter vantagens competitivas (SERRA; SAITO, 2016).</w:t>
      </w:r>
      <w:r w:rsidRPr="00161701">
        <w:rPr>
          <w:rFonts w:eastAsiaTheme="minorHAnsi"/>
          <w:lang w:val="pt-BR" w:bidi="ar-SA"/>
        </w:rPr>
        <w:t xml:space="preserve"> </w:t>
      </w:r>
      <w:r>
        <w:rPr>
          <w:rFonts w:eastAsiaTheme="minorHAnsi"/>
          <w:lang w:val="pt-BR" w:bidi="ar-SA"/>
        </w:rPr>
        <w:t xml:space="preserve">Os estudos de Serra e Fávero (2016) e Serra e Saito (2016) também encontraram relação positiva entre o P/B e o ROE e o tamanho da firma. Entretanto, os autores obtiveram significância para o crescimento da firma, o que não foi constatado neste estudo. </w:t>
      </w:r>
    </w:p>
    <w:p w14:paraId="2014A397" w14:textId="77777777" w:rsidR="00F95C0F" w:rsidRDefault="00F95C0F" w:rsidP="00F95C0F">
      <w:pPr>
        <w:pStyle w:val="SemEspaamento"/>
        <w:rPr>
          <w:lang w:val="pt-BR"/>
        </w:rPr>
      </w:pPr>
      <w:r>
        <w:rPr>
          <w:lang w:val="pt-BR"/>
        </w:rPr>
        <w:t>Já para o modelo de P/LO, apenas o controle de propriedade mostrou-se estatisticamente significante com coeficiente positivo, indo ao encontro do resultado encontrado para o P/L.</w:t>
      </w:r>
    </w:p>
    <w:p w14:paraId="43B1651B" w14:textId="77777777" w:rsidR="00F95C0F" w:rsidRDefault="00F95C0F" w:rsidP="00F95C0F">
      <w:pPr>
        <w:pStyle w:val="SemEspaamento"/>
        <w:rPr>
          <w:lang w:val="pt-BR"/>
        </w:rPr>
      </w:pPr>
      <w:r>
        <w:rPr>
          <w:lang w:val="pt-BR"/>
        </w:rPr>
        <w:t xml:space="preserve">Comparando os sinais esperados para os betas com os sinais encontrados, apenas o controle de propriedade no modelo de P/B contrariou os sinais esperados. Os demais achados confirmaram as relações indicadas pela literatura. </w:t>
      </w:r>
    </w:p>
    <w:p w14:paraId="32165E53" w14:textId="454D4916" w:rsidR="00F95C0F" w:rsidRPr="0045792E" w:rsidRDefault="00F95C0F" w:rsidP="00F95C0F">
      <w:pPr>
        <w:pStyle w:val="SemEspaamento"/>
        <w:ind w:firstLine="0"/>
        <w:rPr>
          <w:lang w:val="pt-BR"/>
        </w:rPr>
        <w:sectPr w:rsidR="00F95C0F" w:rsidRPr="0045792E" w:rsidSect="00A4404E">
          <w:headerReference w:type="default" r:id="rId7"/>
          <w:footerReference w:type="default" r:id="rId8"/>
          <w:pgSz w:w="11906" w:h="16838"/>
          <w:pgMar w:top="1701" w:right="1134" w:bottom="1134" w:left="1701" w:header="709" w:footer="709" w:gutter="0"/>
          <w:cols w:space="708"/>
          <w:docGrid w:linePitch="360"/>
        </w:sectPr>
      </w:pPr>
    </w:p>
    <w:p w14:paraId="293A6278" w14:textId="745440E7" w:rsidR="00356C7B" w:rsidRPr="00E1688C" w:rsidRDefault="00356C7B" w:rsidP="00E51A9A">
      <w:pPr>
        <w:widowControl w:val="0"/>
        <w:spacing w:before="0" w:after="0" w:line="240" w:lineRule="auto"/>
        <w:jc w:val="center"/>
        <w:rPr>
          <w:sz w:val="20"/>
          <w:szCs w:val="20"/>
          <w:lang w:val="pt-BR"/>
        </w:rPr>
      </w:pPr>
      <w:r w:rsidRPr="00E1688C">
        <w:rPr>
          <w:sz w:val="20"/>
          <w:szCs w:val="20"/>
          <w:lang w:val="pt-BR"/>
        </w:rPr>
        <w:lastRenderedPageBreak/>
        <w:t>Tabela 3</w:t>
      </w:r>
      <w:r w:rsidR="00E51A9A">
        <w:rPr>
          <w:sz w:val="20"/>
          <w:szCs w:val="20"/>
          <w:lang w:val="pt-BR"/>
        </w:rPr>
        <w:t xml:space="preserve">. </w:t>
      </w:r>
      <w:r w:rsidRPr="00E1688C">
        <w:rPr>
          <w:sz w:val="20"/>
          <w:szCs w:val="20"/>
          <w:lang w:val="pt-BR"/>
        </w:rPr>
        <w:t xml:space="preserve">Resultados dos modelos de Regressão </w:t>
      </w:r>
      <w:r w:rsidR="005F7EC1" w:rsidRPr="00E1688C">
        <w:rPr>
          <w:sz w:val="20"/>
          <w:szCs w:val="20"/>
          <w:lang w:val="pt-BR"/>
        </w:rPr>
        <w:t>com</w:t>
      </w:r>
      <w:r w:rsidRPr="00E1688C">
        <w:rPr>
          <w:sz w:val="20"/>
          <w:szCs w:val="20"/>
          <w:lang w:val="pt-BR"/>
        </w:rPr>
        <w:t xml:space="preserve"> dados em painel.</w:t>
      </w:r>
    </w:p>
    <w:tbl>
      <w:tblPr>
        <w:tblW w:w="5000" w:type="pct"/>
        <w:tblLook w:val="0600" w:firstRow="0" w:lastRow="0" w:firstColumn="0" w:lastColumn="0" w:noHBand="1" w:noVBand="1"/>
      </w:tblPr>
      <w:tblGrid>
        <w:gridCol w:w="2734"/>
        <w:gridCol w:w="2425"/>
        <w:gridCol w:w="851"/>
        <w:gridCol w:w="1596"/>
        <w:gridCol w:w="986"/>
        <w:gridCol w:w="1092"/>
        <w:gridCol w:w="1179"/>
        <w:gridCol w:w="1092"/>
        <w:gridCol w:w="1092"/>
        <w:gridCol w:w="955"/>
      </w:tblGrid>
      <w:tr w:rsidR="001C111F" w:rsidRPr="00796738" w14:paraId="7CAF21AE" w14:textId="77777777" w:rsidTr="007330EA">
        <w:trPr>
          <w:trHeight w:val="142"/>
        </w:trPr>
        <w:tc>
          <w:tcPr>
            <w:tcW w:w="976" w:type="pct"/>
            <w:tcBorders>
              <w:top w:val="single" w:sz="4" w:space="0" w:color="auto"/>
              <w:bottom w:val="single" w:sz="4" w:space="0" w:color="auto"/>
            </w:tcBorders>
            <w:tcMar>
              <w:top w:w="100" w:type="dxa"/>
              <w:left w:w="100" w:type="dxa"/>
              <w:bottom w:w="100" w:type="dxa"/>
              <w:right w:w="100" w:type="dxa"/>
            </w:tcMar>
          </w:tcPr>
          <w:p w14:paraId="3FE067CA" w14:textId="77777777" w:rsidR="00051770" w:rsidRPr="00D902B1" w:rsidRDefault="00051770" w:rsidP="00356C7B">
            <w:pPr>
              <w:widowControl w:val="0"/>
              <w:spacing w:before="0" w:after="0" w:line="240" w:lineRule="auto"/>
              <w:jc w:val="center"/>
              <w:rPr>
                <w:sz w:val="20"/>
                <w:szCs w:val="20"/>
                <w:lang w:val="pt-BR"/>
              </w:rPr>
            </w:pPr>
          </w:p>
        </w:tc>
        <w:tc>
          <w:tcPr>
            <w:tcW w:w="1739" w:type="pct"/>
            <w:gridSpan w:val="3"/>
            <w:tcBorders>
              <w:top w:val="single" w:sz="4" w:space="0" w:color="auto"/>
              <w:bottom w:val="single" w:sz="4" w:space="0" w:color="auto"/>
              <w:right w:val="single" w:sz="4" w:space="0" w:color="auto"/>
            </w:tcBorders>
            <w:tcMar>
              <w:top w:w="100" w:type="dxa"/>
              <w:left w:w="100" w:type="dxa"/>
              <w:bottom w:w="100" w:type="dxa"/>
              <w:right w:w="100" w:type="dxa"/>
            </w:tcMar>
          </w:tcPr>
          <w:p w14:paraId="1EFA9431" w14:textId="77777777" w:rsidR="00051770" w:rsidRDefault="00051770" w:rsidP="00356C7B">
            <w:pPr>
              <w:widowControl w:val="0"/>
              <w:spacing w:before="0" w:after="0" w:line="240" w:lineRule="auto"/>
              <w:jc w:val="center"/>
              <w:rPr>
                <w:sz w:val="20"/>
                <w:szCs w:val="20"/>
              </w:rPr>
            </w:pPr>
            <w:r>
              <w:rPr>
                <w:sz w:val="20"/>
                <w:szCs w:val="20"/>
              </w:rPr>
              <w:t>P/L</w:t>
            </w:r>
          </w:p>
        </w:tc>
        <w:tc>
          <w:tcPr>
            <w:tcW w:w="1163" w:type="pct"/>
            <w:gridSpan w:val="3"/>
            <w:tcBorders>
              <w:top w:val="single" w:sz="4" w:space="0" w:color="auto"/>
              <w:left w:val="single" w:sz="4" w:space="0" w:color="auto"/>
              <w:bottom w:val="single" w:sz="4" w:space="0" w:color="auto"/>
              <w:right w:val="single" w:sz="4" w:space="0" w:color="auto"/>
            </w:tcBorders>
            <w:vAlign w:val="center"/>
          </w:tcPr>
          <w:p w14:paraId="0E13CD2F" w14:textId="77777777" w:rsidR="00051770" w:rsidRDefault="00051770" w:rsidP="00356C7B">
            <w:pPr>
              <w:widowControl w:val="0"/>
              <w:spacing w:before="0" w:after="0" w:line="240" w:lineRule="auto"/>
              <w:jc w:val="center"/>
              <w:rPr>
                <w:sz w:val="20"/>
                <w:szCs w:val="20"/>
              </w:rPr>
            </w:pPr>
            <w:r>
              <w:rPr>
                <w:sz w:val="20"/>
                <w:szCs w:val="20"/>
              </w:rPr>
              <w:t>P/B</w:t>
            </w:r>
          </w:p>
        </w:tc>
        <w:tc>
          <w:tcPr>
            <w:tcW w:w="1122" w:type="pct"/>
            <w:gridSpan w:val="3"/>
            <w:tcBorders>
              <w:top w:val="single" w:sz="4" w:space="0" w:color="auto"/>
              <w:left w:val="single" w:sz="4" w:space="0" w:color="auto"/>
              <w:bottom w:val="single" w:sz="4" w:space="0" w:color="auto"/>
            </w:tcBorders>
          </w:tcPr>
          <w:p w14:paraId="28B32C16" w14:textId="77777777" w:rsidR="00051770" w:rsidRDefault="00051770" w:rsidP="00356C7B">
            <w:pPr>
              <w:widowControl w:val="0"/>
              <w:spacing w:before="0" w:after="0" w:line="240" w:lineRule="auto"/>
              <w:jc w:val="center"/>
              <w:rPr>
                <w:sz w:val="20"/>
                <w:szCs w:val="20"/>
              </w:rPr>
            </w:pPr>
            <w:r>
              <w:rPr>
                <w:sz w:val="20"/>
                <w:szCs w:val="20"/>
              </w:rPr>
              <w:t>P/LO</w:t>
            </w:r>
          </w:p>
        </w:tc>
      </w:tr>
      <w:tr w:rsidR="007330EA" w:rsidRPr="00796738" w14:paraId="784087F8" w14:textId="77777777" w:rsidTr="007330EA">
        <w:trPr>
          <w:trHeight w:val="142"/>
        </w:trPr>
        <w:tc>
          <w:tcPr>
            <w:tcW w:w="976" w:type="pct"/>
            <w:tcBorders>
              <w:top w:val="single" w:sz="4" w:space="0" w:color="auto"/>
              <w:bottom w:val="single" w:sz="4" w:space="0" w:color="auto"/>
            </w:tcBorders>
            <w:tcMar>
              <w:top w:w="100" w:type="dxa"/>
              <w:left w:w="100" w:type="dxa"/>
              <w:bottom w:w="100" w:type="dxa"/>
              <w:right w:w="100" w:type="dxa"/>
            </w:tcMar>
            <w:vAlign w:val="center"/>
          </w:tcPr>
          <w:p w14:paraId="65ABFA4F" w14:textId="77777777" w:rsidR="00051770" w:rsidRPr="00D902B1" w:rsidRDefault="00051770" w:rsidP="008643BB">
            <w:pPr>
              <w:widowControl w:val="0"/>
              <w:spacing w:before="0" w:after="0" w:line="240" w:lineRule="auto"/>
              <w:jc w:val="center"/>
              <w:rPr>
                <w:sz w:val="20"/>
                <w:szCs w:val="20"/>
                <w:lang w:val="pt-BR"/>
              </w:rPr>
            </w:pPr>
          </w:p>
        </w:tc>
        <w:tc>
          <w:tcPr>
            <w:tcW w:w="866" w:type="pct"/>
            <w:tcBorders>
              <w:top w:val="single" w:sz="4" w:space="0" w:color="auto"/>
              <w:bottom w:val="single" w:sz="4" w:space="0" w:color="auto"/>
            </w:tcBorders>
            <w:tcMar>
              <w:top w:w="100" w:type="dxa"/>
              <w:left w:w="100" w:type="dxa"/>
              <w:bottom w:w="100" w:type="dxa"/>
              <w:right w:w="100" w:type="dxa"/>
            </w:tcMar>
            <w:vAlign w:val="center"/>
          </w:tcPr>
          <w:p w14:paraId="11AE8A55" w14:textId="77777777" w:rsidR="00051770" w:rsidRPr="00AC1D9A" w:rsidRDefault="00051770" w:rsidP="008643BB">
            <w:pPr>
              <w:widowControl w:val="0"/>
              <w:spacing w:before="0" w:after="0" w:line="240" w:lineRule="auto"/>
              <w:jc w:val="center"/>
              <w:rPr>
                <w:i/>
                <w:sz w:val="20"/>
                <w:szCs w:val="20"/>
              </w:rPr>
            </w:pPr>
            <w:r w:rsidRPr="00AC1D9A">
              <w:rPr>
                <w:i/>
                <w:sz w:val="20"/>
                <w:szCs w:val="20"/>
              </w:rPr>
              <w:t>Pooled</w:t>
            </w:r>
          </w:p>
        </w:tc>
        <w:tc>
          <w:tcPr>
            <w:tcW w:w="304" w:type="pct"/>
            <w:tcBorders>
              <w:top w:val="single" w:sz="4" w:space="0" w:color="auto"/>
              <w:bottom w:val="single" w:sz="4" w:space="0" w:color="auto"/>
            </w:tcBorders>
            <w:vAlign w:val="center"/>
          </w:tcPr>
          <w:p w14:paraId="6FFDAC5A" w14:textId="77777777" w:rsidR="00051770" w:rsidRDefault="00051770" w:rsidP="008643BB">
            <w:pPr>
              <w:widowControl w:val="0"/>
              <w:spacing w:before="0" w:after="0" w:line="240" w:lineRule="auto"/>
              <w:jc w:val="center"/>
              <w:rPr>
                <w:sz w:val="20"/>
                <w:szCs w:val="20"/>
              </w:rPr>
            </w:pPr>
            <w:r>
              <w:rPr>
                <w:sz w:val="20"/>
                <w:szCs w:val="20"/>
              </w:rPr>
              <w:t>EF</w:t>
            </w:r>
          </w:p>
        </w:tc>
        <w:tc>
          <w:tcPr>
            <w:tcW w:w="570" w:type="pct"/>
            <w:tcBorders>
              <w:top w:val="single" w:sz="4" w:space="0" w:color="auto"/>
              <w:bottom w:val="single" w:sz="4" w:space="0" w:color="auto"/>
              <w:right w:val="single" w:sz="4" w:space="0" w:color="auto"/>
            </w:tcBorders>
            <w:vAlign w:val="center"/>
          </w:tcPr>
          <w:p w14:paraId="71C9F1DA" w14:textId="77777777" w:rsidR="00051770" w:rsidRPr="009A103C" w:rsidRDefault="00051770" w:rsidP="008643BB">
            <w:pPr>
              <w:widowControl w:val="0"/>
              <w:spacing w:before="0" w:after="0" w:line="240" w:lineRule="auto"/>
              <w:jc w:val="center"/>
              <w:rPr>
                <w:b/>
                <w:sz w:val="20"/>
                <w:szCs w:val="20"/>
              </w:rPr>
            </w:pPr>
            <w:r w:rsidRPr="009A103C">
              <w:rPr>
                <w:b/>
                <w:sz w:val="20"/>
                <w:szCs w:val="20"/>
              </w:rPr>
              <w:t>EA</w:t>
            </w:r>
          </w:p>
        </w:tc>
        <w:tc>
          <w:tcPr>
            <w:tcW w:w="352" w:type="pct"/>
            <w:tcBorders>
              <w:top w:val="single" w:sz="4" w:space="0" w:color="auto"/>
              <w:left w:val="single" w:sz="4" w:space="0" w:color="auto"/>
              <w:bottom w:val="single" w:sz="4" w:space="0" w:color="auto"/>
            </w:tcBorders>
            <w:vAlign w:val="center"/>
          </w:tcPr>
          <w:p w14:paraId="6B502D75" w14:textId="77777777" w:rsidR="00051770" w:rsidRPr="00AC1D9A" w:rsidRDefault="00051770" w:rsidP="008643BB">
            <w:pPr>
              <w:widowControl w:val="0"/>
              <w:spacing w:before="0" w:after="0" w:line="240" w:lineRule="auto"/>
              <w:jc w:val="center"/>
              <w:rPr>
                <w:i/>
                <w:sz w:val="20"/>
                <w:szCs w:val="20"/>
              </w:rPr>
            </w:pPr>
            <w:r w:rsidRPr="00AC1D9A">
              <w:rPr>
                <w:i/>
                <w:sz w:val="20"/>
                <w:szCs w:val="20"/>
              </w:rPr>
              <w:t>Pooled</w:t>
            </w:r>
          </w:p>
        </w:tc>
        <w:tc>
          <w:tcPr>
            <w:tcW w:w="390" w:type="pct"/>
            <w:tcBorders>
              <w:top w:val="single" w:sz="4" w:space="0" w:color="auto"/>
              <w:bottom w:val="single" w:sz="4" w:space="0" w:color="auto"/>
            </w:tcBorders>
            <w:vAlign w:val="center"/>
          </w:tcPr>
          <w:p w14:paraId="7DECC5AE" w14:textId="77777777" w:rsidR="00051770" w:rsidRDefault="00051770" w:rsidP="008643BB">
            <w:pPr>
              <w:widowControl w:val="0"/>
              <w:spacing w:before="0" w:after="0" w:line="240" w:lineRule="auto"/>
              <w:jc w:val="center"/>
              <w:rPr>
                <w:sz w:val="20"/>
                <w:szCs w:val="20"/>
              </w:rPr>
            </w:pPr>
            <w:r>
              <w:rPr>
                <w:sz w:val="20"/>
                <w:szCs w:val="20"/>
              </w:rPr>
              <w:t>EF</w:t>
            </w:r>
          </w:p>
        </w:tc>
        <w:tc>
          <w:tcPr>
            <w:tcW w:w="421" w:type="pct"/>
            <w:tcBorders>
              <w:top w:val="single" w:sz="4" w:space="0" w:color="auto"/>
              <w:bottom w:val="single" w:sz="4" w:space="0" w:color="auto"/>
              <w:right w:val="single" w:sz="4" w:space="0" w:color="auto"/>
            </w:tcBorders>
            <w:vAlign w:val="center"/>
          </w:tcPr>
          <w:p w14:paraId="7F689EDD" w14:textId="77777777" w:rsidR="00051770" w:rsidRPr="009A103C" w:rsidRDefault="00051770" w:rsidP="008643BB">
            <w:pPr>
              <w:widowControl w:val="0"/>
              <w:spacing w:before="0" w:after="0" w:line="240" w:lineRule="auto"/>
              <w:jc w:val="center"/>
              <w:rPr>
                <w:b/>
                <w:sz w:val="20"/>
                <w:szCs w:val="20"/>
              </w:rPr>
            </w:pPr>
            <w:r w:rsidRPr="009A103C">
              <w:rPr>
                <w:b/>
                <w:sz w:val="20"/>
                <w:szCs w:val="20"/>
              </w:rPr>
              <w:t>EA</w:t>
            </w:r>
          </w:p>
        </w:tc>
        <w:tc>
          <w:tcPr>
            <w:tcW w:w="390" w:type="pct"/>
            <w:tcBorders>
              <w:top w:val="single" w:sz="4" w:space="0" w:color="auto"/>
              <w:left w:val="single" w:sz="4" w:space="0" w:color="auto"/>
              <w:bottom w:val="single" w:sz="4" w:space="0" w:color="auto"/>
            </w:tcBorders>
            <w:vAlign w:val="center"/>
          </w:tcPr>
          <w:p w14:paraId="6BA391D3" w14:textId="77777777" w:rsidR="00051770" w:rsidRPr="00AC1D9A" w:rsidRDefault="00051770" w:rsidP="008643BB">
            <w:pPr>
              <w:widowControl w:val="0"/>
              <w:spacing w:before="0" w:after="0" w:line="240" w:lineRule="auto"/>
              <w:jc w:val="center"/>
              <w:rPr>
                <w:i/>
                <w:sz w:val="20"/>
                <w:szCs w:val="20"/>
              </w:rPr>
            </w:pPr>
            <w:r w:rsidRPr="00AC1D9A">
              <w:rPr>
                <w:i/>
                <w:sz w:val="20"/>
                <w:szCs w:val="20"/>
              </w:rPr>
              <w:t>Pooled</w:t>
            </w:r>
          </w:p>
        </w:tc>
        <w:tc>
          <w:tcPr>
            <w:tcW w:w="390" w:type="pct"/>
            <w:tcBorders>
              <w:top w:val="single" w:sz="4" w:space="0" w:color="auto"/>
              <w:bottom w:val="single" w:sz="4" w:space="0" w:color="auto"/>
            </w:tcBorders>
            <w:vAlign w:val="center"/>
          </w:tcPr>
          <w:p w14:paraId="7D1E2A22" w14:textId="77777777" w:rsidR="00051770" w:rsidRPr="009A103C" w:rsidRDefault="00051770" w:rsidP="008643BB">
            <w:pPr>
              <w:widowControl w:val="0"/>
              <w:spacing w:before="0" w:after="0" w:line="240" w:lineRule="auto"/>
              <w:jc w:val="center"/>
              <w:rPr>
                <w:b/>
                <w:sz w:val="20"/>
                <w:szCs w:val="20"/>
              </w:rPr>
            </w:pPr>
            <w:r w:rsidRPr="009A103C">
              <w:rPr>
                <w:b/>
                <w:sz w:val="20"/>
                <w:szCs w:val="20"/>
              </w:rPr>
              <w:t>EF</w:t>
            </w:r>
          </w:p>
        </w:tc>
        <w:tc>
          <w:tcPr>
            <w:tcW w:w="341" w:type="pct"/>
            <w:tcBorders>
              <w:top w:val="single" w:sz="4" w:space="0" w:color="auto"/>
              <w:bottom w:val="single" w:sz="4" w:space="0" w:color="auto"/>
            </w:tcBorders>
            <w:vAlign w:val="center"/>
          </w:tcPr>
          <w:p w14:paraId="09435C81" w14:textId="77777777" w:rsidR="00051770" w:rsidRDefault="00051770" w:rsidP="008643BB">
            <w:pPr>
              <w:widowControl w:val="0"/>
              <w:spacing w:before="0" w:after="0" w:line="240" w:lineRule="auto"/>
              <w:jc w:val="center"/>
              <w:rPr>
                <w:sz w:val="20"/>
                <w:szCs w:val="20"/>
              </w:rPr>
            </w:pPr>
            <w:r>
              <w:rPr>
                <w:sz w:val="20"/>
                <w:szCs w:val="20"/>
              </w:rPr>
              <w:t>EA</w:t>
            </w:r>
          </w:p>
        </w:tc>
      </w:tr>
      <w:tr w:rsidR="008643BB" w:rsidRPr="00796738" w14:paraId="49420709" w14:textId="77777777" w:rsidTr="007330EA">
        <w:trPr>
          <w:trHeight w:val="142"/>
        </w:trPr>
        <w:tc>
          <w:tcPr>
            <w:tcW w:w="976" w:type="pct"/>
            <w:tcBorders>
              <w:top w:val="single" w:sz="4" w:space="0" w:color="auto"/>
            </w:tcBorders>
            <w:tcMar>
              <w:top w:w="100" w:type="dxa"/>
              <w:left w:w="100" w:type="dxa"/>
              <w:bottom w:w="100" w:type="dxa"/>
              <w:right w:w="100" w:type="dxa"/>
            </w:tcMar>
            <w:hideMark/>
          </w:tcPr>
          <w:p w14:paraId="5EAD1D64" w14:textId="77777777" w:rsidR="00051770" w:rsidRPr="00796738" w:rsidRDefault="00051770" w:rsidP="00356C7B">
            <w:pPr>
              <w:widowControl w:val="0"/>
              <w:spacing w:before="0" w:after="0" w:line="240" w:lineRule="auto"/>
              <w:jc w:val="center"/>
              <w:rPr>
                <w:sz w:val="20"/>
                <w:szCs w:val="20"/>
              </w:rPr>
            </w:pPr>
            <w:proofErr w:type="spellStart"/>
            <w:r w:rsidRPr="00796738">
              <w:rPr>
                <w:sz w:val="20"/>
                <w:szCs w:val="20"/>
              </w:rPr>
              <w:t>Variáveis</w:t>
            </w:r>
            <w:proofErr w:type="spellEnd"/>
          </w:p>
        </w:tc>
        <w:tc>
          <w:tcPr>
            <w:tcW w:w="1739" w:type="pct"/>
            <w:gridSpan w:val="3"/>
            <w:tcBorders>
              <w:top w:val="single" w:sz="4" w:space="0" w:color="auto"/>
              <w:right w:val="single" w:sz="4" w:space="0" w:color="auto"/>
            </w:tcBorders>
            <w:tcMar>
              <w:top w:w="100" w:type="dxa"/>
              <w:left w:w="100" w:type="dxa"/>
              <w:bottom w:w="100" w:type="dxa"/>
              <w:right w:w="100" w:type="dxa"/>
            </w:tcMar>
            <w:hideMark/>
          </w:tcPr>
          <w:p w14:paraId="324D7F8A" w14:textId="77777777" w:rsidR="00051770" w:rsidRPr="00796738" w:rsidRDefault="00051770" w:rsidP="00356C7B">
            <w:pPr>
              <w:widowControl w:val="0"/>
              <w:spacing w:before="0" w:after="0" w:line="240" w:lineRule="auto"/>
              <w:jc w:val="center"/>
              <w:rPr>
                <w:sz w:val="20"/>
                <w:szCs w:val="20"/>
              </w:rPr>
            </w:pPr>
            <w:proofErr w:type="spellStart"/>
            <w:r w:rsidRPr="00796738">
              <w:rPr>
                <w:sz w:val="20"/>
                <w:szCs w:val="20"/>
              </w:rPr>
              <w:t>Coeficientes</w:t>
            </w:r>
            <w:proofErr w:type="spellEnd"/>
          </w:p>
        </w:tc>
        <w:tc>
          <w:tcPr>
            <w:tcW w:w="1163" w:type="pct"/>
            <w:gridSpan w:val="3"/>
            <w:tcBorders>
              <w:top w:val="single" w:sz="4" w:space="0" w:color="auto"/>
              <w:left w:val="single" w:sz="4" w:space="0" w:color="auto"/>
              <w:right w:val="single" w:sz="4" w:space="0" w:color="auto"/>
            </w:tcBorders>
          </w:tcPr>
          <w:p w14:paraId="62228E6C" w14:textId="77777777" w:rsidR="00051770" w:rsidRDefault="00051770" w:rsidP="00356C7B">
            <w:pPr>
              <w:widowControl w:val="0"/>
              <w:spacing w:before="0" w:after="0" w:line="240" w:lineRule="auto"/>
              <w:jc w:val="center"/>
              <w:rPr>
                <w:sz w:val="20"/>
                <w:szCs w:val="20"/>
              </w:rPr>
            </w:pPr>
            <w:proofErr w:type="spellStart"/>
            <w:r w:rsidRPr="00796738">
              <w:rPr>
                <w:sz w:val="20"/>
                <w:szCs w:val="20"/>
              </w:rPr>
              <w:t>Coeficientes</w:t>
            </w:r>
            <w:proofErr w:type="spellEnd"/>
          </w:p>
        </w:tc>
        <w:tc>
          <w:tcPr>
            <w:tcW w:w="1122" w:type="pct"/>
            <w:gridSpan w:val="3"/>
            <w:tcBorders>
              <w:top w:val="single" w:sz="4" w:space="0" w:color="auto"/>
              <w:left w:val="single" w:sz="4" w:space="0" w:color="auto"/>
            </w:tcBorders>
          </w:tcPr>
          <w:p w14:paraId="62BEB566" w14:textId="77777777" w:rsidR="00051770" w:rsidRDefault="00051770" w:rsidP="00356C7B">
            <w:pPr>
              <w:widowControl w:val="0"/>
              <w:spacing w:before="0" w:after="0" w:line="240" w:lineRule="auto"/>
              <w:jc w:val="center"/>
              <w:rPr>
                <w:sz w:val="20"/>
                <w:szCs w:val="20"/>
              </w:rPr>
            </w:pPr>
            <w:proofErr w:type="spellStart"/>
            <w:r>
              <w:rPr>
                <w:sz w:val="20"/>
                <w:szCs w:val="20"/>
              </w:rPr>
              <w:t>Coeficientes</w:t>
            </w:r>
            <w:proofErr w:type="spellEnd"/>
          </w:p>
        </w:tc>
      </w:tr>
      <w:tr w:rsidR="007330EA" w:rsidRPr="00796738" w14:paraId="7937EF3A" w14:textId="77777777" w:rsidTr="007330EA">
        <w:trPr>
          <w:trHeight w:val="142"/>
        </w:trPr>
        <w:tc>
          <w:tcPr>
            <w:tcW w:w="976" w:type="pct"/>
            <w:vAlign w:val="center"/>
            <w:hideMark/>
          </w:tcPr>
          <w:p w14:paraId="0514BD37" w14:textId="77777777" w:rsidR="00051770" w:rsidRPr="00796738" w:rsidRDefault="00051770" w:rsidP="00356C7B">
            <w:pPr>
              <w:spacing w:before="0" w:after="0" w:line="240" w:lineRule="auto"/>
              <w:ind w:left="-46"/>
              <w:jc w:val="center"/>
              <w:rPr>
                <w:b/>
                <w:color w:val="FF0000"/>
                <w:sz w:val="20"/>
                <w:szCs w:val="20"/>
              </w:rPr>
            </w:pPr>
            <w:proofErr w:type="spellStart"/>
            <w:r w:rsidRPr="00796738">
              <w:rPr>
                <w:sz w:val="20"/>
                <w:szCs w:val="20"/>
              </w:rPr>
              <w:t>Constante</w:t>
            </w:r>
            <w:proofErr w:type="spellEnd"/>
          </w:p>
        </w:tc>
        <w:tc>
          <w:tcPr>
            <w:tcW w:w="866" w:type="pct"/>
            <w:tcMar>
              <w:top w:w="100" w:type="dxa"/>
              <w:left w:w="100" w:type="dxa"/>
              <w:bottom w:w="100" w:type="dxa"/>
              <w:right w:w="100" w:type="dxa"/>
            </w:tcMar>
            <w:vAlign w:val="center"/>
          </w:tcPr>
          <w:p w14:paraId="07AB8B66" w14:textId="77777777" w:rsidR="00051770" w:rsidRPr="00796738" w:rsidRDefault="00140478" w:rsidP="007330EA">
            <w:pPr>
              <w:widowControl w:val="0"/>
              <w:spacing w:before="0" w:after="0" w:line="240" w:lineRule="auto"/>
              <w:jc w:val="center"/>
              <w:rPr>
                <w:color w:val="000000"/>
                <w:sz w:val="20"/>
                <w:szCs w:val="20"/>
              </w:rPr>
            </w:pPr>
            <w:r>
              <w:rPr>
                <w:color w:val="000000"/>
                <w:sz w:val="20"/>
                <w:szCs w:val="20"/>
              </w:rPr>
              <w:t>38,54</w:t>
            </w:r>
            <w:r w:rsidR="00B21DE5">
              <w:rPr>
                <w:color w:val="000000"/>
                <w:sz w:val="20"/>
                <w:szCs w:val="20"/>
              </w:rPr>
              <w:t>***</w:t>
            </w:r>
          </w:p>
        </w:tc>
        <w:tc>
          <w:tcPr>
            <w:tcW w:w="304" w:type="pct"/>
            <w:tcMar>
              <w:top w:w="100" w:type="dxa"/>
              <w:left w:w="100" w:type="dxa"/>
              <w:bottom w:w="100" w:type="dxa"/>
              <w:right w:w="100" w:type="dxa"/>
            </w:tcMar>
            <w:vAlign w:val="center"/>
          </w:tcPr>
          <w:p w14:paraId="5B0F862B" w14:textId="77777777" w:rsidR="00051770" w:rsidRPr="00796738" w:rsidRDefault="00B21DE5" w:rsidP="007330EA">
            <w:pPr>
              <w:widowControl w:val="0"/>
              <w:spacing w:before="0" w:after="0" w:line="240" w:lineRule="auto"/>
              <w:jc w:val="center"/>
              <w:rPr>
                <w:sz w:val="20"/>
                <w:szCs w:val="20"/>
              </w:rPr>
            </w:pPr>
            <w:r>
              <w:rPr>
                <w:sz w:val="20"/>
                <w:szCs w:val="20"/>
              </w:rPr>
              <w:t>20,09**</w:t>
            </w:r>
          </w:p>
        </w:tc>
        <w:tc>
          <w:tcPr>
            <w:tcW w:w="570" w:type="pct"/>
            <w:tcBorders>
              <w:right w:val="single" w:sz="4" w:space="0" w:color="auto"/>
            </w:tcBorders>
            <w:vAlign w:val="center"/>
          </w:tcPr>
          <w:p w14:paraId="7D9B0FB6" w14:textId="77777777" w:rsidR="00051770" w:rsidRPr="009A103C" w:rsidRDefault="00B21DE5" w:rsidP="008643BB">
            <w:pPr>
              <w:widowControl w:val="0"/>
              <w:spacing w:before="0" w:after="0" w:line="240" w:lineRule="auto"/>
              <w:jc w:val="center"/>
              <w:rPr>
                <w:b/>
                <w:sz w:val="20"/>
                <w:szCs w:val="20"/>
              </w:rPr>
            </w:pPr>
            <w:r w:rsidRPr="009A103C">
              <w:rPr>
                <w:b/>
                <w:sz w:val="20"/>
                <w:szCs w:val="20"/>
              </w:rPr>
              <w:t>21,35**</w:t>
            </w:r>
          </w:p>
        </w:tc>
        <w:tc>
          <w:tcPr>
            <w:tcW w:w="352" w:type="pct"/>
            <w:tcBorders>
              <w:left w:val="single" w:sz="4" w:space="0" w:color="auto"/>
            </w:tcBorders>
            <w:vAlign w:val="center"/>
          </w:tcPr>
          <w:p w14:paraId="40B6AF21" w14:textId="77777777" w:rsidR="00051770" w:rsidRPr="00796738" w:rsidRDefault="001827E7" w:rsidP="008643BB">
            <w:pPr>
              <w:widowControl w:val="0"/>
              <w:spacing w:before="0" w:after="0" w:line="240" w:lineRule="auto"/>
              <w:jc w:val="center"/>
              <w:rPr>
                <w:sz w:val="20"/>
                <w:szCs w:val="20"/>
              </w:rPr>
            </w:pPr>
            <w:r>
              <w:rPr>
                <w:sz w:val="20"/>
                <w:szCs w:val="20"/>
              </w:rPr>
              <w:t>0,06</w:t>
            </w:r>
          </w:p>
        </w:tc>
        <w:tc>
          <w:tcPr>
            <w:tcW w:w="390" w:type="pct"/>
            <w:vAlign w:val="center"/>
          </w:tcPr>
          <w:p w14:paraId="3B696220" w14:textId="77777777" w:rsidR="001827E7" w:rsidRPr="00796738" w:rsidRDefault="001827E7" w:rsidP="008643BB">
            <w:pPr>
              <w:widowControl w:val="0"/>
              <w:spacing w:before="0" w:after="0" w:line="240" w:lineRule="auto"/>
              <w:jc w:val="center"/>
              <w:rPr>
                <w:sz w:val="20"/>
                <w:szCs w:val="20"/>
              </w:rPr>
            </w:pPr>
            <w:r>
              <w:rPr>
                <w:sz w:val="20"/>
                <w:szCs w:val="20"/>
              </w:rPr>
              <w:t>-</w:t>
            </w:r>
          </w:p>
        </w:tc>
        <w:tc>
          <w:tcPr>
            <w:tcW w:w="421" w:type="pct"/>
            <w:tcBorders>
              <w:right w:val="single" w:sz="4" w:space="0" w:color="auto"/>
            </w:tcBorders>
            <w:vAlign w:val="center"/>
          </w:tcPr>
          <w:p w14:paraId="54E636FF" w14:textId="77777777" w:rsidR="00051770" w:rsidRPr="009A103C" w:rsidRDefault="001827E7" w:rsidP="008643BB">
            <w:pPr>
              <w:widowControl w:val="0"/>
              <w:spacing w:before="0" w:after="0" w:line="240" w:lineRule="auto"/>
              <w:jc w:val="center"/>
              <w:rPr>
                <w:b/>
                <w:sz w:val="20"/>
                <w:szCs w:val="20"/>
              </w:rPr>
            </w:pPr>
            <w:r w:rsidRPr="009A103C">
              <w:rPr>
                <w:b/>
                <w:sz w:val="20"/>
                <w:szCs w:val="20"/>
              </w:rPr>
              <w:t>-1,01***</w:t>
            </w:r>
          </w:p>
        </w:tc>
        <w:tc>
          <w:tcPr>
            <w:tcW w:w="390" w:type="pct"/>
            <w:tcBorders>
              <w:left w:val="single" w:sz="4" w:space="0" w:color="auto"/>
            </w:tcBorders>
            <w:vAlign w:val="center"/>
          </w:tcPr>
          <w:p w14:paraId="1ED8B885" w14:textId="77777777" w:rsidR="00051770" w:rsidRPr="00796738" w:rsidRDefault="001827E7" w:rsidP="008643BB">
            <w:pPr>
              <w:widowControl w:val="0"/>
              <w:spacing w:before="0" w:after="0" w:line="240" w:lineRule="auto"/>
              <w:jc w:val="center"/>
              <w:rPr>
                <w:sz w:val="20"/>
                <w:szCs w:val="20"/>
              </w:rPr>
            </w:pPr>
            <w:r>
              <w:rPr>
                <w:sz w:val="20"/>
                <w:szCs w:val="20"/>
              </w:rPr>
              <w:t>12,02</w:t>
            </w:r>
          </w:p>
        </w:tc>
        <w:tc>
          <w:tcPr>
            <w:tcW w:w="390" w:type="pct"/>
            <w:vAlign w:val="center"/>
          </w:tcPr>
          <w:p w14:paraId="7B2B7EA9" w14:textId="77777777" w:rsidR="00051770" w:rsidRPr="009A103C" w:rsidRDefault="00E74441" w:rsidP="008643BB">
            <w:pPr>
              <w:widowControl w:val="0"/>
              <w:spacing w:before="0" w:after="0" w:line="240" w:lineRule="auto"/>
              <w:jc w:val="center"/>
              <w:rPr>
                <w:b/>
                <w:sz w:val="20"/>
                <w:szCs w:val="20"/>
              </w:rPr>
            </w:pPr>
            <w:r w:rsidRPr="009A103C">
              <w:rPr>
                <w:b/>
                <w:sz w:val="20"/>
                <w:szCs w:val="20"/>
              </w:rPr>
              <w:t>4,66</w:t>
            </w:r>
          </w:p>
        </w:tc>
        <w:tc>
          <w:tcPr>
            <w:tcW w:w="341" w:type="pct"/>
            <w:vAlign w:val="center"/>
          </w:tcPr>
          <w:p w14:paraId="4EA70A03" w14:textId="77777777" w:rsidR="00051770" w:rsidRDefault="001C111F" w:rsidP="001C111F">
            <w:pPr>
              <w:widowControl w:val="0"/>
              <w:spacing w:before="0" w:after="0" w:line="240" w:lineRule="auto"/>
              <w:jc w:val="center"/>
              <w:rPr>
                <w:sz w:val="20"/>
                <w:szCs w:val="20"/>
              </w:rPr>
            </w:pPr>
            <w:r>
              <w:rPr>
                <w:sz w:val="20"/>
                <w:szCs w:val="20"/>
              </w:rPr>
              <w:t>1,62</w:t>
            </w:r>
          </w:p>
        </w:tc>
      </w:tr>
      <w:tr w:rsidR="007330EA" w:rsidRPr="00796738" w14:paraId="407396C4" w14:textId="77777777" w:rsidTr="007330EA">
        <w:trPr>
          <w:trHeight w:val="142"/>
        </w:trPr>
        <w:tc>
          <w:tcPr>
            <w:tcW w:w="976" w:type="pct"/>
            <w:vAlign w:val="center"/>
            <w:hideMark/>
          </w:tcPr>
          <w:p w14:paraId="71E1719D" w14:textId="77777777" w:rsidR="001C111F" w:rsidRPr="00796738" w:rsidRDefault="00F274EA" w:rsidP="001C111F">
            <w:pPr>
              <w:spacing w:before="0" w:after="0" w:line="240" w:lineRule="auto"/>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ROE</m:t>
                    </m:r>
                  </m:e>
                  <m:sub>
                    <m:r>
                      <w:rPr>
                        <w:rFonts w:ascii="Cambria Math" w:hAnsi="Cambria Math"/>
                        <w:sz w:val="20"/>
                        <w:szCs w:val="20"/>
                      </w:rPr>
                      <m:t>t-1</m:t>
                    </m:r>
                  </m:sub>
                </m:sSub>
              </m:oMath>
            </m:oMathPara>
          </w:p>
        </w:tc>
        <w:tc>
          <w:tcPr>
            <w:tcW w:w="866" w:type="pct"/>
            <w:tcMar>
              <w:top w:w="100" w:type="dxa"/>
              <w:left w:w="100" w:type="dxa"/>
              <w:bottom w:w="100" w:type="dxa"/>
              <w:right w:w="100" w:type="dxa"/>
            </w:tcMar>
            <w:vAlign w:val="center"/>
          </w:tcPr>
          <w:p w14:paraId="70D08373" w14:textId="77777777" w:rsidR="001C111F" w:rsidRPr="00796738" w:rsidRDefault="001C111F" w:rsidP="007330EA">
            <w:pPr>
              <w:widowControl w:val="0"/>
              <w:spacing w:before="0" w:after="0" w:line="240" w:lineRule="auto"/>
              <w:jc w:val="center"/>
              <w:rPr>
                <w:sz w:val="20"/>
                <w:szCs w:val="20"/>
              </w:rPr>
            </w:pPr>
            <w:r>
              <w:rPr>
                <w:sz w:val="20"/>
                <w:szCs w:val="20"/>
              </w:rPr>
              <w:t>-0,69</w:t>
            </w:r>
          </w:p>
        </w:tc>
        <w:tc>
          <w:tcPr>
            <w:tcW w:w="304" w:type="pct"/>
            <w:tcMar>
              <w:top w:w="100" w:type="dxa"/>
              <w:left w:w="100" w:type="dxa"/>
              <w:bottom w:w="100" w:type="dxa"/>
              <w:right w:w="100" w:type="dxa"/>
            </w:tcMar>
            <w:vAlign w:val="center"/>
          </w:tcPr>
          <w:p w14:paraId="0A4FD6E1" w14:textId="77777777" w:rsidR="001C111F" w:rsidRPr="00796738" w:rsidRDefault="001C111F" w:rsidP="007330EA">
            <w:pPr>
              <w:widowControl w:val="0"/>
              <w:spacing w:before="0" w:after="0" w:line="240" w:lineRule="auto"/>
              <w:jc w:val="center"/>
              <w:rPr>
                <w:sz w:val="20"/>
                <w:szCs w:val="20"/>
              </w:rPr>
            </w:pPr>
            <w:r>
              <w:rPr>
                <w:sz w:val="20"/>
                <w:szCs w:val="20"/>
              </w:rPr>
              <w:t>-1,96*</w:t>
            </w:r>
          </w:p>
        </w:tc>
        <w:tc>
          <w:tcPr>
            <w:tcW w:w="570" w:type="pct"/>
            <w:tcBorders>
              <w:right w:val="single" w:sz="4" w:space="0" w:color="auto"/>
            </w:tcBorders>
            <w:vAlign w:val="center"/>
          </w:tcPr>
          <w:p w14:paraId="33F33235" w14:textId="77777777" w:rsidR="001C111F" w:rsidRPr="009A103C" w:rsidRDefault="001C111F" w:rsidP="008643BB">
            <w:pPr>
              <w:widowControl w:val="0"/>
              <w:spacing w:before="0" w:after="0" w:line="240" w:lineRule="auto"/>
              <w:jc w:val="center"/>
              <w:rPr>
                <w:b/>
                <w:sz w:val="20"/>
                <w:szCs w:val="20"/>
              </w:rPr>
            </w:pPr>
            <w:r w:rsidRPr="009A103C">
              <w:rPr>
                <w:b/>
                <w:sz w:val="20"/>
                <w:szCs w:val="20"/>
              </w:rPr>
              <w:t>-0,23</w:t>
            </w:r>
          </w:p>
        </w:tc>
        <w:tc>
          <w:tcPr>
            <w:tcW w:w="352" w:type="pct"/>
            <w:tcBorders>
              <w:left w:val="single" w:sz="4" w:space="0" w:color="auto"/>
            </w:tcBorders>
            <w:vAlign w:val="center"/>
          </w:tcPr>
          <w:p w14:paraId="13D9E523" w14:textId="77777777" w:rsidR="001C111F" w:rsidRPr="00796738" w:rsidRDefault="001C111F" w:rsidP="008643BB">
            <w:pPr>
              <w:widowControl w:val="0"/>
              <w:spacing w:before="0" w:after="0" w:line="240" w:lineRule="auto"/>
              <w:jc w:val="center"/>
              <w:rPr>
                <w:sz w:val="20"/>
                <w:szCs w:val="20"/>
              </w:rPr>
            </w:pPr>
            <w:r>
              <w:rPr>
                <w:sz w:val="20"/>
                <w:szCs w:val="20"/>
              </w:rPr>
              <w:t>-0,04</w:t>
            </w:r>
          </w:p>
        </w:tc>
        <w:tc>
          <w:tcPr>
            <w:tcW w:w="390" w:type="pct"/>
            <w:vAlign w:val="center"/>
          </w:tcPr>
          <w:p w14:paraId="293826F0" w14:textId="77777777" w:rsidR="001C111F" w:rsidRPr="00796738" w:rsidRDefault="001C111F" w:rsidP="008643BB">
            <w:pPr>
              <w:widowControl w:val="0"/>
              <w:spacing w:before="0" w:after="0" w:line="240" w:lineRule="auto"/>
              <w:jc w:val="center"/>
              <w:rPr>
                <w:sz w:val="20"/>
                <w:szCs w:val="20"/>
              </w:rPr>
            </w:pPr>
            <w:r>
              <w:rPr>
                <w:sz w:val="20"/>
                <w:szCs w:val="20"/>
              </w:rPr>
              <w:t>0,00</w:t>
            </w:r>
          </w:p>
        </w:tc>
        <w:tc>
          <w:tcPr>
            <w:tcW w:w="421" w:type="pct"/>
            <w:tcBorders>
              <w:right w:val="single" w:sz="4" w:space="0" w:color="auto"/>
            </w:tcBorders>
            <w:vAlign w:val="center"/>
          </w:tcPr>
          <w:p w14:paraId="6A3A9A01" w14:textId="77777777" w:rsidR="001C111F" w:rsidRPr="009A103C" w:rsidRDefault="001C111F" w:rsidP="008643BB">
            <w:pPr>
              <w:widowControl w:val="0"/>
              <w:spacing w:before="0" w:after="0" w:line="240" w:lineRule="auto"/>
              <w:jc w:val="center"/>
              <w:rPr>
                <w:b/>
                <w:sz w:val="20"/>
                <w:szCs w:val="20"/>
              </w:rPr>
            </w:pPr>
            <w:r w:rsidRPr="009A103C">
              <w:rPr>
                <w:b/>
                <w:sz w:val="20"/>
                <w:szCs w:val="20"/>
              </w:rPr>
              <w:t>0,01*</w:t>
            </w:r>
          </w:p>
        </w:tc>
        <w:tc>
          <w:tcPr>
            <w:tcW w:w="390" w:type="pct"/>
            <w:tcBorders>
              <w:left w:val="single" w:sz="4" w:space="0" w:color="auto"/>
            </w:tcBorders>
            <w:vAlign w:val="center"/>
          </w:tcPr>
          <w:p w14:paraId="653309E1" w14:textId="77777777" w:rsidR="001C111F" w:rsidRPr="00796738" w:rsidRDefault="001C111F" w:rsidP="008643BB">
            <w:pPr>
              <w:widowControl w:val="0"/>
              <w:spacing w:before="0" w:after="0" w:line="240" w:lineRule="auto"/>
              <w:jc w:val="center"/>
              <w:rPr>
                <w:sz w:val="20"/>
                <w:szCs w:val="20"/>
              </w:rPr>
            </w:pPr>
            <w:r>
              <w:rPr>
                <w:sz w:val="20"/>
                <w:szCs w:val="20"/>
              </w:rPr>
              <w:t>-0,38</w:t>
            </w:r>
          </w:p>
        </w:tc>
        <w:tc>
          <w:tcPr>
            <w:tcW w:w="390" w:type="pct"/>
            <w:vAlign w:val="center"/>
          </w:tcPr>
          <w:p w14:paraId="720EDDB1" w14:textId="77777777" w:rsidR="001C111F" w:rsidRPr="009A103C" w:rsidRDefault="001C111F" w:rsidP="008643BB">
            <w:pPr>
              <w:widowControl w:val="0"/>
              <w:spacing w:before="0" w:after="0" w:line="240" w:lineRule="auto"/>
              <w:jc w:val="center"/>
              <w:rPr>
                <w:b/>
                <w:sz w:val="20"/>
                <w:szCs w:val="20"/>
              </w:rPr>
            </w:pPr>
            <w:r w:rsidRPr="009A103C">
              <w:rPr>
                <w:b/>
                <w:sz w:val="20"/>
                <w:szCs w:val="20"/>
              </w:rPr>
              <w:t>0,19</w:t>
            </w:r>
          </w:p>
        </w:tc>
        <w:tc>
          <w:tcPr>
            <w:tcW w:w="341" w:type="pct"/>
          </w:tcPr>
          <w:p w14:paraId="3F5BD127" w14:textId="77777777" w:rsidR="001C111F" w:rsidRDefault="001C111F" w:rsidP="001C111F">
            <w:pPr>
              <w:widowControl w:val="0"/>
              <w:spacing w:before="0" w:after="0" w:line="240" w:lineRule="auto"/>
              <w:jc w:val="center"/>
              <w:rPr>
                <w:sz w:val="20"/>
                <w:szCs w:val="20"/>
              </w:rPr>
            </w:pPr>
            <w:r>
              <w:rPr>
                <w:sz w:val="20"/>
                <w:szCs w:val="20"/>
              </w:rPr>
              <w:t>0,68</w:t>
            </w:r>
          </w:p>
        </w:tc>
      </w:tr>
      <w:tr w:rsidR="007330EA" w:rsidRPr="00796738" w14:paraId="1F3D63D1" w14:textId="77777777" w:rsidTr="007330EA">
        <w:trPr>
          <w:trHeight w:val="142"/>
        </w:trPr>
        <w:tc>
          <w:tcPr>
            <w:tcW w:w="976" w:type="pct"/>
            <w:vAlign w:val="center"/>
            <w:hideMark/>
          </w:tcPr>
          <w:p w14:paraId="2D6BAFA0" w14:textId="77777777" w:rsidR="001C111F" w:rsidRPr="00796738" w:rsidRDefault="001C111F" w:rsidP="001C111F">
            <w:pPr>
              <w:spacing w:before="0" w:after="0" w:line="240" w:lineRule="auto"/>
              <w:jc w:val="center"/>
              <w:rPr>
                <w:sz w:val="20"/>
                <w:szCs w:val="20"/>
              </w:rPr>
            </w:pPr>
            <w:r>
              <w:rPr>
                <w:sz w:val="20"/>
                <w:szCs w:val="20"/>
              </w:rPr>
              <w:t>RISC</w:t>
            </w:r>
          </w:p>
        </w:tc>
        <w:tc>
          <w:tcPr>
            <w:tcW w:w="866" w:type="pct"/>
            <w:tcMar>
              <w:top w:w="100" w:type="dxa"/>
              <w:left w:w="100" w:type="dxa"/>
              <w:bottom w:w="100" w:type="dxa"/>
              <w:right w:w="100" w:type="dxa"/>
            </w:tcMar>
            <w:vAlign w:val="center"/>
          </w:tcPr>
          <w:p w14:paraId="173D5F79" w14:textId="77777777" w:rsidR="001C111F" w:rsidRPr="00796738" w:rsidRDefault="001C111F" w:rsidP="007330EA">
            <w:pPr>
              <w:widowControl w:val="0"/>
              <w:spacing w:before="0" w:after="0" w:line="240" w:lineRule="auto"/>
              <w:jc w:val="center"/>
              <w:rPr>
                <w:sz w:val="20"/>
                <w:szCs w:val="20"/>
              </w:rPr>
            </w:pPr>
            <w:r>
              <w:rPr>
                <w:sz w:val="20"/>
                <w:szCs w:val="20"/>
              </w:rPr>
              <w:t>0,27**</w:t>
            </w:r>
          </w:p>
        </w:tc>
        <w:tc>
          <w:tcPr>
            <w:tcW w:w="304" w:type="pct"/>
            <w:tcMar>
              <w:top w:w="100" w:type="dxa"/>
              <w:left w:w="100" w:type="dxa"/>
              <w:bottom w:w="100" w:type="dxa"/>
              <w:right w:w="100" w:type="dxa"/>
            </w:tcMar>
            <w:vAlign w:val="center"/>
          </w:tcPr>
          <w:p w14:paraId="28847056" w14:textId="77777777" w:rsidR="001C111F" w:rsidRPr="00796738" w:rsidRDefault="001C111F" w:rsidP="007330EA">
            <w:pPr>
              <w:widowControl w:val="0"/>
              <w:spacing w:before="0" w:after="0" w:line="240" w:lineRule="auto"/>
              <w:jc w:val="center"/>
              <w:rPr>
                <w:sz w:val="20"/>
                <w:szCs w:val="20"/>
              </w:rPr>
            </w:pPr>
            <w:r>
              <w:rPr>
                <w:sz w:val="20"/>
                <w:szCs w:val="20"/>
              </w:rPr>
              <w:t>-0,01</w:t>
            </w:r>
          </w:p>
        </w:tc>
        <w:tc>
          <w:tcPr>
            <w:tcW w:w="570" w:type="pct"/>
            <w:tcBorders>
              <w:right w:val="single" w:sz="4" w:space="0" w:color="auto"/>
            </w:tcBorders>
            <w:vAlign w:val="center"/>
          </w:tcPr>
          <w:p w14:paraId="7BD662BD" w14:textId="77777777" w:rsidR="001C111F" w:rsidRPr="009A103C" w:rsidRDefault="001C111F" w:rsidP="008643BB">
            <w:pPr>
              <w:widowControl w:val="0"/>
              <w:spacing w:before="0" w:after="0" w:line="240" w:lineRule="auto"/>
              <w:jc w:val="center"/>
              <w:rPr>
                <w:b/>
                <w:sz w:val="20"/>
                <w:szCs w:val="20"/>
              </w:rPr>
            </w:pPr>
            <w:r w:rsidRPr="009A103C">
              <w:rPr>
                <w:b/>
                <w:sz w:val="20"/>
                <w:szCs w:val="20"/>
              </w:rPr>
              <w:t>0,17*</w:t>
            </w:r>
          </w:p>
        </w:tc>
        <w:tc>
          <w:tcPr>
            <w:tcW w:w="352" w:type="pct"/>
            <w:tcBorders>
              <w:left w:val="single" w:sz="4" w:space="0" w:color="auto"/>
            </w:tcBorders>
            <w:vAlign w:val="center"/>
          </w:tcPr>
          <w:p w14:paraId="6A96E225" w14:textId="77777777" w:rsidR="001C111F" w:rsidRPr="00796738" w:rsidRDefault="001C111F" w:rsidP="008643BB">
            <w:pPr>
              <w:widowControl w:val="0"/>
              <w:spacing w:before="0" w:after="0" w:line="240" w:lineRule="auto"/>
              <w:jc w:val="center"/>
              <w:rPr>
                <w:sz w:val="20"/>
                <w:szCs w:val="20"/>
              </w:rPr>
            </w:pPr>
            <w:r>
              <w:rPr>
                <w:sz w:val="20"/>
                <w:szCs w:val="20"/>
              </w:rPr>
              <w:t>0,01</w:t>
            </w:r>
          </w:p>
        </w:tc>
        <w:tc>
          <w:tcPr>
            <w:tcW w:w="390" w:type="pct"/>
            <w:vAlign w:val="center"/>
          </w:tcPr>
          <w:p w14:paraId="396E9E74" w14:textId="77777777" w:rsidR="001C111F" w:rsidRPr="00796738" w:rsidRDefault="001C111F" w:rsidP="008643BB">
            <w:pPr>
              <w:widowControl w:val="0"/>
              <w:spacing w:before="0" w:after="0" w:line="240" w:lineRule="auto"/>
              <w:jc w:val="center"/>
              <w:rPr>
                <w:sz w:val="20"/>
                <w:szCs w:val="20"/>
              </w:rPr>
            </w:pPr>
            <w:r>
              <w:rPr>
                <w:sz w:val="20"/>
                <w:szCs w:val="20"/>
              </w:rPr>
              <w:t>0,00</w:t>
            </w:r>
          </w:p>
        </w:tc>
        <w:tc>
          <w:tcPr>
            <w:tcW w:w="421" w:type="pct"/>
            <w:tcBorders>
              <w:right w:val="single" w:sz="4" w:space="0" w:color="auto"/>
            </w:tcBorders>
            <w:vAlign w:val="center"/>
          </w:tcPr>
          <w:p w14:paraId="63C18907" w14:textId="77777777" w:rsidR="001C111F" w:rsidRPr="009A103C" w:rsidRDefault="001C111F" w:rsidP="008643BB">
            <w:pPr>
              <w:widowControl w:val="0"/>
              <w:spacing w:before="0" w:after="0" w:line="240" w:lineRule="auto"/>
              <w:jc w:val="center"/>
              <w:rPr>
                <w:b/>
                <w:sz w:val="20"/>
                <w:szCs w:val="20"/>
              </w:rPr>
            </w:pPr>
            <w:r w:rsidRPr="009A103C">
              <w:rPr>
                <w:b/>
                <w:sz w:val="20"/>
                <w:szCs w:val="20"/>
              </w:rPr>
              <w:t>0,01</w:t>
            </w:r>
          </w:p>
        </w:tc>
        <w:tc>
          <w:tcPr>
            <w:tcW w:w="390" w:type="pct"/>
            <w:tcBorders>
              <w:left w:val="single" w:sz="4" w:space="0" w:color="auto"/>
            </w:tcBorders>
            <w:vAlign w:val="center"/>
          </w:tcPr>
          <w:p w14:paraId="12B2B6ED" w14:textId="77777777" w:rsidR="001C111F" w:rsidRPr="00796738" w:rsidRDefault="001C111F" w:rsidP="008643BB">
            <w:pPr>
              <w:widowControl w:val="0"/>
              <w:spacing w:before="0" w:after="0" w:line="240" w:lineRule="auto"/>
              <w:jc w:val="center"/>
              <w:rPr>
                <w:sz w:val="20"/>
                <w:szCs w:val="20"/>
              </w:rPr>
            </w:pPr>
            <w:r>
              <w:rPr>
                <w:sz w:val="20"/>
                <w:szCs w:val="20"/>
              </w:rPr>
              <w:t>0,30**</w:t>
            </w:r>
          </w:p>
        </w:tc>
        <w:tc>
          <w:tcPr>
            <w:tcW w:w="390" w:type="pct"/>
            <w:vAlign w:val="center"/>
          </w:tcPr>
          <w:p w14:paraId="6D204C5B" w14:textId="77777777" w:rsidR="001C111F" w:rsidRPr="009A103C" w:rsidRDefault="001C111F" w:rsidP="008643BB">
            <w:pPr>
              <w:widowControl w:val="0"/>
              <w:spacing w:before="0" w:after="0" w:line="240" w:lineRule="auto"/>
              <w:jc w:val="center"/>
              <w:rPr>
                <w:b/>
                <w:sz w:val="20"/>
                <w:szCs w:val="20"/>
              </w:rPr>
            </w:pPr>
            <w:r w:rsidRPr="009A103C">
              <w:rPr>
                <w:b/>
                <w:sz w:val="20"/>
                <w:szCs w:val="20"/>
              </w:rPr>
              <w:t>0,09</w:t>
            </w:r>
          </w:p>
        </w:tc>
        <w:tc>
          <w:tcPr>
            <w:tcW w:w="341" w:type="pct"/>
          </w:tcPr>
          <w:p w14:paraId="0B1E29FC" w14:textId="77777777" w:rsidR="001C111F" w:rsidRDefault="001C111F" w:rsidP="001C111F">
            <w:pPr>
              <w:widowControl w:val="0"/>
              <w:spacing w:before="0" w:after="0" w:line="240" w:lineRule="auto"/>
              <w:jc w:val="center"/>
              <w:rPr>
                <w:sz w:val="20"/>
                <w:szCs w:val="20"/>
              </w:rPr>
            </w:pPr>
            <w:r>
              <w:rPr>
                <w:sz w:val="20"/>
                <w:szCs w:val="20"/>
              </w:rPr>
              <w:t>0,08</w:t>
            </w:r>
          </w:p>
        </w:tc>
      </w:tr>
      <w:tr w:rsidR="007330EA" w:rsidRPr="005E7FB8" w14:paraId="55A1FAF4" w14:textId="77777777" w:rsidTr="007330EA">
        <w:trPr>
          <w:trHeight w:val="142"/>
        </w:trPr>
        <w:tc>
          <w:tcPr>
            <w:tcW w:w="976" w:type="pct"/>
            <w:vAlign w:val="center"/>
            <w:hideMark/>
          </w:tcPr>
          <w:p w14:paraId="112B1668" w14:textId="77777777" w:rsidR="001C111F" w:rsidRPr="005E7FB8" w:rsidRDefault="001C111F" w:rsidP="001C111F">
            <w:pPr>
              <w:spacing w:before="0" w:after="0" w:line="240" w:lineRule="auto"/>
              <w:jc w:val="center"/>
              <w:rPr>
                <w:color w:val="FF0000"/>
                <w:sz w:val="20"/>
                <w:szCs w:val="20"/>
              </w:rPr>
            </w:pPr>
            <w:r w:rsidRPr="005E7FB8">
              <w:rPr>
                <w:sz w:val="20"/>
                <w:szCs w:val="20"/>
              </w:rPr>
              <w:t>TAM</w:t>
            </w:r>
          </w:p>
        </w:tc>
        <w:tc>
          <w:tcPr>
            <w:tcW w:w="866" w:type="pct"/>
            <w:tcMar>
              <w:top w:w="100" w:type="dxa"/>
              <w:left w:w="100" w:type="dxa"/>
              <w:bottom w:w="100" w:type="dxa"/>
              <w:right w:w="100" w:type="dxa"/>
            </w:tcMar>
            <w:vAlign w:val="center"/>
          </w:tcPr>
          <w:p w14:paraId="3D074037" w14:textId="77777777" w:rsidR="001C111F" w:rsidRPr="005E7FB8" w:rsidRDefault="001C111F" w:rsidP="007330EA">
            <w:pPr>
              <w:widowControl w:val="0"/>
              <w:spacing w:before="0" w:after="0" w:line="240" w:lineRule="auto"/>
              <w:jc w:val="center"/>
              <w:rPr>
                <w:color w:val="000000"/>
                <w:sz w:val="20"/>
                <w:szCs w:val="20"/>
              </w:rPr>
            </w:pPr>
            <w:r>
              <w:rPr>
                <w:color w:val="000000"/>
                <w:sz w:val="20"/>
                <w:szCs w:val="20"/>
              </w:rPr>
              <w:t>-0,75</w:t>
            </w:r>
          </w:p>
        </w:tc>
        <w:tc>
          <w:tcPr>
            <w:tcW w:w="304" w:type="pct"/>
            <w:tcMar>
              <w:top w:w="100" w:type="dxa"/>
              <w:left w:w="100" w:type="dxa"/>
              <w:bottom w:w="100" w:type="dxa"/>
              <w:right w:w="100" w:type="dxa"/>
            </w:tcMar>
            <w:vAlign w:val="center"/>
          </w:tcPr>
          <w:p w14:paraId="5A374CCE" w14:textId="77777777" w:rsidR="001C111F" w:rsidRPr="005E7FB8" w:rsidRDefault="001C111F" w:rsidP="007330EA">
            <w:pPr>
              <w:widowControl w:val="0"/>
              <w:spacing w:before="0" w:after="0" w:line="240" w:lineRule="auto"/>
              <w:jc w:val="center"/>
              <w:rPr>
                <w:sz w:val="20"/>
                <w:szCs w:val="20"/>
              </w:rPr>
            </w:pPr>
            <w:r>
              <w:rPr>
                <w:sz w:val="20"/>
                <w:szCs w:val="20"/>
              </w:rPr>
              <w:t>0,42</w:t>
            </w:r>
          </w:p>
        </w:tc>
        <w:tc>
          <w:tcPr>
            <w:tcW w:w="570" w:type="pct"/>
            <w:tcBorders>
              <w:right w:val="single" w:sz="4" w:space="0" w:color="auto"/>
            </w:tcBorders>
            <w:vAlign w:val="center"/>
          </w:tcPr>
          <w:p w14:paraId="168A57FA" w14:textId="77777777" w:rsidR="001C111F" w:rsidRPr="009A103C" w:rsidRDefault="001C111F" w:rsidP="008643BB">
            <w:pPr>
              <w:widowControl w:val="0"/>
              <w:spacing w:before="0" w:after="0" w:line="240" w:lineRule="auto"/>
              <w:jc w:val="center"/>
              <w:rPr>
                <w:b/>
                <w:sz w:val="20"/>
                <w:szCs w:val="20"/>
              </w:rPr>
            </w:pPr>
            <w:r w:rsidRPr="009A103C">
              <w:rPr>
                <w:b/>
                <w:sz w:val="20"/>
                <w:szCs w:val="20"/>
              </w:rPr>
              <w:t>0,15</w:t>
            </w:r>
          </w:p>
        </w:tc>
        <w:tc>
          <w:tcPr>
            <w:tcW w:w="352" w:type="pct"/>
            <w:tcBorders>
              <w:left w:val="single" w:sz="4" w:space="0" w:color="auto"/>
            </w:tcBorders>
            <w:vAlign w:val="center"/>
          </w:tcPr>
          <w:p w14:paraId="545DBCD4" w14:textId="77777777" w:rsidR="001C111F" w:rsidRPr="00796738" w:rsidRDefault="001C111F" w:rsidP="008643BB">
            <w:pPr>
              <w:widowControl w:val="0"/>
              <w:spacing w:before="0" w:after="0" w:line="240" w:lineRule="auto"/>
              <w:jc w:val="center"/>
              <w:rPr>
                <w:sz w:val="20"/>
                <w:szCs w:val="20"/>
              </w:rPr>
            </w:pPr>
            <w:r>
              <w:rPr>
                <w:sz w:val="20"/>
                <w:szCs w:val="20"/>
              </w:rPr>
              <w:t>0,05</w:t>
            </w:r>
          </w:p>
        </w:tc>
        <w:tc>
          <w:tcPr>
            <w:tcW w:w="390" w:type="pct"/>
            <w:vAlign w:val="center"/>
          </w:tcPr>
          <w:p w14:paraId="2B21F4E6" w14:textId="77777777" w:rsidR="001C111F" w:rsidRPr="005E7FB8" w:rsidRDefault="001C111F" w:rsidP="008643BB">
            <w:pPr>
              <w:widowControl w:val="0"/>
              <w:spacing w:before="0" w:after="0" w:line="240" w:lineRule="auto"/>
              <w:jc w:val="center"/>
              <w:rPr>
                <w:sz w:val="20"/>
                <w:szCs w:val="20"/>
              </w:rPr>
            </w:pPr>
            <w:r>
              <w:rPr>
                <w:sz w:val="20"/>
                <w:szCs w:val="20"/>
              </w:rPr>
              <w:t>0,04***</w:t>
            </w:r>
          </w:p>
        </w:tc>
        <w:tc>
          <w:tcPr>
            <w:tcW w:w="421" w:type="pct"/>
            <w:tcBorders>
              <w:right w:val="single" w:sz="4" w:space="0" w:color="auto"/>
            </w:tcBorders>
            <w:vAlign w:val="center"/>
          </w:tcPr>
          <w:p w14:paraId="50BCD3E6" w14:textId="77777777" w:rsidR="001C111F" w:rsidRPr="009A103C" w:rsidRDefault="001C111F" w:rsidP="008643BB">
            <w:pPr>
              <w:widowControl w:val="0"/>
              <w:spacing w:before="0" w:after="0" w:line="240" w:lineRule="auto"/>
              <w:jc w:val="center"/>
              <w:rPr>
                <w:b/>
                <w:sz w:val="20"/>
                <w:szCs w:val="20"/>
              </w:rPr>
            </w:pPr>
            <w:r w:rsidRPr="009A103C">
              <w:rPr>
                <w:b/>
                <w:sz w:val="20"/>
                <w:szCs w:val="20"/>
              </w:rPr>
              <w:t>0,10***</w:t>
            </w:r>
          </w:p>
        </w:tc>
        <w:tc>
          <w:tcPr>
            <w:tcW w:w="390" w:type="pct"/>
            <w:tcBorders>
              <w:left w:val="single" w:sz="4" w:space="0" w:color="auto"/>
            </w:tcBorders>
            <w:vAlign w:val="center"/>
          </w:tcPr>
          <w:p w14:paraId="771A0F2B" w14:textId="77777777" w:rsidR="001C111F" w:rsidRPr="005E7FB8" w:rsidRDefault="001C111F" w:rsidP="008643BB">
            <w:pPr>
              <w:widowControl w:val="0"/>
              <w:spacing w:before="0" w:after="0" w:line="240" w:lineRule="auto"/>
              <w:jc w:val="center"/>
              <w:rPr>
                <w:sz w:val="20"/>
                <w:szCs w:val="20"/>
              </w:rPr>
            </w:pPr>
            <w:r>
              <w:rPr>
                <w:sz w:val="20"/>
                <w:szCs w:val="20"/>
              </w:rPr>
              <w:t>0,27</w:t>
            </w:r>
          </w:p>
        </w:tc>
        <w:tc>
          <w:tcPr>
            <w:tcW w:w="390" w:type="pct"/>
            <w:vAlign w:val="center"/>
          </w:tcPr>
          <w:p w14:paraId="3DC4E50C" w14:textId="77777777" w:rsidR="001C111F" w:rsidRPr="009A103C" w:rsidRDefault="001C111F" w:rsidP="008643BB">
            <w:pPr>
              <w:widowControl w:val="0"/>
              <w:spacing w:before="0" w:after="0" w:line="240" w:lineRule="auto"/>
              <w:jc w:val="center"/>
              <w:rPr>
                <w:b/>
                <w:sz w:val="20"/>
                <w:szCs w:val="20"/>
              </w:rPr>
            </w:pPr>
            <w:r w:rsidRPr="009A103C">
              <w:rPr>
                <w:b/>
                <w:sz w:val="20"/>
                <w:szCs w:val="20"/>
              </w:rPr>
              <w:t>0,26</w:t>
            </w:r>
          </w:p>
        </w:tc>
        <w:tc>
          <w:tcPr>
            <w:tcW w:w="341" w:type="pct"/>
          </w:tcPr>
          <w:p w14:paraId="4593E416" w14:textId="77777777" w:rsidR="001C111F" w:rsidRDefault="001C111F" w:rsidP="001C111F">
            <w:pPr>
              <w:widowControl w:val="0"/>
              <w:spacing w:before="0" w:after="0" w:line="240" w:lineRule="auto"/>
              <w:jc w:val="center"/>
              <w:rPr>
                <w:sz w:val="20"/>
                <w:szCs w:val="20"/>
              </w:rPr>
            </w:pPr>
            <w:r>
              <w:rPr>
                <w:sz w:val="20"/>
                <w:szCs w:val="20"/>
              </w:rPr>
              <w:t>0,61**</w:t>
            </w:r>
          </w:p>
        </w:tc>
      </w:tr>
      <w:tr w:rsidR="007330EA" w:rsidRPr="00796738" w14:paraId="4AE6F1E5" w14:textId="77777777" w:rsidTr="00D338BB">
        <w:trPr>
          <w:trHeight w:val="142"/>
        </w:trPr>
        <w:tc>
          <w:tcPr>
            <w:tcW w:w="976" w:type="pct"/>
            <w:vAlign w:val="center"/>
            <w:hideMark/>
          </w:tcPr>
          <w:p w14:paraId="4225501C" w14:textId="77777777" w:rsidR="001C111F" w:rsidRPr="00796738" w:rsidRDefault="00F274EA" w:rsidP="001C111F">
            <w:pPr>
              <w:spacing w:before="0" w:after="0" w:line="240" w:lineRule="auto"/>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CRESC</m:t>
                    </m:r>
                  </m:e>
                  <m:sub>
                    <m:r>
                      <w:rPr>
                        <w:rFonts w:ascii="Cambria Math" w:hAnsi="Cambria Math"/>
                        <w:sz w:val="20"/>
                        <w:szCs w:val="20"/>
                      </w:rPr>
                      <m:t>t-1</m:t>
                    </m:r>
                  </m:sub>
                </m:sSub>
              </m:oMath>
            </m:oMathPara>
          </w:p>
        </w:tc>
        <w:tc>
          <w:tcPr>
            <w:tcW w:w="866" w:type="pct"/>
            <w:tcMar>
              <w:top w:w="100" w:type="dxa"/>
              <w:left w:w="100" w:type="dxa"/>
              <w:bottom w:w="100" w:type="dxa"/>
              <w:right w:w="100" w:type="dxa"/>
            </w:tcMar>
            <w:vAlign w:val="center"/>
          </w:tcPr>
          <w:p w14:paraId="2C7F2A79" w14:textId="77777777" w:rsidR="001C111F" w:rsidRPr="00796738" w:rsidRDefault="001C111F" w:rsidP="007330EA">
            <w:pPr>
              <w:widowControl w:val="0"/>
              <w:spacing w:before="0" w:after="0" w:line="240" w:lineRule="auto"/>
              <w:jc w:val="center"/>
              <w:rPr>
                <w:sz w:val="20"/>
                <w:szCs w:val="20"/>
              </w:rPr>
            </w:pPr>
            <w:r>
              <w:rPr>
                <w:sz w:val="20"/>
                <w:szCs w:val="20"/>
              </w:rPr>
              <w:t>12,60</w:t>
            </w:r>
          </w:p>
        </w:tc>
        <w:tc>
          <w:tcPr>
            <w:tcW w:w="304" w:type="pct"/>
            <w:tcMar>
              <w:top w:w="100" w:type="dxa"/>
              <w:left w:w="100" w:type="dxa"/>
              <w:bottom w:w="100" w:type="dxa"/>
              <w:right w:w="100" w:type="dxa"/>
            </w:tcMar>
            <w:vAlign w:val="center"/>
          </w:tcPr>
          <w:p w14:paraId="258D37CE" w14:textId="77777777" w:rsidR="001C111F" w:rsidRPr="00796738" w:rsidRDefault="001C111F" w:rsidP="007330EA">
            <w:pPr>
              <w:widowControl w:val="0"/>
              <w:spacing w:before="0" w:after="0" w:line="240" w:lineRule="auto"/>
              <w:jc w:val="center"/>
              <w:rPr>
                <w:sz w:val="20"/>
                <w:szCs w:val="20"/>
              </w:rPr>
            </w:pPr>
            <w:r>
              <w:rPr>
                <w:sz w:val="20"/>
                <w:szCs w:val="20"/>
              </w:rPr>
              <w:t>19,96</w:t>
            </w:r>
          </w:p>
        </w:tc>
        <w:tc>
          <w:tcPr>
            <w:tcW w:w="570" w:type="pct"/>
            <w:tcBorders>
              <w:right w:val="single" w:sz="4" w:space="0" w:color="auto"/>
            </w:tcBorders>
            <w:vAlign w:val="center"/>
          </w:tcPr>
          <w:p w14:paraId="35A29721" w14:textId="77777777" w:rsidR="001C111F" w:rsidRPr="009A103C" w:rsidRDefault="001C111F" w:rsidP="008643BB">
            <w:pPr>
              <w:widowControl w:val="0"/>
              <w:spacing w:before="0" w:after="0" w:line="240" w:lineRule="auto"/>
              <w:jc w:val="center"/>
              <w:rPr>
                <w:b/>
                <w:sz w:val="20"/>
                <w:szCs w:val="20"/>
              </w:rPr>
            </w:pPr>
            <w:r w:rsidRPr="009A103C">
              <w:rPr>
                <w:b/>
                <w:sz w:val="20"/>
                <w:szCs w:val="20"/>
              </w:rPr>
              <w:t>11,91</w:t>
            </w:r>
          </w:p>
        </w:tc>
        <w:tc>
          <w:tcPr>
            <w:tcW w:w="352" w:type="pct"/>
            <w:tcBorders>
              <w:left w:val="single" w:sz="4" w:space="0" w:color="auto"/>
            </w:tcBorders>
            <w:vAlign w:val="center"/>
          </w:tcPr>
          <w:p w14:paraId="398C96CB" w14:textId="77777777" w:rsidR="001C111F" w:rsidRPr="005E7FB8" w:rsidRDefault="001C111F" w:rsidP="008643BB">
            <w:pPr>
              <w:widowControl w:val="0"/>
              <w:spacing w:before="0" w:after="0" w:line="240" w:lineRule="auto"/>
              <w:jc w:val="center"/>
              <w:rPr>
                <w:sz w:val="20"/>
                <w:szCs w:val="20"/>
              </w:rPr>
            </w:pPr>
            <w:r>
              <w:rPr>
                <w:sz w:val="20"/>
                <w:szCs w:val="20"/>
              </w:rPr>
              <w:t>-1,34</w:t>
            </w:r>
          </w:p>
        </w:tc>
        <w:tc>
          <w:tcPr>
            <w:tcW w:w="390" w:type="pct"/>
            <w:vAlign w:val="center"/>
          </w:tcPr>
          <w:p w14:paraId="6181C05D" w14:textId="77777777" w:rsidR="001C111F" w:rsidRPr="00796738" w:rsidRDefault="001C111F" w:rsidP="008643BB">
            <w:pPr>
              <w:widowControl w:val="0"/>
              <w:spacing w:before="0" w:after="0" w:line="240" w:lineRule="auto"/>
              <w:jc w:val="center"/>
              <w:rPr>
                <w:sz w:val="20"/>
                <w:szCs w:val="20"/>
              </w:rPr>
            </w:pPr>
            <w:r>
              <w:rPr>
                <w:sz w:val="20"/>
                <w:szCs w:val="20"/>
              </w:rPr>
              <w:t>0,00</w:t>
            </w:r>
          </w:p>
        </w:tc>
        <w:tc>
          <w:tcPr>
            <w:tcW w:w="421" w:type="pct"/>
            <w:tcBorders>
              <w:right w:val="single" w:sz="4" w:space="0" w:color="auto"/>
            </w:tcBorders>
            <w:vAlign w:val="center"/>
          </w:tcPr>
          <w:p w14:paraId="49BD88BA" w14:textId="77777777" w:rsidR="001C111F" w:rsidRPr="009A103C" w:rsidRDefault="001C111F" w:rsidP="008643BB">
            <w:pPr>
              <w:widowControl w:val="0"/>
              <w:spacing w:before="0" w:after="0" w:line="240" w:lineRule="auto"/>
              <w:jc w:val="center"/>
              <w:rPr>
                <w:b/>
                <w:sz w:val="20"/>
                <w:szCs w:val="20"/>
              </w:rPr>
            </w:pPr>
            <w:r w:rsidRPr="009A103C">
              <w:rPr>
                <w:b/>
                <w:sz w:val="20"/>
                <w:szCs w:val="20"/>
              </w:rPr>
              <w:t>-0,04</w:t>
            </w:r>
          </w:p>
        </w:tc>
        <w:tc>
          <w:tcPr>
            <w:tcW w:w="390" w:type="pct"/>
            <w:tcBorders>
              <w:left w:val="single" w:sz="4" w:space="0" w:color="auto"/>
            </w:tcBorders>
            <w:vAlign w:val="center"/>
          </w:tcPr>
          <w:p w14:paraId="0733125A" w14:textId="77777777" w:rsidR="001C111F" w:rsidRPr="00796738" w:rsidRDefault="001C111F" w:rsidP="008643BB">
            <w:pPr>
              <w:widowControl w:val="0"/>
              <w:spacing w:before="0" w:after="0" w:line="240" w:lineRule="auto"/>
              <w:jc w:val="center"/>
              <w:rPr>
                <w:sz w:val="20"/>
                <w:szCs w:val="20"/>
              </w:rPr>
            </w:pPr>
            <w:r>
              <w:rPr>
                <w:sz w:val="20"/>
                <w:szCs w:val="20"/>
              </w:rPr>
              <w:t>-0,25</w:t>
            </w:r>
          </w:p>
        </w:tc>
        <w:tc>
          <w:tcPr>
            <w:tcW w:w="390" w:type="pct"/>
            <w:vAlign w:val="center"/>
          </w:tcPr>
          <w:p w14:paraId="4D53C4CF" w14:textId="77777777" w:rsidR="001C111F" w:rsidRPr="009A103C" w:rsidRDefault="001C111F" w:rsidP="008643BB">
            <w:pPr>
              <w:widowControl w:val="0"/>
              <w:spacing w:before="0" w:after="0" w:line="240" w:lineRule="auto"/>
              <w:jc w:val="center"/>
              <w:rPr>
                <w:b/>
                <w:sz w:val="20"/>
                <w:szCs w:val="20"/>
              </w:rPr>
            </w:pPr>
            <w:r w:rsidRPr="009A103C">
              <w:rPr>
                <w:b/>
                <w:sz w:val="20"/>
                <w:szCs w:val="20"/>
              </w:rPr>
              <w:t>-13,79</w:t>
            </w:r>
          </w:p>
        </w:tc>
        <w:tc>
          <w:tcPr>
            <w:tcW w:w="341" w:type="pct"/>
          </w:tcPr>
          <w:p w14:paraId="21B2294B" w14:textId="77777777" w:rsidR="001C111F" w:rsidRDefault="001C111F" w:rsidP="001C111F">
            <w:pPr>
              <w:widowControl w:val="0"/>
              <w:spacing w:before="0" w:after="0" w:line="240" w:lineRule="auto"/>
              <w:jc w:val="center"/>
              <w:rPr>
                <w:sz w:val="20"/>
                <w:szCs w:val="20"/>
              </w:rPr>
            </w:pPr>
            <w:r>
              <w:rPr>
                <w:sz w:val="20"/>
                <w:szCs w:val="20"/>
              </w:rPr>
              <w:t>-13,10</w:t>
            </w:r>
          </w:p>
        </w:tc>
      </w:tr>
      <w:tr w:rsidR="007330EA" w:rsidRPr="00796738" w14:paraId="2BAEBB46" w14:textId="77777777" w:rsidTr="00D338BB">
        <w:trPr>
          <w:trHeight w:val="142"/>
        </w:trPr>
        <w:tc>
          <w:tcPr>
            <w:tcW w:w="976" w:type="pct"/>
            <w:tcBorders>
              <w:bottom w:val="single" w:sz="4" w:space="0" w:color="auto"/>
            </w:tcBorders>
            <w:vAlign w:val="center"/>
            <w:hideMark/>
          </w:tcPr>
          <w:p w14:paraId="18DABB41" w14:textId="77777777" w:rsidR="001C111F" w:rsidRPr="00796738" w:rsidRDefault="001C111F" w:rsidP="001C111F">
            <w:pPr>
              <w:spacing w:before="0" w:after="0" w:line="240" w:lineRule="auto"/>
              <w:jc w:val="center"/>
              <w:rPr>
                <w:color w:val="000000"/>
                <w:sz w:val="20"/>
                <w:szCs w:val="20"/>
              </w:rPr>
            </w:pPr>
            <w:r>
              <w:rPr>
                <w:sz w:val="20"/>
                <w:szCs w:val="20"/>
              </w:rPr>
              <w:t>PROP</w:t>
            </w:r>
          </w:p>
        </w:tc>
        <w:tc>
          <w:tcPr>
            <w:tcW w:w="866" w:type="pct"/>
            <w:tcBorders>
              <w:bottom w:val="single" w:sz="4" w:space="0" w:color="auto"/>
            </w:tcBorders>
            <w:tcMar>
              <w:top w:w="100" w:type="dxa"/>
              <w:left w:w="100" w:type="dxa"/>
              <w:bottom w:w="100" w:type="dxa"/>
              <w:right w:w="100" w:type="dxa"/>
            </w:tcMar>
            <w:vAlign w:val="center"/>
          </w:tcPr>
          <w:p w14:paraId="1A4E7705" w14:textId="77777777" w:rsidR="001C111F" w:rsidRPr="00796738" w:rsidRDefault="001C111F" w:rsidP="007330EA">
            <w:pPr>
              <w:widowControl w:val="0"/>
              <w:spacing w:before="0" w:after="0" w:line="240" w:lineRule="auto"/>
              <w:jc w:val="center"/>
              <w:rPr>
                <w:sz w:val="20"/>
                <w:szCs w:val="20"/>
              </w:rPr>
            </w:pPr>
            <w:r>
              <w:rPr>
                <w:sz w:val="20"/>
                <w:szCs w:val="20"/>
              </w:rPr>
              <w:t>7,26***</w:t>
            </w:r>
          </w:p>
        </w:tc>
        <w:tc>
          <w:tcPr>
            <w:tcW w:w="304" w:type="pct"/>
            <w:tcBorders>
              <w:bottom w:val="single" w:sz="4" w:space="0" w:color="auto"/>
            </w:tcBorders>
            <w:tcMar>
              <w:top w:w="100" w:type="dxa"/>
              <w:left w:w="100" w:type="dxa"/>
              <w:bottom w:w="100" w:type="dxa"/>
              <w:right w:w="100" w:type="dxa"/>
            </w:tcMar>
            <w:vAlign w:val="center"/>
          </w:tcPr>
          <w:p w14:paraId="4F38BC74" w14:textId="77777777" w:rsidR="001C111F" w:rsidRPr="00796738" w:rsidRDefault="001C111F" w:rsidP="007330EA">
            <w:pPr>
              <w:widowControl w:val="0"/>
              <w:spacing w:before="0" w:after="0" w:line="240" w:lineRule="auto"/>
              <w:jc w:val="center"/>
              <w:rPr>
                <w:sz w:val="20"/>
                <w:szCs w:val="20"/>
              </w:rPr>
            </w:pPr>
            <w:r>
              <w:rPr>
                <w:sz w:val="20"/>
                <w:szCs w:val="20"/>
              </w:rPr>
              <w:t>7,40**</w:t>
            </w:r>
          </w:p>
        </w:tc>
        <w:tc>
          <w:tcPr>
            <w:tcW w:w="570" w:type="pct"/>
            <w:tcBorders>
              <w:bottom w:val="single" w:sz="4" w:space="0" w:color="auto"/>
              <w:right w:val="single" w:sz="4" w:space="0" w:color="auto"/>
            </w:tcBorders>
            <w:vAlign w:val="center"/>
          </w:tcPr>
          <w:p w14:paraId="4EA28C7A" w14:textId="77777777" w:rsidR="001C111F" w:rsidRPr="009A103C" w:rsidRDefault="001C111F" w:rsidP="008643BB">
            <w:pPr>
              <w:widowControl w:val="0"/>
              <w:spacing w:before="0" w:after="0" w:line="240" w:lineRule="auto"/>
              <w:jc w:val="center"/>
              <w:rPr>
                <w:b/>
                <w:sz w:val="20"/>
                <w:szCs w:val="20"/>
              </w:rPr>
            </w:pPr>
            <w:r w:rsidRPr="009A103C">
              <w:rPr>
                <w:b/>
                <w:sz w:val="20"/>
                <w:szCs w:val="20"/>
              </w:rPr>
              <w:t>5,32***</w:t>
            </w:r>
          </w:p>
        </w:tc>
        <w:tc>
          <w:tcPr>
            <w:tcW w:w="352" w:type="pct"/>
            <w:tcBorders>
              <w:left w:val="single" w:sz="4" w:space="0" w:color="auto"/>
              <w:bottom w:val="single" w:sz="4" w:space="0" w:color="auto"/>
            </w:tcBorders>
            <w:vAlign w:val="center"/>
          </w:tcPr>
          <w:p w14:paraId="4CF3F218" w14:textId="77777777" w:rsidR="001C111F" w:rsidRPr="00796738" w:rsidRDefault="001C111F" w:rsidP="008643BB">
            <w:pPr>
              <w:widowControl w:val="0"/>
              <w:spacing w:before="0" w:after="0" w:line="240" w:lineRule="auto"/>
              <w:jc w:val="center"/>
              <w:rPr>
                <w:sz w:val="20"/>
                <w:szCs w:val="20"/>
              </w:rPr>
            </w:pPr>
            <w:r>
              <w:rPr>
                <w:sz w:val="20"/>
                <w:szCs w:val="20"/>
              </w:rPr>
              <w:t>0,21*</w:t>
            </w:r>
          </w:p>
        </w:tc>
        <w:tc>
          <w:tcPr>
            <w:tcW w:w="390" w:type="pct"/>
            <w:tcBorders>
              <w:bottom w:val="single" w:sz="4" w:space="0" w:color="auto"/>
            </w:tcBorders>
            <w:vAlign w:val="center"/>
          </w:tcPr>
          <w:p w14:paraId="459B7163" w14:textId="77777777" w:rsidR="001C111F" w:rsidRPr="00796738" w:rsidRDefault="001C111F" w:rsidP="008643BB">
            <w:pPr>
              <w:widowControl w:val="0"/>
              <w:spacing w:before="0" w:after="0" w:line="240" w:lineRule="auto"/>
              <w:jc w:val="center"/>
              <w:rPr>
                <w:sz w:val="20"/>
                <w:szCs w:val="20"/>
              </w:rPr>
            </w:pPr>
            <w:r>
              <w:rPr>
                <w:sz w:val="20"/>
                <w:szCs w:val="20"/>
              </w:rPr>
              <w:t>0,13</w:t>
            </w:r>
          </w:p>
        </w:tc>
        <w:tc>
          <w:tcPr>
            <w:tcW w:w="421" w:type="pct"/>
            <w:tcBorders>
              <w:bottom w:val="single" w:sz="4" w:space="0" w:color="auto"/>
              <w:right w:val="single" w:sz="4" w:space="0" w:color="auto"/>
            </w:tcBorders>
            <w:vAlign w:val="center"/>
          </w:tcPr>
          <w:p w14:paraId="7759C7AA" w14:textId="77777777" w:rsidR="001C111F" w:rsidRPr="009A103C" w:rsidRDefault="001C111F" w:rsidP="008643BB">
            <w:pPr>
              <w:widowControl w:val="0"/>
              <w:spacing w:before="0" w:after="0" w:line="240" w:lineRule="auto"/>
              <w:jc w:val="center"/>
              <w:rPr>
                <w:b/>
                <w:sz w:val="20"/>
                <w:szCs w:val="20"/>
              </w:rPr>
            </w:pPr>
            <w:r w:rsidRPr="009A103C">
              <w:rPr>
                <w:b/>
                <w:sz w:val="20"/>
                <w:szCs w:val="20"/>
              </w:rPr>
              <w:t>-0,25***</w:t>
            </w:r>
          </w:p>
        </w:tc>
        <w:tc>
          <w:tcPr>
            <w:tcW w:w="390" w:type="pct"/>
            <w:tcBorders>
              <w:left w:val="single" w:sz="4" w:space="0" w:color="auto"/>
              <w:bottom w:val="single" w:sz="4" w:space="0" w:color="auto"/>
            </w:tcBorders>
            <w:vAlign w:val="center"/>
          </w:tcPr>
          <w:p w14:paraId="4A4DC9C1" w14:textId="77777777" w:rsidR="001C111F" w:rsidRPr="00796738" w:rsidRDefault="001C111F" w:rsidP="008643BB">
            <w:pPr>
              <w:widowControl w:val="0"/>
              <w:spacing w:before="0" w:after="0" w:line="240" w:lineRule="auto"/>
              <w:jc w:val="center"/>
              <w:rPr>
                <w:sz w:val="20"/>
                <w:szCs w:val="20"/>
              </w:rPr>
            </w:pPr>
            <w:r>
              <w:rPr>
                <w:sz w:val="20"/>
                <w:szCs w:val="20"/>
              </w:rPr>
              <w:t>7,18***</w:t>
            </w:r>
          </w:p>
        </w:tc>
        <w:tc>
          <w:tcPr>
            <w:tcW w:w="390" w:type="pct"/>
            <w:tcBorders>
              <w:bottom w:val="single" w:sz="4" w:space="0" w:color="auto"/>
            </w:tcBorders>
            <w:vAlign w:val="center"/>
          </w:tcPr>
          <w:p w14:paraId="2541DAD7" w14:textId="77777777" w:rsidR="001C111F" w:rsidRPr="009A103C" w:rsidRDefault="001C111F" w:rsidP="008643BB">
            <w:pPr>
              <w:widowControl w:val="0"/>
              <w:spacing w:before="0" w:after="0" w:line="240" w:lineRule="auto"/>
              <w:jc w:val="center"/>
              <w:rPr>
                <w:b/>
                <w:sz w:val="20"/>
                <w:szCs w:val="20"/>
              </w:rPr>
            </w:pPr>
            <w:r w:rsidRPr="009A103C">
              <w:rPr>
                <w:b/>
                <w:sz w:val="20"/>
                <w:szCs w:val="20"/>
              </w:rPr>
              <w:t>11,41**</w:t>
            </w:r>
          </w:p>
        </w:tc>
        <w:tc>
          <w:tcPr>
            <w:tcW w:w="341" w:type="pct"/>
            <w:tcBorders>
              <w:bottom w:val="single" w:sz="4" w:space="0" w:color="auto"/>
            </w:tcBorders>
            <w:vAlign w:val="center"/>
          </w:tcPr>
          <w:p w14:paraId="6A7528E5" w14:textId="77777777" w:rsidR="001C111F" w:rsidRDefault="001C111F" w:rsidP="008643BB">
            <w:pPr>
              <w:widowControl w:val="0"/>
              <w:spacing w:before="0" w:after="0" w:line="240" w:lineRule="auto"/>
              <w:jc w:val="center"/>
              <w:rPr>
                <w:sz w:val="20"/>
                <w:szCs w:val="20"/>
              </w:rPr>
            </w:pPr>
            <w:r>
              <w:rPr>
                <w:sz w:val="20"/>
                <w:szCs w:val="20"/>
              </w:rPr>
              <w:t>0,18</w:t>
            </w:r>
          </w:p>
        </w:tc>
      </w:tr>
      <w:tr w:rsidR="008643BB" w:rsidRPr="00796738" w14:paraId="6540A2AD" w14:textId="77777777" w:rsidTr="00D338BB">
        <w:trPr>
          <w:trHeight w:val="142"/>
        </w:trPr>
        <w:tc>
          <w:tcPr>
            <w:tcW w:w="1842" w:type="pct"/>
            <w:gridSpan w:val="2"/>
            <w:tcBorders>
              <w:top w:val="single" w:sz="4" w:space="0" w:color="auto"/>
            </w:tcBorders>
            <w:vAlign w:val="center"/>
          </w:tcPr>
          <w:p w14:paraId="69533D5A" w14:textId="77777777" w:rsidR="001C111F" w:rsidRPr="00796738" w:rsidRDefault="001C111F" w:rsidP="001C111F">
            <w:pPr>
              <w:widowControl w:val="0"/>
              <w:spacing w:before="0" w:after="0" w:line="240" w:lineRule="auto"/>
              <w:jc w:val="left"/>
              <w:rPr>
                <w:sz w:val="20"/>
                <w:szCs w:val="20"/>
              </w:rPr>
            </w:pPr>
            <w:r w:rsidRPr="00796738">
              <w:rPr>
                <w:sz w:val="20"/>
                <w:szCs w:val="20"/>
              </w:rPr>
              <w:t>Teste de Chow</w:t>
            </w:r>
          </w:p>
        </w:tc>
        <w:tc>
          <w:tcPr>
            <w:tcW w:w="873" w:type="pct"/>
            <w:gridSpan w:val="2"/>
            <w:tcBorders>
              <w:top w:val="single" w:sz="4" w:space="0" w:color="auto"/>
              <w:right w:val="single" w:sz="4" w:space="0" w:color="auto"/>
            </w:tcBorders>
            <w:tcMar>
              <w:top w:w="100" w:type="dxa"/>
              <w:left w:w="100" w:type="dxa"/>
              <w:bottom w:w="100" w:type="dxa"/>
              <w:right w:w="100" w:type="dxa"/>
            </w:tcMar>
            <w:vAlign w:val="center"/>
          </w:tcPr>
          <w:p w14:paraId="39658621" w14:textId="77777777" w:rsidR="001C111F" w:rsidRPr="00796738" w:rsidRDefault="001C111F" w:rsidP="001C111F">
            <w:pPr>
              <w:widowControl w:val="0"/>
              <w:spacing w:before="0" w:after="0" w:line="240" w:lineRule="auto"/>
              <w:jc w:val="center"/>
              <w:rPr>
                <w:sz w:val="20"/>
                <w:szCs w:val="20"/>
              </w:rPr>
            </w:pPr>
            <w:r>
              <w:rPr>
                <w:sz w:val="20"/>
                <w:szCs w:val="20"/>
              </w:rPr>
              <w:t>0,00</w:t>
            </w:r>
          </w:p>
        </w:tc>
        <w:tc>
          <w:tcPr>
            <w:tcW w:w="352" w:type="pct"/>
            <w:tcBorders>
              <w:top w:val="single" w:sz="4" w:space="0" w:color="auto"/>
              <w:left w:val="single" w:sz="4" w:space="0" w:color="auto"/>
            </w:tcBorders>
            <w:vAlign w:val="center"/>
          </w:tcPr>
          <w:p w14:paraId="06D77111" w14:textId="77777777" w:rsidR="001C111F" w:rsidRPr="00796738" w:rsidRDefault="001C111F" w:rsidP="001C111F">
            <w:pPr>
              <w:widowControl w:val="0"/>
              <w:spacing w:before="0" w:after="0" w:line="240" w:lineRule="auto"/>
              <w:jc w:val="left"/>
              <w:rPr>
                <w:sz w:val="20"/>
                <w:szCs w:val="20"/>
              </w:rPr>
            </w:pPr>
          </w:p>
        </w:tc>
        <w:tc>
          <w:tcPr>
            <w:tcW w:w="811" w:type="pct"/>
            <w:gridSpan w:val="2"/>
            <w:tcBorders>
              <w:top w:val="single" w:sz="4" w:space="0" w:color="auto"/>
              <w:right w:val="single" w:sz="4" w:space="0" w:color="auto"/>
            </w:tcBorders>
            <w:vAlign w:val="center"/>
          </w:tcPr>
          <w:p w14:paraId="12193AD2" w14:textId="77777777" w:rsidR="001C111F" w:rsidRPr="00796738" w:rsidRDefault="001C111F" w:rsidP="008643BB">
            <w:pPr>
              <w:widowControl w:val="0"/>
              <w:spacing w:before="0" w:after="0" w:line="240" w:lineRule="auto"/>
              <w:jc w:val="center"/>
              <w:rPr>
                <w:sz w:val="20"/>
                <w:szCs w:val="20"/>
              </w:rPr>
            </w:pPr>
            <w:r>
              <w:rPr>
                <w:sz w:val="20"/>
                <w:szCs w:val="20"/>
              </w:rPr>
              <w:t>0,00</w:t>
            </w:r>
          </w:p>
        </w:tc>
        <w:tc>
          <w:tcPr>
            <w:tcW w:w="390" w:type="pct"/>
            <w:tcBorders>
              <w:top w:val="single" w:sz="4" w:space="0" w:color="auto"/>
              <w:left w:val="single" w:sz="4" w:space="0" w:color="auto"/>
            </w:tcBorders>
            <w:vAlign w:val="center"/>
          </w:tcPr>
          <w:p w14:paraId="6CF2531E" w14:textId="77777777" w:rsidR="001C111F" w:rsidRPr="00796738" w:rsidRDefault="001C111F" w:rsidP="001C111F">
            <w:pPr>
              <w:widowControl w:val="0"/>
              <w:spacing w:before="0" w:after="0" w:line="240" w:lineRule="auto"/>
              <w:jc w:val="left"/>
              <w:rPr>
                <w:sz w:val="20"/>
                <w:szCs w:val="20"/>
              </w:rPr>
            </w:pPr>
          </w:p>
        </w:tc>
        <w:tc>
          <w:tcPr>
            <w:tcW w:w="732" w:type="pct"/>
            <w:gridSpan w:val="2"/>
            <w:tcBorders>
              <w:top w:val="single" w:sz="4" w:space="0" w:color="auto"/>
            </w:tcBorders>
            <w:vAlign w:val="center"/>
          </w:tcPr>
          <w:p w14:paraId="276B9505" w14:textId="77777777" w:rsidR="001C111F" w:rsidRDefault="001C111F" w:rsidP="001C111F">
            <w:pPr>
              <w:widowControl w:val="0"/>
              <w:spacing w:before="0" w:after="0" w:line="240" w:lineRule="auto"/>
              <w:jc w:val="center"/>
              <w:rPr>
                <w:sz w:val="20"/>
                <w:szCs w:val="20"/>
              </w:rPr>
            </w:pPr>
            <w:r>
              <w:rPr>
                <w:sz w:val="20"/>
                <w:szCs w:val="20"/>
              </w:rPr>
              <w:t>0,00</w:t>
            </w:r>
          </w:p>
        </w:tc>
      </w:tr>
      <w:tr w:rsidR="007330EA" w:rsidRPr="00796738" w14:paraId="10E4E509" w14:textId="77777777" w:rsidTr="007330EA">
        <w:trPr>
          <w:trHeight w:val="142"/>
        </w:trPr>
        <w:tc>
          <w:tcPr>
            <w:tcW w:w="1842" w:type="pct"/>
            <w:gridSpan w:val="2"/>
            <w:vAlign w:val="center"/>
          </w:tcPr>
          <w:p w14:paraId="7BADBA16" w14:textId="77777777" w:rsidR="001C111F" w:rsidRPr="00796738" w:rsidRDefault="001C111F" w:rsidP="001C111F">
            <w:pPr>
              <w:widowControl w:val="0"/>
              <w:spacing w:before="0" w:after="0" w:line="240" w:lineRule="auto"/>
              <w:jc w:val="left"/>
              <w:rPr>
                <w:sz w:val="20"/>
                <w:szCs w:val="20"/>
              </w:rPr>
            </w:pPr>
            <w:r w:rsidRPr="00796738">
              <w:rPr>
                <w:sz w:val="20"/>
                <w:szCs w:val="20"/>
              </w:rPr>
              <w:t>Teste Breusch e Pagan</w:t>
            </w:r>
          </w:p>
        </w:tc>
        <w:tc>
          <w:tcPr>
            <w:tcW w:w="873" w:type="pct"/>
            <w:gridSpan w:val="2"/>
            <w:tcBorders>
              <w:right w:val="single" w:sz="4" w:space="0" w:color="auto"/>
            </w:tcBorders>
            <w:tcMar>
              <w:top w:w="100" w:type="dxa"/>
              <w:left w:w="100" w:type="dxa"/>
              <w:bottom w:w="100" w:type="dxa"/>
              <w:right w:w="100" w:type="dxa"/>
            </w:tcMar>
            <w:vAlign w:val="center"/>
          </w:tcPr>
          <w:p w14:paraId="52C8C5C4" w14:textId="77777777" w:rsidR="001C111F" w:rsidRPr="00796738" w:rsidRDefault="001C111F" w:rsidP="001C111F">
            <w:pPr>
              <w:widowControl w:val="0"/>
              <w:spacing w:before="0" w:after="0" w:line="240" w:lineRule="auto"/>
              <w:jc w:val="center"/>
              <w:rPr>
                <w:sz w:val="20"/>
                <w:szCs w:val="20"/>
              </w:rPr>
            </w:pPr>
            <w:r>
              <w:rPr>
                <w:sz w:val="20"/>
                <w:szCs w:val="20"/>
              </w:rPr>
              <w:t>0,00</w:t>
            </w:r>
          </w:p>
        </w:tc>
        <w:tc>
          <w:tcPr>
            <w:tcW w:w="352" w:type="pct"/>
            <w:tcBorders>
              <w:left w:val="single" w:sz="4" w:space="0" w:color="auto"/>
            </w:tcBorders>
            <w:vAlign w:val="center"/>
          </w:tcPr>
          <w:p w14:paraId="7B57E011" w14:textId="77777777" w:rsidR="001C111F" w:rsidRPr="00796738" w:rsidRDefault="001C111F" w:rsidP="001C111F">
            <w:pPr>
              <w:widowControl w:val="0"/>
              <w:spacing w:before="0" w:after="0" w:line="240" w:lineRule="auto"/>
              <w:jc w:val="left"/>
              <w:rPr>
                <w:sz w:val="20"/>
                <w:szCs w:val="20"/>
              </w:rPr>
            </w:pPr>
          </w:p>
        </w:tc>
        <w:tc>
          <w:tcPr>
            <w:tcW w:w="811" w:type="pct"/>
            <w:gridSpan w:val="2"/>
            <w:tcBorders>
              <w:right w:val="single" w:sz="4" w:space="0" w:color="auto"/>
            </w:tcBorders>
            <w:vAlign w:val="center"/>
          </w:tcPr>
          <w:p w14:paraId="753BF3A5" w14:textId="77777777" w:rsidR="001C111F" w:rsidRPr="00796738" w:rsidRDefault="001C111F" w:rsidP="008643BB">
            <w:pPr>
              <w:widowControl w:val="0"/>
              <w:spacing w:before="0" w:after="0" w:line="240" w:lineRule="auto"/>
              <w:jc w:val="center"/>
              <w:rPr>
                <w:sz w:val="20"/>
                <w:szCs w:val="20"/>
              </w:rPr>
            </w:pPr>
            <w:r>
              <w:rPr>
                <w:sz w:val="20"/>
                <w:szCs w:val="20"/>
              </w:rPr>
              <w:t>0,00</w:t>
            </w:r>
          </w:p>
        </w:tc>
        <w:tc>
          <w:tcPr>
            <w:tcW w:w="390" w:type="pct"/>
            <w:tcBorders>
              <w:left w:val="single" w:sz="4" w:space="0" w:color="auto"/>
            </w:tcBorders>
            <w:vAlign w:val="center"/>
          </w:tcPr>
          <w:p w14:paraId="17FEEA5E" w14:textId="77777777" w:rsidR="001C111F" w:rsidRPr="00796738" w:rsidRDefault="001C111F" w:rsidP="001C111F">
            <w:pPr>
              <w:widowControl w:val="0"/>
              <w:spacing w:before="0" w:after="0" w:line="240" w:lineRule="auto"/>
              <w:jc w:val="left"/>
              <w:rPr>
                <w:sz w:val="20"/>
                <w:szCs w:val="20"/>
              </w:rPr>
            </w:pPr>
          </w:p>
        </w:tc>
        <w:tc>
          <w:tcPr>
            <w:tcW w:w="732" w:type="pct"/>
            <w:gridSpan w:val="2"/>
            <w:vAlign w:val="center"/>
          </w:tcPr>
          <w:p w14:paraId="2971E181" w14:textId="77777777" w:rsidR="001C111F" w:rsidRDefault="001C111F" w:rsidP="001C111F">
            <w:pPr>
              <w:widowControl w:val="0"/>
              <w:spacing w:before="0" w:after="0" w:line="240" w:lineRule="auto"/>
              <w:jc w:val="center"/>
              <w:rPr>
                <w:sz w:val="20"/>
                <w:szCs w:val="20"/>
              </w:rPr>
            </w:pPr>
            <w:r>
              <w:rPr>
                <w:sz w:val="20"/>
                <w:szCs w:val="20"/>
              </w:rPr>
              <w:t>0,00</w:t>
            </w:r>
          </w:p>
        </w:tc>
      </w:tr>
      <w:tr w:rsidR="007330EA" w:rsidRPr="00796738" w14:paraId="7700F103" w14:textId="77777777" w:rsidTr="007330EA">
        <w:trPr>
          <w:trHeight w:val="142"/>
        </w:trPr>
        <w:tc>
          <w:tcPr>
            <w:tcW w:w="1842" w:type="pct"/>
            <w:gridSpan w:val="2"/>
            <w:vAlign w:val="center"/>
          </w:tcPr>
          <w:p w14:paraId="38335593" w14:textId="77777777" w:rsidR="001C111F" w:rsidRPr="00796738" w:rsidRDefault="001C111F" w:rsidP="001C111F">
            <w:pPr>
              <w:widowControl w:val="0"/>
              <w:spacing w:before="0" w:after="0" w:line="240" w:lineRule="auto"/>
              <w:jc w:val="left"/>
              <w:rPr>
                <w:sz w:val="20"/>
                <w:szCs w:val="20"/>
              </w:rPr>
            </w:pPr>
            <w:r w:rsidRPr="00796738">
              <w:rPr>
                <w:sz w:val="20"/>
                <w:szCs w:val="20"/>
              </w:rPr>
              <w:t>Teste de Hausman</w:t>
            </w:r>
          </w:p>
        </w:tc>
        <w:tc>
          <w:tcPr>
            <w:tcW w:w="873" w:type="pct"/>
            <w:gridSpan w:val="2"/>
            <w:tcBorders>
              <w:right w:val="single" w:sz="4" w:space="0" w:color="auto"/>
            </w:tcBorders>
            <w:tcMar>
              <w:top w:w="100" w:type="dxa"/>
              <w:left w:w="100" w:type="dxa"/>
              <w:bottom w:w="100" w:type="dxa"/>
              <w:right w:w="100" w:type="dxa"/>
            </w:tcMar>
            <w:vAlign w:val="center"/>
          </w:tcPr>
          <w:p w14:paraId="2466B0EF" w14:textId="77777777" w:rsidR="001C111F" w:rsidRPr="00796738" w:rsidRDefault="001C111F" w:rsidP="001C111F">
            <w:pPr>
              <w:widowControl w:val="0"/>
              <w:spacing w:before="0" w:after="0" w:line="240" w:lineRule="auto"/>
              <w:jc w:val="center"/>
              <w:rPr>
                <w:sz w:val="20"/>
                <w:szCs w:val="20"/>
              </w:rPr>
            </w:pPr>
            <w:r>
              <w:rPr>
                <w:sz w:val="20"/>
                <w:szCs w:val="20"/>
              </w:rPr>
              <w:t>0,08</w:t>
            </w:r>
          </w:p>
        </w:tc>
        <w:tc>
          <w:tcPr>
            <w:tcW w:w="352" w:type="pct"/>
            <w:tcBorders>
              <w:left w:val="single" w:sz="4" w:space="0" w:color="auto"/>
            </w:tcBorders>
            <w:vAlign w:val="center"/>
          </w:tcPr>
          <w:p w14:paraId="129E9413" w14:textId="77777777" w:rsidR="001C111F" w:rsidRPr="00796738" w:rsidRDefault="001C111F" w:rsidP="001C111F">
            <w:pPr>
              <w:widowControl w:val="0"/>
              <w:spacing w:before="0" w:after="0" w:line="240" w:lineRule="auto"/>
              <w:jc w:val="left"/>
              <w:rPr>
                <w:sz w:val="20"/>
                <w:szCs w:val="20"/>
              </w:rPr>
            </w:pPr>
          </w:p>
        </w:tc>
        <w:tc>
          <w:tcPr>
            <w:tcW w:w="811" w:type="pct"/>
            <w:gridSpan w:val="2"/>
            <w:tcBorders>
              <w:right w:val="single" w:sz="4" w:space="0" w:color="auto"/>
            </w:tcBorders>
            <w:vAlign w:val="center"/>
          </w:tcPr>
          <w:p w14:paraId="68A348CF" w14:textId="77777777" w:rsidR="001C111F" w:rsidRPr="00796738" w:rsidRDefault="001C111F" w:rsidP="008643BB">
            <w:pPr>
              <w:widowControl w:val="0"/>
              <w:spacing w:before="0" w:after="0" w:line="240" w:lineRule="auto"/>
              <w:jc w:val="center"/>
              <w:rPr>
                <w:sz w:val="20"/>
                <w:szCs w:val="20"/>
              </w:rPr>
            </w:pPr>
            <w:r>
              <w:rPr>
                <w:sz w:val="20"/>
                <w:szCs w:val="20"/>
              </w:rPr>
              <w:t>0,48</w:t>
            </w:r>
          </w:p>
        </w:tc>
        <w:tc>
          <w:tcPr>
            <w:tcW w:w="390" w:type="pct"/>
            <w:tcBorders>
              <w:left w:val="single" w:sz="4" w:space="0" w:color="auto"/>
            </w:tcBorders>
            <w:vAlign w:val="center"/>
          </w:tcPr>
          <w:p w14:paraId="5B2D17F8" w14:textId="77777777" w:rsidR="001C111F" w:rsidRPr="00796738" w:rsidRDefault="001C111F" w:rsidP="001C111F">
            <w:pPr>
              <w:widowControl w:val="0"/>
              <w:spacing w:before="0" w:after="0" w:line="240" w:lineRule="auto"/>
              <w:jc w:val="left"/>
              <w:rPr>
                <w:sz w:val="20"/>
                <w:szCs w:val="20"/>
              </w:rPr>
            </w:pPr>
          </w:p>
        </w:tc>
        <w:tc>
          <w:tcPr>
            <w:tcW w:w="732" w:type="pct"/>
            <w:gridSpan w:val="2"/>
            <w:vAlign w:val="center"/>
          </w:tcPr>
          <w:p w14:paraId="6BFD7F13" w14:textId="77777777" w:rsidR="001C111F" w:rsidRDefault="001C111F" w:rsidP="001C111F">
            <w:pPr>
              <w:widowControl w:val="0"/>
              <w:spacing w:before="0" w:after="0" w:line="240" w:lineRule="auto"/>
              <w:jc w:val="center"/>
              <w:rPr>
                <w:sz w:val="20"/>
                <w:szCs w:val="20"/>
              </w:rPr>
            </w:pPr>
            <w:r>
              <w:rPr>
                <w:sz w:val="20"/>
                <w:szCs w:val="20"/>
              </w:rPr>
              <w:t>0,02</w:t>
            </w:r>
          </w:p>
        </w:tc>
      </w:tr>
      <w:tr w:rsidR="007330EA" w:rsidRPr="00051770" w14:paraId="33CF8ABB" w14:textId="77777777" w:rsidTr="007330EA">
        <w:trPr>
          <w:trHeight w:val="142"/>
        </w:trPr>
        <w:tc>
          <w:tcPr>
            <w:tcW w:w="1842" w:type="pct"/>
            <w:gridSpan w:val="2"/>
            <w:vAlign w:val="center"/>
          </w:tcPr>
          <w:p w14:paraId="7A2AFCB1" w14:textId="77777777" w:rsidR="001C111F" w:rsidRPr="00D902B1" w:rsidRDefault="001C111F" w:rsidP="001C111F">
            <w:pPr>
              <w:widowControl w:val="0"/>
              <w:spacing w:before="0" w:after="0" w:line="240" w:lineRule="auto"/>
              <w:jc w:val="left"/>
              <w:rPr>
                <w:sz w:val="20"/>
                <w:szCs w:val="20"/>
                <w:lang w:val="pt-BR"/>
              </w:rPr>
            </w:pPr>
            <w:r w:rsidRPr="00D902B1">
              <w:rPr>
                <w:sz w:val="20"/>
                <w:szCs w:val="20"/>
                <w:lang w:val="pt-BR"/>
              </w:rPr>
              <w:t xml:space="preserve">Teste de </w:t>
            </w:r>
            <w:proofErr w:type="spellStart"/>
            <w:r w:rsidRPr="00D902B1">
              <w:rPr>
                <w:sz w:val="20"/>
                <w:szCs w:val="20"/>
                <w:lang w:val="pt-BR"/>
              </w:rPr>
              <w:t>Wooldridge</w:t>
            </w:r>
            <w:proofErr w:type="spellEnd"/>
            <w:r w:rsidRPr="00D902B1">
              <w:rPr>
                <w:sz w:val="20"/>
                <w:szCs w:val="20"/>
                <w:lang w:val="pt-BR"/>
              </w:rPr>
              <w:t xml:space="preserve"> para </w:t>
            </w:r>
            <w:proofErr w:type="spellStart"/>
            <w:r w:rsidRPr="00D902B1">
              <w:rPr>
                <w:sz w:val="20"/>
                <w:szCs w:val="20"/>
                <w:lang w:val="pt-BR"/>
              </w:rPr>
              <w:t>autocorrelação</w:t>
            </w:r>
            <w:proofErr w:type="spellEnd"/>
          </w:p>
        </w:tc>
        <w:tc>
          <w:tcPr>
            <w:tcW w:w="873" w:type="pct"/>
            <w:gridSpan w:val="2"/>
            <w:tcBorders>
              <w:right w:val="single" w:sz="4" w:space="0" w:color="auto"/>
            </w:tcBorders>
            <w:tcMar>
              <w:top w:w="100" w:type="dxa"/>
              <w:left w:w="100" w:type="dxa"/>
              <w:bottom w:w="100" w:type="dxa"/>
              <w:right w:w="100" w:type="dxa"/>
            </w:tcMar>
            <w:vAlign w:val="center"/>
          </w:tcPr>
          <w:p w14:paraId="5E2D1533" w14:textId="77777777" w:rsidR="001C111F" w:rsidRPr="00051770" w:rsidRDefault="001C111F" w:rsidP="001C111F">
            <w:pPr>
              <w:widowControl w:val="0"/>
              <w:spacing w:before="0" w:after="0" w:line="240" w:lineRule="auto"/>
              <w:jc w:val="center"/>
              <w:rPr>
                <w:sz w:val="20"/>
                <w:szCs w:val="20"/>
                <w:lang w:val="pt-BR"/>
              </w:rPr>
            </w:pPr>
            <w:r>
              <w:rPr>
                <w:sz w:val="20"/>
                <w:szCs w:val="20"/>
                <w:lang w:val="pt-BR"/>
              </w:rPr>
              <w:t>0,23</w:t>
            </w:r>
          </w:p>
        </w:tc>
        <w:tc>
          <w:tcPr>
            <w:tcW w:w="352" w:type="pct"/>
            <w:tcBorders>
              <w:left w:val="single" w:sz="4" w:space="0" w:color="auto"/>
            </w:tcBorders>
            <w:vAlign w:val="center"/>
          </w:tcPr>
          <w:p w14:paraId="02932BF5" w14:textId="77777777" w:rsidR="001C111F" w:rsidRPr="00051770" w:rsidRDefault="001C111F" w:rsidP="001C111F">
            <w:pPr>
              <w:widowControl w:val="0"/>
              <w:spacing w:before="0" w:after="0" w:line="240" w:lineRule="auto"/>
              <w:jc w:val="left"/>
              <w:rPr>
                <w:sz w:val="20"/>
                <w:szCs w:val="20"/>
                <w:lang w:val="pt-BR"/>
              </w:rPr>
            </w:pPr>
          </w:p>
        </w:tc>
        <w:tc>
          <w:tcPr>
            <w:tcW w:w="811" w:type="pct"/>
            <w:gridSpan w:val="2"/>
            <w:tcBorders>
              <w:right w:val="single" w:sz="4" w:space="0" w:color="auto"/>
            </w:tcBorders>
            <w:vAlign w:val="center"/>
          </w:tcPr>
          <w:p w14:paraId="630A1517" w14:textId="77777777" w:rsidR="001C111F" w:rsidRPr="00051770" w:rsidRDefault="001C111F" w:rsidP="008643BB">
            <w:pPr>
              <w:widowControl w:val="0"/>
              <w:spacing w:before="0" w:after="0" w:line="240" w:lineRule="auto"/>
              <w:jc w:val="center"/>
              <w:rPr>
                <w:sz w:val="20"/>
                <w:szCs w:val="20"/>
                <w:lang w:val="pt-BR"/>
              </w:rPr>
            </w:pPr>
            <w:r>
              <w:rPr>
                <w:sz w:val="20"/>
                <w:szCs w:val="20"/>
                <w:lang w:val="pt-BR"/>
              </w:rPr>
              <w:t>0,00</w:t>
            </w:r>
          </w:p>
        </w:tc>
        <w:tc>
          <w:tcPr>
            <w:tcW w:w="390" w:type="pct"/>
            <w:tcBorders>
              <w:left w:val="single" w:sz="4" w:space="0" w:color="auto"/>
            </w:tcBorders>
            <w:vAlign w:val="center"/>
          </w:tcPr>
          <w:p w14:paraId="14D81151" w14:textId="77777777" w:rsidR="001C111F" w:rsidRPr="00051770" w:rsidRDefault="001C111F" w:rsidP="001C111F">
            <w:pPr>
              <w:widowControl w:val="0"/>
              <w:spacing w:before="0" w:after="0" w:line="240" w:lineRule="auto"/>
              <w:jc w:val="left"/>
              <w:rPr>
                <w:sz w:val="20"/>
                <w:szCs w:val="20"/>
                <w:lang w:val="pt-BR"/>
              </w:rPr>
            </w:pPr>
          </w:p>
        </w:tc>
        <w:tc>
          <w:tcPr>
            <w:tcW w:w="732" w:type="pct"/>
            <w:gridSpan w:val="2"/>
            <w:vAlign w:val="center"/>
          </w:tcPr>
          <w:p w14:paraId="401D0181" w14:textId="77777777" w:rsidR="001C111F" w:rsidRPr="00051770" w:rsidRDefault="001C111F" w:rsidP="001C111F">
            <w:pPr>
              <w:widowControl w:val="0"/>
              <w:spacing w:before="0" w:after="0" w:line="240" w:lineRule="auto"/>
              <w:jc w:val="center"/>
              <w:rPr>
                <w:sz w:val="20"/>
                <w:szCs w:val="20"/>
                <w:lang w:val="pt-BR"/>
              </w:rPr>
            </w:pPr>
            <w:r>
              <w:rPr>
                <w:sz w:val="20"/>
                <w:szCs w:val="20"/>
                <w:lang w:val="pt-BR"/>
              </w:rPr>
              <w:t>0,02</w:t>
            </w:r>
          </w:p>
        </w:tc>
      </w:tr>
      <w:tr w:rsidR="007330EA" w:rsidRPr="00796738" w14:paraId="0447672D" w14:textId="77777777" w:rsidTr="007330EA">
        <w:trPr>
          <w:trHeight w:val="142"/>
        </w:trPr>
        <w:tc>
          <w:tcPr>
            <w:tcW w:w="1842" w:type="pct"/>
            <w:gridSpan w:val="2"/>
            <w:vAlign w:val="center"/>
          </w:tcPr>
          <w:p w14:paraId="3C09EBBF" w14:textId="77777777" w:rsidR="001C111F" w:rsidRPr="007330EA" w:rsidRDefault="001C111F" w:rsidP="001C111F">
            <w:pPr>
              <w:widowControl w:val="0"/>
              <w:spacing w:before="0" w:after="0" w:line="240" w:lineRule="auto"/>
              <w:jc w:val="left"/>
              <w:rPr>
                <w:sz w:val="20"/>
                <w:szCs w:val="20"/>
                <w:lang w:val="pt-BR"/>
              </w:rPr>
            </w:pPr>
            <w:r w:rsidRPr="007330EA">
              <w:rPr>
                <w:sz w:val="20"/>
                <w:szCs w:val="20"/>
                <w:lang w:val="pt-BR"/>
              </w:rPr>
              <w:t>Teste</w:t>
            </w:r>
            <w:r w:rsidR="007330EA">
              <w:rPr>
                <w:sz w:val="20"/>
                <w:szCs w:val="20"/>
                <w:lang w:val="pt-BR"/>
              </w:rPr>
              <w:t>s</w:t>
            </w:r>
            <w:r w:rsidRPr="007330EA">
              <w:rPr>
                <w:sz w:val="20"/>
                <w:szCs w:val="20"/>
                <w:lang w:val="pt-BR"/>
              </w:rPr>
              <w:t xml:space="preserve"> de Wald</w:t>
            </w:r>
            <w:r w:rsidR="007330EA" w:rsidRPr="007330EA">
              <w:rPr>
                <w:sz w:val="20"/>
                <w:szCs w:val="20"/>
                <w:lang w:val="pt-BR"/>
              </w:rPr>
              <w:t xml:space="preserve"> e </w:t>
            </w:r>
            <w:proofErr w:type="spellStart"/>
            <w:r w:rsidR="007330EA" w:rsidRPr="007330EA">
              <w:rPr>
                <w:sz w:val="20"/>
                <w:szCs w:val="20"/>
                <w:lang w:val="pt-BR"/>
              </w:rPr>
              <w:t>Likel</w:t>
            </w:r>
            <w:r w:rsidR="007330EA">
              <w:rPr>
                <w:sz w:val="20"/>
                <w:szCs w:val="20"/>
                <w:lang w:val="pt-BR"/>
              </w:rPr>
              <w:t>i</w:t>
            </w:r>
            <w:r w:rsidR="007330EA" w:rsidRPr="007330EA">
              <w:rPr>
                <w:sz w:val="20"/>
                <w:szCs w:val="20"/>
                <w:lang w:val="pt-BR"/>
              </w:rPr>
              <w:t>hood-ratio</w:t>
            </w:r>
            <w:proofErr w:type="spellEnd"/>
            <w:r w:rsidRPr="007330EA">
              <w:rPr>
                <w:sz w:val="20"/>
                <w:szCs w:val="20"/>
                <w:lang w:val="pt-BR"/>
              </w:rPr>
              <w:t xml:space="preserve"> para </w:t>
            </w:r>
            <w:proofErr w:type="spellStart"/>
            <w:r w:rsidRPr="007330EA">
              <w:rPr>
                <w:sz w:val="20"/>
                <w:szCs w:val="20"/>
                <w:lang w:val="pt-BR"/>
              </w:rPr>
              <w:t>heterocedasticidade</w:t>
            </w:r>
            <w:proofErr w:type="spellEnd"/>
          </w:p>
        </w:tc>
        <w:tc>
          <w:tcPr>
            <w:tcW w:w="873" w:type="pct"/>
            <w:gridSpan w:val="2"/>
            <w:tcBorders>
              <w:right w:val="single" w:sz="4" w:space="0" w:color="auto"/>
            </w:tcBorders>
            <w:tcMar>
              <w:top w:w="100" w:type="dxa"/>
              <w:left w:w="100" w:type="dxa"/>
              <w:bottom w:w="100" w:type="dxa"/>
              <w:right w:w="100" w:type="dxa"/>
            </w:tcMar>
            <w:vAlign w:val="center"/>
          </w:tcPr>
          <w:p w14:paraId="63A5C09F" w14:textId="77777777" w:rsidR="001C111F" w:rsidRPr="00796738" w:rsidRDefault="001C111F" w:rsidP="001C111F">
            <w:pPr>
              <w:widowControl w:val="0"/>
              <w:spacing w:before="0" w:after="0" w:line="240" w:lineRule="auto"/>
              <w:jc w:val="center"/>
              <w:rPr>
                <w:sz w:val="20"/>
                <w:szCs w:val="20"/>
              </w:rPr>
            </w:pPr>
            <w:r>
              <w:rPr>
                <w:sz w:val="20"/>
                <w:szCs w:val="20"/>
              </w:rPr>
              <w:t>0,00</w:t>
            </w:r>
          </w:p>
        </w:tc>
        <w:tc>
          <w:tcPr>
            <w:tcW w:w="352" w:type="pct"/>
            <w:tcBorders>
              <w:left w:val="single" w:sz="4" w:space="0" w:color="auto"/>
            </w:tcBorders>
            <w:vAlign w:val="center"/>
          </w:tcPr>
          <w:p w14:paraId="68DB837A" w14:textId="77777777" w:rsidR="001C111F" w:rsidRPr="00796738" w:rsidRDefault="001C111F" w:rsidP="001C111F">
            <w:pPr>
              <w:widowControl w:val="0"/>
              <w:spacing w:before="0" w:after="0" w:line="240" w:lineRule="auto"/>
              <w:jc w:val="left"/>
              <w:rPr>
                <w:sz w:val="20"/>
                <w:szCs w:val="20"/>
              </w:rPr>
            </w:pPr>
          </w:p>
        </w:tc>
        <w:tc>
          <w:tcPr>
            <w:tcW w:w="811" w:type="pct"/>
            <w:gridSpan w:val="2"/>
            <w:tcBorders>
              <w:right w:val="single" w:sz="4" w:space="0" w:color="auto"/>
            </w:tcBorders>
            <w:vAlign w:val="center"/>
          </w:tcPr>
          <w:p w14:paraId="484FD8DB" w14:textId="77777777" w:rsidR="001C111F" w:rsidRPr="00796738" w:rsidRDefault="001C111F" w:rsidP="008643BB">
            <w:pPr>
              <w:widowControl w:val="0"/>
              <w:spacing w:before="0" w:after="0" w:line="240" w:lineRule="auto"/>
              <w:jc w:val="center"/>
              <w:rPr>
                <w:sz w:val="20"/>
                <w:szCs w:val="20"/>
              </w:rPr>
            </w:pPr>
            <w:r>
              <w:rPr>
                <w:sz w:val="20"/>
                <w:szCs w:val="20"/>
              </w:rPr>
              <w:t>0,00</w:t>
            </w:r>
          </w:p>
        </w:tc>
        <w:tc>
          <w:tcPr>
            <w:tcW w:w="390" w:type="pct"/>
            <w:tcBorders>
              <w:left w:val="single" w:sz="4" w:space="0" w:color="auto"/>
            </w:tcBorders>
            <w:vAlign w:val="center"/>
          </w:tcPr>
          <w:p w14:paraId="3A3F14DD" w14:textId="77777777" w:rsidR="001C111F" w:rsidRPr="00796738" w:rsidRDefault="001C111F" w:rsidP="001C111F">
            <w:pPr>
              <w:widowControl w:val="0"/>
              <w:spacing w:before="0" w:after="0" w:line="240" w:lineRule="auto"/>
              <w:jc w:val="left"/>
              <w:rPr>
                <w:sz w:val="20"/>
                <w:szCs w:val="20"/>
              </w:rPr>
            </w:pPr>
          </w:p>
        </w:tc>
        <w:tc>
          <w:tcPr>
            <w:tcW w:w="732" w:type="pct"/>
            <w:gridSpan w:val="2"/>
            <w:vAlign w:val="center"/>
          </w:tcPr>
          <w:p w14:paraId="21102AD1" w14:textId="77777777" w:rsidR="001C111F" w:rsidRDefault="001C111F" w:rsidP="001C111F">
            <w:pPr>
              <w:widowControl w:val="0"/>
              <w:spacing w:before="0" w:after="0" w:line="240" w:lineRule="auto"/>
              <w:jc w:val="center"/>
              <w:rPr>
                <w:sz w:val="20"/>
                <w:szCs w:val="20"/>
              </w:rPr>
            </w:pPr>
            <w:r>
              <w:rPr>
                <w:sz w:val="20"/>
                <w:szCs w:val="20"/>
              </w:rPr>
              <w:t>0,00</w:t>
            </w:r>
          </w:p>
        </w:tc>
      </w:tr>
      <w:tr w:rsidR="008643BB" w:rsidRPr="00796738" w14:paraId="37483940" w14:textId="77777777" w:rsidTr="007330EA">
        <w:trPr>
          <w:trHeight w:val="142"/>
        </w:trPr>
        <w:tc>
          <w:tcPr>
            <w:tcW w:w="1842" w:type="pct"/>
            <w:gridSpan w:val="2"/>
            <w:vAlign w:val="center"/>
          </w:tcPr>
          <w:p w14:paraId="424DD541" w14:textId="77777777" w:rsidR="001C111F" w:rsidRPr="00796738" w:rsidRDefault="001C111F" w:rsidP="001C111F">
            <w:pPr>
              <w:widowControl w:val="0"/>
              <w:spacing w:before="0" w:after="0" w:line="240" w:lineRule="auto"/>
              <w:jc w:val="left"/>
              <w:rPr>
                <w:sz w:val="20"/>
                <w:szCs w:val="20"/>
              </w:rPr>
            </w:pPr>
            <w:r w:rsidRPr="00796738">
              <w:rPr>
                <w:sz w:val="20"/>
                <w:szCs w:val="20"/>
              </w:rPr>
              <w:t xml:space="preserve">Teste VIF para </w:t>
            </w:r>
            <w:proofErr w:type="spellStart"/>
            <w:r w:rsidRPr="00796738">
              <w:rPr>
                <w:sz w:val="20"/>
                <w:szCs w:val="20"/>
              </w:rPr>
              <w:t>multicolinearidade</w:t>
            </w:r>
            <w:proofErr w:type="spellEnd"/>
          </w:p>
        </w:tc>
        <w:tc>
          <w:tcPr>
            <w:tcW w:w="873" w:type="pct"/>
            <w:gridSpan w:val="2"/>
            <w:tcBorders>
              <w:right w:val="single" w:sz="4" w:space="0" w:color="auto"/>
            </w:tcBorders>
            <w:tcMar>
              <w:top w:w="100" w:type="dxa"/>
              <w:left w:w="100" w:type="dxa"/>
              <w:bottom w:w="100" w:type="dxa"/>
              <w:right w:w="100" w:type="dxa"/>
            </w:tcMar>
            <w:vAlign w:val="center"/>
          </w:tcPr>
          <w:p w14:paraId="3EFB0963" w14:textId="77777777" w:rsidR="001C111F" w:rsidRPr="00796738" w:rsidRDefault="001C111F" w:rsidP="001C111F">
            <w:pPr>
              <w:widowControl w:val="0"/>
              <w:spacing w:before="0" w:after="0" w:line="240" w:lineRule="auto"/>
              <w:jc w:val="center"/>
              <w:rPr>
                <w:sz w:val="20"/>
                <w:szCs w:val="20"/>
              </w:rPr>
            </w:pPr>
            <w:r>
              <w:rPr>
                <w:sz w:val="20"/>
                <w:szCs w:val="20"/>
              </w:rPr>
              <w:t>1,02</w:t>
            </w:r>
          </w:p>
        </w:tc>
        <w:tc>
          <w:tcPr>
            <w:tcW w:w="352" w:type="pct"/>
            <w:tcBorders>
              <w:left w:val="single" w:sz="4" w:space="0" w:color="auto"/>
            </w:tcBorders>
            <w:vAlign w:val="center"/>
          </w:tcPr>
          <w:p w14:paraId="3FA3EE96" w14:textId="77777777" w:rsidR="001C111F" w:rsidRPr="00796738" w:rsidRDefault="001C111F" w:rsidP="001C111F">
            <w:pPr>
              <w:widowControl w:val="0"/>
              <w:spacing w:before="0" w:after="0" w:line="240" w:lineRule="auto"/>
              <w:jc w:val="left"/>
              <w:rPr>
                <w:sz w:val="20"/>
                <w:szCs w:val="20"/>
              </w:rPr>
            </w:pPr>
          </w:p>
        </w:tc>
        <w:tc>
          <w:tcPr>
            <w:tcW w:w="811" w:type="pct"/>
            <w:gridSpan w:val="2"/>
            <w:tcBorders>
              <w:right w:val="single" w:sz="4" w:space="0" w:color="auto"/>
            </w:tcBorders>
            <w:vAlign w:val="center"/>
          </w:tcPr>
          <w:p w14:paraId="0F04BF3F" w14:textId="77777777" w:rsidR="001C111F" w:rsidRPr="00796738" w:rsidRDefault="001C111F" w:rsidP="008643BB">
            <w:pPr>
              <w:widowControl w:val="0"/>
              <w:spacing w:before="0" w:after="0" w:line="240" w:lineRule="auto"/>
              <w:jc w:val="center"/>
              <w:rPr>
                <w:sz w:val="20"/>
                <w:szCs w:val="20"/>
              </w:rPr>
            </w:pPr>
            <w:r>
              <w:rPr>
                <w:sz w:val="20"/>
                <w:szCs w:val="20"/>
              </w:rPr>
              <w:t>1,15</w:t>
            </w:r>
          </w:p>
        </w:tc>
        <w:tc>
          <w:tcPr>
            <w:tcW w:w="390" w:type="pct"/>
            <w:tcBorders>
              <w:left w:val="single" w:sz="4" w:space="0" w:color="auto"/>
            </w:tcBorders>
            <w:vAlign w:val="center"/>
          </w:tcPr>
          <w:p w14:paraId="442983B1" w14:textId="77777777" w:rsidR="001C111F" w:rsidRPr="00796738" w:rsidRDefault="001C111F" w:rsidP="001C111F">
            <w:pPr>
              <w:widowControl w:val="0"/>
              <w:spacing w:before="0" w:after="0" w:line="240" w:lineRule="auto"/>
              <w:jc w:val="left"/>
              <w:rPr>
                <w:sz w:val="20"/>
                <w:szCs w:val="20"/>
              </w:rPr>
            </w:pPr>
          </w:p>
        </w:tc>
        <w:tc>
          <w:tcPr>
            <w:tcW w:w="732" w:type="pct"/>
            <w:gridSpan w:val="2"/>
            <w:vAlign w:val="center"/>
          </w:tcPr>
          <w:p w14:paraId="07ADF2CC" w14:textId="77777777" w:rsidR="001C111F" w:rsidRDefault="001C111F" w:rsidP="001C111F">
            <w:pPr>
              <w:widowControl w:val="0"/>
              <w:spacing w:before="0" w:after="0" w:line="240" w:lineRule="auto"/>
              <w:jc w:val="center"/>
              <w:rPr>
                <w:sz w:val="20"/>
                <w:szCs w:val="20"/>
              </w:rPr>
            </w:pPr>
            <w:r>
              <w:rPr>
                <w:sz w:val="20"/>
                <w:szCs w:val="20"/>
              </w:rPr>
              <w:t>1,04</w:t>
            </w:r>
          </w:p>
        </w:tc>
      </w:tr>
      <w:tr w:rsidR="008643BB" w:rsidRPr="00051770" w14:paraId="4D7461BC" w14:textId="77777777" w:rsidTr="007330EA">
        <w:trPr>
          <w:trHeight w:val="142"/>
        </w:trPr>
        <w:tc>
          <w:tcPr>
            <w:tcW w:w="1842" w:type="pct"/>
            <w:gridSpan w:val="2"/>
            <w:vAlign w:val="center"/>
          </w:tcPr>
          <w:p w14:paraId="68C92E7B" w14:textId="77777777" w:rsidR="001C111F" w:rsidRPr="00D902B1" w:rsidRDefault="001C111F" w:rsidP="001C111F">
            <w:pPr>
              <w:widowControl w:val="0"/>
              <w:spacing w:before="0" w:after="0" w:line="240" w:lineRule="auto"/>
              <w:jc w:val="left"/>
              <w:rPr>
                <w:sz w:val="20"/>
                <w:szCs w:val="20"/>
                <w:lang w:val="pt-BR"/>
              </w:rPr>
            </w:pPr>
            <w:r w:rsidRPr="00D902B1">
              <w:rPr>
                <w:sz w:val="20"/>
                <w:szCs w:val="20"/>
                <w:lang w:val="pt-BR"/>
              </w:rPr>
              <w:t>Teste Ramsey para especificação do modelo</w:t>
            </w:r>
          </w:p>
        </w:tc>
        <w:tc>
          <w:tcPr>
            <w:tcW w:w="873" w:type="pct"/>
            <w:gridSpan w:val="2"/>
            <w:tcBorders>
              <w:right w:val="single" w:sz="4" w:space="0" w:color="auto"/>
            </w:tcBorders>
            <w:tcMar>
              <w:top w:w="100" w:type="dxa"/>
              <w:left w:w="100" w:type="dxa"/>
              <w:bottom w:w="100" w:type="dxa"/>
              <w:right w:w="100" w:type="dxa"/>
            </w:tcMar>
            <w:vAlign w:val="center"/>
          </w:tcPr>
          <w:p w14:paraId="0909038C" w14:textId="77777777" w:rsidR="001C111F" w:rsidRPr="00051770" w:rsidRDefault="001C111F" w:rsidP="001C111F">
            <w:pPr>
              <w:widowControl w:val="0"/>
              <w:spacing w:before="0" w:after="0" w:line="240" w:lineRule="auto"/>
              <w:jc w:val="center"/>
              <w:rPr>
                <w:sz w:val="20"/>
                <w:szCs w:val="20"/>
                <w:lang w:val="pt-BR"/>
              </w:rPr>
            </w:pPr>
            <w:r>
              <w:rPr>
                <w:sz w:val="20"/>
                <w:szCs w:val="20"/>
                <w:lang w:val="pt-BR"/>
              </w:rPr>
              <w:t>0,48</w:t>
            </w:r>
          </w:p>
        </w:tc>
        <w:tc>
          <w:tcPr>
            <w:tcW w:w="352" w:type="pct"/>
            <w:tcBorders>
              <w:left w:val="single" w:sz="4" w:space="0" w:color="auto"/>
            </w:tcBorders>
            <w:vAlign w:val="center"/>
          </w:tcPr>
          <w:p w14:paraId="39D9C3B0" w14:textId="77777777" w:rsidR="001C111F" w:rsidRPr="00051770" w:rsidRDefault="001C111F" w:rsidP="001C111F">
            <w:pPr>
              <w:widowControl w:val="0"/>
              <w:spacing w:before="0" w:after="0" w:line="240" w:lineRule="auto"/>
              <w:jc w:val="left"/>
              <w:rPr>
                <w:sz w:val="20"/>
                <w:szCs w:val="20"/>
                <w:lang w:val="pt-BR"/>
              </w:rPr>
            </w:pPr>
          </w:p>
        </w:tc>
        <w:tc>
          <w:tcPr>
            <w:tcW w:w="811" w:type="pct"/>
            <w:gridSpan w:val="2"/>
            <w:tcBorders>
              <w:right w:val="single" w:sz="4" w:space="0" w:color="auto"/>
            </w:tcBorders>
            <w:vAlign w:val="center"/>
          </w:tcPr>
          <w:p w14:paraId="723508C2" w14:textId="77777777" w:rsidR="001C111F" w:rsidRPr="00051770" w:rsidRDefault="001C111F" w:rsidP="008643BB">
            <w:pPr>
              <w:widowControl w:val="0"/>
              <w:spacing w:before="0" w:after="0" w:line="240" w:lineRule="auto"/>
              <w:jc w:val="center"/>
              <w:rPr>
                <w:sz w:val="20"/>
                <w:szCs w:val="20"/>
                <w:lang w:val="pt-BR"/>
              </w:rPr>
            </w:pPr>
            <w:r>
              <w:rPr>
                <w:sz w:val="20"/>
                <w:szCs w:val="20"/>
                <w:lang w:val="pt-BR"/>
              </w:rPr>
              <w:t>0,00</w:t>
            </w:r>
          </w:p>
        </w:tc>
        <w:tc>
          <w:tcPr>
            <w:tcW w:w="390" w:type="pct"/>
            <w:tcBorders>
              <w:left w:val="single" w:sz="4" w:space="0" w:color="auto"/>
            </w:tcBorders>
            <w:vAlign w:val="center"/>
          </w:tcPr>
          <w:p w14:paraId="779DE1CD" w14:textId="77777777" w:rsidR="001C111F" w:rsidRPr="00051770" w:rsidRDefault="001C111F" w:rsidP="001C111F">
            <w:pPr>
              <w:widowControl w:val="0"/>
              <w:spacing w:before="0" w:after="0" w:line="240" w:lineRule="auto"/>
              <w:jc w:val="left"/>
              <w:rPr>
                <w:sz w:val="20"/>
                <w:szCs w:val="20"/>
                <w:lang w:val="pt-BR"/>
              </w:rPr>
            </w:pPr>
          </w:p>
        </w:tc>
        <w:tc>
          <w:tcPr>
            <w:tcW w:w="732" w:type="pct"/>
            <w:gridSpan w:val="2"/>
            <w:vAlign w:val="center"/>
          </w:tcPr>
          <w:p w14:paraId="7EEC61E4" w14:textId="77777777" w:rsidR="001C111F" w:rsidRPr="00051770" w:rsidRDefault="001C111F" w:rsidP="001C111F">
            <w:pPr>
              <w:widowControl w:val="0"/>
              <w:spacing w:before="0" w:after="0" w:line="240" w:lineRule="auto"/>
              <w:jc w:val="center"/>
              <w:rPr>
                <w:sz w:val="20"/>
                <w:szCs w:val="20"/>
                <w:lang w:val="pt-BR"/>
              </w:rPr>
            </w:pPr>
            <w:r>
              <w:rPr>
                <w:sz w:val="20"/>
                <w:szCs w:val="20"/>
                <w:lang w:val="pt-BR"/>
              </w:rPr>
              <w:t>0,27</w:t>
            </w:r>
          </w:p>
        </w:tc>
      </w:tr>
      <w:tr w:rsidR="008643BB" w:rsidRPr="00796738" w14:paraId="468730AD" w14:textId="77777777" w:rsidTr="007330EA">
        <w:trPr>
          <w:trHeight w:val="142"/>
        </w:trPr>
        <w:tc>
          <w:tcPr>
            <w:tcW w:w="1842" w:type="pct"/>
            <w:gridSpan w:val="2"/>
            <w:tcBorders>
              <w:bottom w:val="single" w:sz="4" w:space="0" w:color="auto"/>
            </w:tcBorders>
            <w:vAlign w:val="center"/>
          </w:tcPr>
          <w:p w14:paraId="04D65785" w14:textId="77777777" w:rsidR="001C111F" w:rsidRPr="00796738" w:rsidRDefault="001C111F" w:rsidP="001C111F">
            <w:pPr>
              <w:widowControl w:val="0"/>
              <w:spacing w:before="0" w:after="0" w:line="240" w:lineRule="auto"/>
              <w:jc w:val="left"/>
              <w:rPr>
                <w:sz w:val="20"/>
                <w:szCs w:val="20"/>
              </w:rPr>
            </w:pPr>
            <w:proofErr w:type="spellStart"/>
            <w:r w:rsidRPr="00796738">
              <w:rPr>
                <w:sz w:val="20"/>
                <w:szCs w:val="20"/>
              </w:rPr>
              <w:t>Doornik</w:t>
            </w:r>
            <w:proofErr w:type="spellEnd"/>
            <w:r w:rsidRPr="00796738">
              <w:rPr>
                <w:sz w:val="20"/>
                <w:szCs w:val="20"/>
              </w:rPr>
              <w:t>-Hansen</w:t>
            </w:r>
          </w:p>
        </w:tc>
        <w:tc>
          <w:tcPr>
            <w:tcW w:w="873" w:type="pct"/>
            <w:gridSpan w:val="2"/>
            <w:tcBorders>
              <w:bottom w:val="single" w:sz="4" w:space="0" w:color="auto"/>
              <w:right w:val="single" w:sz="4" w:space="0" w:color="auto"/>
            </w:tcBorders>
            <w:tcMar>
              <w:top w:w="100" w:type="dxa"/>
              <w:left w:w="100" w:type="dxa"/>
              <w:bottom w:w="100" w:type="dxa"/>
              <w:right w:w="100" w:type="dxa"/>
            </w:tcMar>
            <w:vAlign w:val="center"/>
          </w:tcPr>
          <w:p w14:paraId="2DE84436" w14:textId="77777777" w:rsidR="001C111F" w:rsidRPr="00796738" w:rsidRDefault="001C111F" w:rsidP="001C111F">
            <w:pPr>
              <w:widowControl w:val="0"/>
              <w:spacing w:before="0" w:after="0" w:line="240" w:lineRule="auto"/>
              <w:jc w:val="center"/>
              <w:rPr>
                <w:sz w:val="20"/>
                <w:szCs w:val="20"/>
              </w:rPr>
            </w:pPr>
            <w:r>
              <w:rPr>
                <w:sz w:val="20"/>
                <w:szCs w:val="20"/>
              </w:rPr>
              <w:t>0,00</w:t>
            </w:r>
          </w:p>
        </w:tc>
        <w:tc>
          <w:tcPr>
            <w:tcW w:w="352" w:type="pct"/>
            <w:tcBorders>
              <w:left w:val="single" w:sz="4" w:space="0" w:color="auto"/>
              <w:bottom w:val="single" w:sz="4" w:space="0" w:color="auto"/>
            </w:tcBorders>
            <w:vAlign w:val="center"/>
          </w:tcPr>
          <w:p w14:paraId="428D9C9D" w14:textId="77777777" w:rsidR="001C111F" w:rsidRPr="00796738" w:rsidRDefault="001C111F" w:rsidP="001C111F">
            <w:pPr>
              <w:widowControl w:val="0"/>
              <w:spacing w:before="0" w:after="0" w:line="240" w:lineRule="auto"/>
              <w:jc w:val="left"/>
              <w:rPr>
                <w:sz w:val="20"/>
                <w:szCs w:val="20"/>
              </w:rPr>
            </w:pPr>
          </w:p>
        </w:tc>
        <w:tc>
          <w:tcPr>
            <w:tcW w:w="811" w:type="pct"/>
            <w:gridSpan w:val="2"/>
            <w:tcBorders>
              <w:bottom w:val="single" w:sz="4" w:space="0" w:color="auto"/>
              <w:right w:val="single" w:sz="4" w:space="0" w:color="auto"/>
            </w:tcBorders>
            <w:vAlign w:val="center"/>
          </w:tcPr>
          <w:p w14:paraId="4DBE1A70" w14:textId="77777777" w:rsidR="001C111F" w:rsidRPr="00796738" w:rsidRDefault="001C111F" w:rsidP="008643BB">
            <w:pPr>
              <w:widowControl w:val="0"/>
              <w:spacing w:before="0" w:after="0" w:line="240" w:lineRule="auto"/>
              <w:jc w:val="center"/>
              <w:rPr>
                <w:sz w:val="20"/>
                <w:szCs w:val="20"/>
              </w:rPr>
            </w:pPr>
            <w:r>
              <w:rPr>
                <w:sz w:val="20"/>
                <w:szCs w:val="20"/>
              </w:rPr>
              <w:t>0,00</w:t>
            </w:r>
          </w:p>
        </w:tc>
        <w:tc>
          <w:tcPr>
            <w:tcW w:w="390" w:type="pct"/>
            <w:tcBorders>
              <w:left w:val="single" w:sz="4" w:space="0" w:color="auto"/>
              <w:bottom w:val="single" w:sz="4" w:space="0" w:color="auto"/>
            </w:tcBorders>
            <w:vAlign w:val="center"/>
          </w:tcPr>
          <w:p w14:paraId="110907A4" w14:textId="77777777" w:rsidR="001C111F" w:rsidRPr="00796738" w:rsidRDefault="001C111F" w:rsidP="001C111F">
            <w:pPr>
              <w:widowControl w:val="0"/>
              <w:spacing w:before="0" w:after="0" w:line="240" w:lineRule="auto"/>
              <w:jc w:val="left"/>
              <w:rPr>
                <w:sz w:val="20"/>
                <w:szCs w:val="20"/>
              </w:rPr>
            </w:pPr>
          </w:p>
        </w:tc>
        <w:tc>
          <w:tcPr>
            <w:tcW w:w="732" w:type="pct"/>
            <w:gridSpan w:val="2"/>
            <w:tcBorders>
              <w:bottom w:val="single" w:sz="4" w:space="0" w:color="auto"/>
            </w:tcBorders>
            <w:vAlign w:val="center"/>
          </w:tcPr>
          <w:p w14:paraId="2276E6F6" w14:textId="77777777" w:rsidR="001C111F" w:rsidRDefault="001C111F" w:rsidP="001C111F">
            <w:pPr>
              <w:widowControl w:val="0"/>
              <w:spacing w:before="0" w:after="0" w:line="240" w:lineRule="auto"/>
              <w:jc w:val="center"/>
              <w:rPr>
                <w:sz w:val="20"/>
                <w:szCs w:val="20"/>
              </w:rPr>
            </w:pPr>
            <w:r>
              <w:rPr>
                <w:sz w:val="20"/>
                <w:szCs w:val="20"/>
              </w:rPr>
              <w:t>0,00</w:t>
            </w:r>
          </w:p>
        </w:tc>
      </w:tr>
    </w:tbl>
    <w:p w14:paraId="4B63375C" w14:textId="77777777" w:rsidR="00356C7B" w:rsidRPr="00D902B1" w:rsidRDefault="00356C7B" w:rsidP="00356C7B">
      <w:pPr>
        <w:widowControl w:val="0"/>
        <w:spacing w:before="0" w:after="0" w:line="240" w:lineRule="auto"/>
        <w:rPr>
          <w:sz w:val="20"/>
          <w:szCs w:val="20"/>
          <w:lang w:val="pt-BR"/>
        </w:rPr>
      </w:pPr>
      <w:r w:rsidRPr="00D902B1">
        <w:rPr>
          <w:sz w:val="20"/>
          <w:szCs w:val="20"/>
          <w:lang w:val="pt-BR"/>
        </w:rPr>
        <w:t>*** significativo estatisticamente a 1%, **significativo estatisticamente a 5% e * significativo estatisticamente a 10%.</w:t>
      </w:r>
    </w:p>
    <w:p w14:paraId="384FAE72" w14:textId="77777777" w:rsidR="00356C7B" w:rsidRPr="00D902B1" w:rsidRDefault="00356C7B" w:rsidP="00E51A9A">
      <w:pPr>
        <w:spacing w:before="0" w:after="0" w:line="240" w:lineRule="auto"/>
        <w:jc w:val="center"/>
        <w:rPr>
          <w:sz w:val="20"/>
          <w:lang w:val="pt-BR"/>
        </w:rPr>
      </w:pPr>
      <w:r w:rsidRPr="00D902B1">
        <w:rPr>
          <w:sz w:val="20"/>
          <w:lang w:val="pt-BR"/>
        </w:rPr>
        <w:t>Fonte: Dados da pesquisa.</w:t>
      </w:r>
    </w:p>
    <w:p w14:paraId="63E42613" w14:textId="77777777" w:rsidR="008643BB" w:rsidRDefault="008643BB" w:rsidP="00E51A9A">
      <w:pPr>
        <w:spacing w:before="0" w:after="0" w:line="240" w:lineRule="auto"/>
        <w:jc w:val="center"/>
        <w:rPr>
          <w:lang w:val="pt-BR"/>
        </w:rPr>
        <w:sectPr w:rsidR="008643BB" w:rsidSect="008643BB">
          <w:pgSz w:w="16838" w:h="11906" w:orient="landscape"/>
          <w:pgMar w:top="1701" w:right="1418" w:bottom="1701" w:left="1418" w:header="709" w:footer="709" w:gutter="0"/>
          <w:cols w:space="708"/>
          <w:docGrid w:linePitch="360"/>
        </w:sectPr>
      </w:pPr>
    </w:p>
    <w:p w14:paraId="3DC36960" w14:textId="0B94F96A" w:rsidR="00356C7B" w:rsidRPr="00EE0D93" w:rsidRDefault="00356C7B" w:rsidP="002E04DA">
      <w:pPr>
        <w:spacing w:before="0" w:after="120" w:line="240" w:lineRule="auto"/>
        <w:rPr>
          <w:b/>
          <w:lang w:val="pt-BR"/>
        </w:rPr>
      </w:pPr>
      <w:r w:rsidRPr="00EE0D93">
        <w:rPr>
          <w:b/>
          <w:lang w:val="pt-BR"/>
        </w:rPr>
        <w:lastRenderedPageBreak/>
        <w:t xml:space="preserve">5 </w:t>
      </w:r>
      <w:r w:rsidR="00210A16">
        <w:rPr>
          <w:b/>
          <w:lang w:val="pt-BR"/>
        </w:rPr>
        <w:t>Conclusões</w:t>
      </w:r>
    </w:p>
    <w:p w14:paraId="0CAE6C0F" w14:textId="77777777" w:rsidR="008B5C9D" w:rsidRDefault="008B5C9D" w:rsidP="008B5C9D">
      <w:pPr>
        <w:pStyle w:val="SemEspaamento"/>
        <w:rPr>
          <w:rFonts w:eastAsia="Times New Roman"/>
          <w:lang w:val="pt-BR" w:eastAsia="pt-BR" w:bidi="ar-SA"/>
        </w:rPr>
      </w:pPr>
      <w:r w:rsidRPr="008B5C9D">
        <w:rPr>
          <w:lang w:val="pt-BR"/>
        </w:rPr>
        <w:t>A avaliação de e</w:t>
      </w:r>
      <w:r>
        <w:rPr>
          <w:lang w:val="pt-BR"/>
        </w:rPr>
        <w:t>mpresas é essencial par</w:t>
      </w:r>
      <w:bookmarkStart w:id="2" w:name="_GoBack"/>
      <w:bookmarkEnd w:id="2"/>
      <w:r>
        <w:rPr>
          <w:lang w:val="pt-BR"/>
        </w:rPr>
        <w:t xml:space="preserve">a a valoração do preço da ação e identificação se aquela ação está sub ou superavaliada. Entre os tipos de avaliação existentes, a avaliação por múltiplos é uma das mais utilizadas. O setor financeiro </w:t>
      </w:r>
      <w:proofErr w:type="gramStart"/>
      <w:r>
        <w:rPr>
          <w:lang w:val="pt-BR"/>
        </w:rPr>
        <w:t>devido peculiaridades</w:t>
      </w:r>
      <w:proofErr w:type="gramEnd"/>
      <w:r>
        <w:rPr>
          <w:lang w:val="pt-BR"/>
        </w:rPr>
        <w:t xml:space="preserve"> em suas atividades fins, geralmente, é excluído dos estudos acadêmicos que tratam da avaliação por múltiplos. Entretanto, observou-se a necessidade de se avaliar os bancos que estão listados na bolsa de valores brasileira, pois estes representam quantidade considerável do total de</w:t>
      </w:r>
      <w:r w:rsidR="001269CD">
        <w:rPr>
          <w:lang w:val="pt-BR"/>
        </w:rPr>
        <w:t xml:space="preserve"> negociação do mercado de ações</w:t>
      </w:r>
      <w:r w:rsidRPr="001C58CB">
        <w:rPr>
          <w:rFonts w:eastAsia="Times New Roman"/>
          <w:lang w:val="pt-BR" w:eastAsia="pt-BR" w:bidi="ar-SA"/>
        </w:rPr>
        <w:t xml:space="preserve"> </w:t>
      </w:r>
      <w:r>
        <w:rPr>
          <w:rFonts w:eastAsia="Times New Roman"/>
          <w:lang w:val="pt-BR" w:eastAsia="pt-BR" w:bidi="ar-SA"/>
        </w:rPr>
        <w:t>brasileiro</w:t>
      </w:r>
      <w:r w:rsidR="001269CD">
        <w:rPr>
          <w:rFonts w:eastAsia="Times New Roman"/>
          <w:lang w:val="pt-BR" w:eastAsia="pt-BR" w:bidi="ar-SA"/>
        </w:rPr>
        <w:t>.</w:t>
      </w:r>
    </w:p>
    <w:p w14:paraId="1A74294F" w14:textId="4CD5D257" w:rsidR="001269CD" w:rsidRDefault="001269CD" w:rsidP="008B5C9D">
      <w:pPr>
        <w:pStyle w:val="SemEspaamento"/>
        <w:rPr>
          <w:rFonts w:eastAsia="Times New Roman" w:cs="Times New Roman"/>
          <w:szCs w:val="24"/>
          <w:lang w:val="pt-BR" w:eastAsia="pt-BR" w:bidi="ar-SA"/>
        </w:rPr>
      </w:pPr>
      <w:r>
        <w:rPr>
          <w:rFonts w:eastAsia="Times New Roman"/>
          <w:lang w:val="pt-BR" w:eastAsia="pt-BR" w:bidi="ar-SA"/>
        </w:rPr>
        <w:t xml:space="preserve">Dessa forma, o estudo buscou </w:t>
      </w:r>
      <w:r w:rsidRPr="009F0943">
        <w:rPr>
          <w:rFonts w:eastAsia="Times New Roman" w:cs="Times New Roman"/>
          <w:szCs w:val="24"/>
          <w:lang w:val="pt-BR" w:eastAsia="pt-BR" w:bidi="ar-SA"/>
        </w:rPr>
        <w:t>identificar o poder explicativo dos múltiplos na avaliação de instituições bancárias</w:t>
      </w:r>
      <w:r>
        <w:rPr>
          <w:rFonts w:eastAsia="Times New Roman" w:cs="Times New Roman"/>
          <w:szCs w:val="24"/>
          <w:lang w:val="pt-BR" w:eastAsia="pt-BR" w:bidi="ar-SA"/>
        </w:rPr>
        <w:t xml:space="preserve"> e os fatores que influenciam os resultados encontrados pelos múltiplos.</w:t>
      </w:r>
      <w:r w:rsidR="00274860">
        <w:rPr>
          <w:rFonts w:eastAsia="Times New Roman" w:cs="Times New Roman"/>
          <w:szCs w:val="24"/>
          <w:lang w:val="pt-BR" w:eastAsia="pt-BR" w:bidi="ar-SA"/>
        </w:rPr>
        <w:t xml:space="preserve"> Além disso, realizou-se comparação entre os múltiplos P/L, P/B e P/LO para averiguar qual deles tem melhor poder preditivo para o setor bancário.</w:t>
      </w:r>
    </w:p>
    <w:p w14:paraId="32325036" w14:textId="55641407" w:rsidR="002E1262" w:rsidRDefault="00AC397C" w:rsidP="008B5C9D">
      <w:pPr>
        <w:pStyle w:val="SemEspaamento"/>
        <w:rPr>
          <w:rFonts w:eastAsia="Times New Roman" w:cs="Times New Roman"/>
          <w:szCs w:val="24"/>
          <w:lang w:val="pt-BR" w:eastAsia="pt-BR" w:bidi="ar-SA"/>
        </w:rPr>
      </w:pPr>
      <w:r>
        <w:rPr>
          <w:rFonts w:eastAsia="Times New Roman" w:cs="Times New Roman"/>
          <w:szCs w:val="24"/>
          <w:lang w:val="pt-BR" w:eastAsia="pt-BR" w:bidi="ar-SA"/>
        </w:rPr>
        <w:t>Os resultados apontaram que, em média, os bancos estão supervalorizados</w:t>
      </w:r>
      <w:r w:rsidR="006E2F46">
        <w:rPr>
          <w:rFonts w:eastAsia="Times New Roman" w:cs="Times New Roman"/>
          <w:szCs w:val="24"/>
          <w:lang w:val="pt-BR" w:eastAsia="pt-BR" w:bidi="ar-SA"/>
        </w:rPr>
        <w:t xml:space="preserve">. Esse fato pode </w:t>
      </w:r>
      <w:r w:rsidR="002E1262">
        <w:rPr>
          <w:rFonts w:eastAsia="Times New Roman" w:cs="Times New Roman"/>
          <w:szCs w:val="24"/>
          <w:lang w:val="pt-BR" w:eastAsia="pt-BR" w:bidi="ar-SA"/>
        </w:rPr>
        <w:t>ser resultante da</w:t>
      </w:r>
      <w:r w:rsidR="006E2F46">
        <w:rPr>
          <w:rFonts w:eastAsia="Times New Roman" w:cs="Times New Roman"/>
          <w:szCs w:val="24"/>
          <w:lang w:val="pt-BR" w:eastAsia="pt-BR" w:bidi="ar-SA"/>
        </w:rPr>
        <w:t xml:space="preserve"> valorização da bolsa de valores brasileira</w:t>
      </w:r>
      <w:r w:rsidR="002E1262">
        <w:rPr>
          <w:rFonts w:eastAsia="Times New Roman" w:cs="Times New Roman"/>
          <w:szCs w:val="24"/>
          <w:lang w:val="pt-BR" w:eastAsia="pt-BR" w:bidi="ar-SA"/>
        </w:rPr>
        <w:t xml:space="preserve"> como um todo, principalmente no período de 2018/IV a 2019/I oriunda de especulações relacionadas a fatores políticos após a eleição presidencial,</w:t>
      </w:r>
      <w:r w:rsidR="006E2F46">
        <w:rPr>
          <w:rFonts w:eastAsia="Times New Roman" w:cs="Times New Roman"/>
          <w:szCs w:val="24"/>
          <w:lang w:val="pt-BR" w:eastAsia="pt-BR" w:bidi="ar-SA"/>
        </w:rPr>
        <w:t xml:space="preserve"> levando</w:t>
      </w:r>
      <w:r w:rsidR="002E1262">
        <w:rPr>
          <w:rFonts w:eastAsia="Times New Roman" w:cs="Times New Roman"/>
          <w:szCs w:val="24"/>
          <w:lang w:val="pt-BR" w:eastAsia="pt-BR" w:bidi="ar-SA"/>
        </w:rPr>
        <w:t>, consequentemente,</w:t>
      </w:r>
      <w:r w:rsidR="006E2F46">
        <w:rPr>
          <w:rFonts w:eastAsia="Times New Roman" w:cs="Times New Roman"/>
          <w:szCs w:val="24"/>
          <w:lang w:val="pt-BR" w:eastAsia="pt-BR" w:bidi="ar-SA"/>
        </w:rPr>
        <w:t xml:space="preserve"> à valorização dos papéis dos bancos. </w:t>
      </w:r>
    </w:p>
    <w:p w14:paraId="75617577" w14:textId="4F0DF7C1" w:rsidR="00AC397C" w:rsidRDefault="002E1262" w:rsidP="008B5C9D">
      <w:pPr>
        <w:pStyle w:val="SemEspaamento"/>
        <w:rPr>
          <w:rFonts w:eastAsia="Times New Roman" w:cs="Times New Roman"/>
          <w:szCs w:val="24"/>
          <w:lang w:val="pt-BR" w:eastAsia="pt-BR" w:bidi="ar-SA"/>
        </w:rPr>
      </w:pPr>
      <w:r>
        <w:rPr>
          <w:rFonts w:eastAsia="Times New Roman" w:cs="Times New Roman"/>
          <w:szCs w:val="24"/>
          <w:lang w:val="pt-BR" w:eastAsia="pt-BR" w:bidi="ar-SA"/>
        </w:rPr>
        <w:t xml:space="preserve">Em relação ao poder explicativo dos múltiplos, </w:t>
      </w:r>
      <w:r w:rsidR="00AC397C">
        <w:rPr>
          <w:rFonts w:eastAsia="Times New Roman" w:cs="Times New Roman"/>
          <w:szCs w:val="24"/>
          <w:lang w:val="pt-BR" w:eastAsia="pt-BR" w:bidi="ar-SA"/>
        </w:rPr>
        <w:t xml:space="preserve">o P/L e o P/LO conseguem estimar com maior precisão o preço da ação dos bancos do que o P/B, confirmando as hipóteses 1 e 2 da pesquisa. </w:t>
      </w:r>
      <w:r w:rsidR="00161701">
        <w:rPr>
          <w:rFonts w:eastAsia="Times New Roman" w:cs="Times New Roman"/>
          <w:szCs w:val="24"/>
          <w:lang w:val="pt-BR" w:eastAsia="pt-BR" w:bidi="ar-SA"/>
        </w:rPr>
        <w:t xml:space="preserve">Estudos anteriores como o de Saliba (2008) mostraram que o P/B obtém melhor desempenho na análise de empresas de diferentes setores. </w:t>
      </w:r>
      <w:r w:rsidR="00161701">
        <w:rPr>
          <w:lang w:val="pt-BR"/>
        </w:rPr>
        <w:t xml:space="preserve">Essa diferença de resultados reforça a importância da análise do setor bancário de forma separada dos demais setores.  </w:t>
      </w:r>
    </w:p>
    <w:p w14:paraId="36E45828" w14:textId="4468BD74" w:rsidR="00AC397C" w:rsidRDefault="00AC397C" w:rsidP="008B5C9D">
      <w:pPr>
        <w:pStyle w:val="SemEspaamento"/>
        <w:rPr>
          <w:rFonts w:eastAsia="Times New Roman" w:cs="Times New Roman"/>
          <w:szCs w:val="24"/>
          <w:lang w:val="pt-BR" w:eastAsia="pt-BR" w:bidi="ar-SA"/>
        </w:rPr>
      </w:pPr>
      <w:r>
        <w:rPr>
          <w:rFonts w:eastAsia="Times New Roman" w:cs="Times New Roman"/>
          <w:szCs w:val="24"/>
          <w:lang w:val="pt-BR" w:eastAsia="pt-BR" w:bidi="ar-SA"/>
        </w:rPr>
        <w:t xml:space="preserve">Sobre os determinantes </w:t>
      </w:r>
      <w:r w:rsidR="00FE3A4B">
        <w:rPr>
          <w:rFonts w:eastAsia="Times New Roman" w:cs="Times New Roman"/>
          <w:szCs w:val="24"/>
          <w:lang w:val="pt-BR" w:eastAsia="pt-BR" w:bidi="ar-SA"/>
        </w:rPr>
        <w:t xml:space="preserve">dos múltiplos, </w:t>
      </w:r>
      <w:r w:rsidR="00F7061B">
        <w:rPr>
          <w:rFonts w:eastAsia="Times New Roman" w:cs="Times New Roman"/>
          <w:szCs w:val="24"/>
          <w:lang w:val="pt-BR" w:eastAsia="pt-BR" w:bidi="ar-SA"/>
        </w:rPr>
        <w:t>houve divergência entre as variáveis significativas para cada múltiplo, sendo o controle de propriedade o único fator significante para os três múltiplos. Entretanto, para o P/L e o P/LO o coeficiente foi positivo, ou seja, bancos com controle privado tendem a obter maior múltiplo, enquanto que para o P/B o beta foi negativo, mostrando superioridade dos bancos de controle público.</w:t>
      </w:r>
      <w:r w:rsidR="007A7873">
        <w:rPr>
          <w:rFonts w:eastAsia="Times New Roman" w:cs="Times New Roman"/>
          <w:szCs w:val="24"/>
          <w:lang w:val="pt-BR" w:eastAsia="pt-BR" w:bidi="ar-SA"/>
        </w:rPr>
        <w:t xml:space="preserve"> </w:t>
      </w:r>
      <w:r w:rsidR="007A7873" w:rsidRPr="00C311B2">
        <w:rPr>
          <w:rFonts w:eastAsia="Times New Roman" w:cs="Times New Roman"/>
          <w:szCs w:val="24"/>
          <w:lang w:val="pt-BR" w:eastAsia="pt-BR" w:bidi="ar-SA"/>
        </w:rPr>
        <w:t xml:space="preserve">Além do controle de propriedade, </w:t>
      </w:r>
      <w:r w:rsidR="007A7873" w:rsidRPr="00E664B1">
        <w:rPr>
          <w:rFonts w:eastAsia="Times New Roman" w:cs="Times New Roman"/>
          <w:szCs w:val="24"/>
          <w:lang w:val="pt-BR" w:eastAsia="pt-BR" w:bidi="ar-SA"/>
        </w:rPr>
        <w:t>o risco do negócio foi positivamente significativo para o P/L</w:t>
      </w:r>
      <w:r w:rsidR="00B43176" w:rsidRPr="009D0E0E">
        <w:rPr>
          <w:rFonts w:eastAsia="Times New Roman" w:cs="Times New Roman"/>
          <w:szCs w:val="24"/>
          <w:lang w:val="pt-BR" w:eastAsia="pt-BR" w:bidi="ar-SA"/>
        </w:rPr>
        <w:t xml:space="preserve"> e</w:t>
      </w:r>
      <w:r w:rsidR="007A7873" w:rsidRPr="00C311B2">
        <w:rPr>
          <w:rFonts w:eastAsia="Times New Roman" w:cs="Times New Roman"/>
          <w:szCs w:val="24"/>
          <w:lang w:val="pt-BR" w:eastAsia="pt-BR" w:bidi="ar-SA"/>
        </w:rPr>
        <w:t xml:space="preserve"> a rentabilidade</w:t>
      </w:r>
      <w:r w:rsidR="00B80A6D" w:rsidRPr="009D0E0E">
        <w:rPr>
          <w:rFonts w:eastAsia="Times New Roman" w:cs="Times New Roman"/>
          <w:szCs w:val="24"/>
          <w:lang w:val="pt-BR" w:eastAsia="pt-BR" w:bidi="ar-SA"/>
        </w:rPr>
        <w:t xml:space="preserve"> sobre o patrimônio líquido</w:t>
      </w:r>
      <w:r w:rsidR="007A7873" w:rsidRPr="00C311B2">
        <w:rPr>
          <w:rFonts w:eastAsia="Times New Roman" w:cs="Times New Roman"/>
          <w:szCs w:val="24"/>
          <w:lang w:val="pt-BR" w:eastAsia="pt-BR" w:bidi="ar-SA"/>
        </w:rPr>
        <w:t xml:space="preserve"> e </w:t>
      </w:r>
      <w:r w:rsidR="007A7873" w:rsidRPr="00E664B1">
        <w:rPr>
          <w:rFonts w:eastAsia="Times New Roman" w:cs="Times New Roman"/>
          <w:szCs w:val="24"/>
          <w:lang w:val="pt-BR" w:eastAsia="pt-BR" w:bidi="ar-SA"/>
        </w:rPr>
        <w:t>o tamanho d</w:t>
      </w:r>
      <w:r w:rsidR="00B80A6D" w:rsidRPr="009D0E0E">
        <w:rPr>
          <w:rFonts w:eastAsia="Times New Roman" w:cs="Times New Roman"/>
          <w:szCs w:val="24"/>
          <w:lang w:val="pt-BR" w:eastAsia="pt-BR" w:bidi="ar-SA"/>
        </w:rPr>
        <w:t>o banco apresentaram significância positiva sobre o</w:t>
      </w:r>
      <w:r w:rsidR="007A7873" w:rsidRPr="00C311B2">
        <w:rPr>
          <w:rFonts w:eastAsia="Times New Roman" w:cs="Times New Roman"/>
          <w:szCs w:val="24"/>
          <w:lang w:val="pt-BR" w:eastAsia="pt-BR" w:bidi="ar-SA"/>
        </w:rPr>
        <w:t xml:space="preserve"> P/B.</w:t>
      </w:r>
      <w:r w:rsidR="00B80A6D" w:rsidRPr="009D0E0E">
        <w:rPr>
          <w:rFonts w:eastAsia="Times New Roman" w:cs="Times New Roman"/>
          <w:szCs w:val="24"/>
          <w:lang w:val="pt-BR" w:eastAsia="pt-BR" w:bidi="ar-SA"/>
        </w:rPr>
        <w:t xml:space="preserve"> </w:t>
      </w:r>
    </w:p>
    <w:p w14:paraId="7116CF2B" w14:textId="77777777" w:rsidR="001269CD" w:rsidRDefault="00954655" w:rsidP="008B5C9D">
      <w:pPr>
        <w:pStyle w:val="SemEspaamento"/>
        <w:rPr>
          <w:lang w:val="pt-BR"/>
        </w:rPr>
      </w:pPr>
      <w:r>
        <w:rPr>
          <w:rFonts w:eastAsia="Times New Roman"/>
          <w:lang w:val="pt-BR" w:eastAsia="pt-BR" w:bidi="ar-SA"/>
        </w:rPr>
        <w:t>Como l</w:t>
      </w:r>
      <w:r w:rsidR="008D36E7">
        <w:rPr>
          <w:rFonts w:eastAsia="Times New Roman"/>
          <w:lang w:val="pt-BR" w:eastAsia="pt-BR" w:bidi="ar-SA"/>
        </w:rPr>
        <w:t>imitaç</w:t>
      </w:r>
      <w:r w:rsidR="00F7061B">
        <w:rPr>
          <w:rFonts w:eastAsia="Times New Roman"/>
          <w:lang w:val="pt-BR" w:eastAsia="pt-BR" w:bidi="ar-SA"/>
        </w:rPr>
        <w:t>ão</w:t>
      </w:r>
      <w:r>
        <w:rPr>
          <w:rFonts w:eastAsia="Times New Roman"/>
          <w:lang w:val="pt-BR" w:eastAsia="pt-BR" w:bidi="ar-SA"/>
        </w:rPr>
        <w:t xml:space="preserve"> do estudo tem-se o baixo número de observações, visto que são poucos os bancos brasileiros listados na bolsa.</w:t>
      </w:r>
      <w:r w:rsidR="00AC397C">
        <w:rPr>
          <w:rFonts w:eastAsia="Times New Roman"/>
          <w:lang w:val="pt-BR" w:eastAsia="pt-BR" w:bidi="ar-SA"/>
        </w:rPr>
        <w:t xml:space="preserve"> </w:t>
      </w:r>
      <w:r w:rsidR="00F7061B">
        <w:rPr>
          <w:rFonts w:eastAsia="Times New Roman"/>
          <w:lang w:val="pt-BR" w:eastAsia="pt-BR" w:bidi="ar-SA"/>
        </w:rPr>
        <w:t>S</w:t>
      </w:r>
      <w:r w:rsidR="001269CD">
        <w:rPr>
          <w:lang w:val="pt-BR"/>
        </w:rPr>
        <w:t>uge</w:t>
      </w:r>
      <w:r w:rsidR="00F7061B">
        <w:rPr>
          <w:lang w:val="pt-BR"/>
        </w:rPr>
        <w:t>re-se</w:t>
      </w:r>
      <w:r w:rsidR="001269CD">
        <w:rPr>
          <w:lang w:val="pt-BR"/>
        </w:rPr>
        <w:t xml:space="preserve"> </w:t>
      </w:r>
      <w:r w:rsidR="00F7061B">
        <w:rPr>
          <w:lang w:val="pt-BR"/>
        </w:rPr>
        <w:t>para</w:t>
      </w:r>
      <w:r w:rsidR="001269CD">
        <w:rPr>
          <w:lang w:val="pt-BR"/>
        </w:rPr>
        <w:t xml:space="preserve"> pesquisas futuras a realização do estudo do </w:t>
      </w:r>
      <w:proofErr w:type="spellStart"/>
      <w:r w:rsidR="001269CD" w:rsidRPr="001269CD">
        <w:rPr>
          <w:i/>
          <w:lang w:val="pt-BR"/>
        </w:rPr>
        <w:t>valuation</w:t>
      </w:r>
      <w:proofErr w:type="spellEnd"/>
      <w:r w:rsidR="001269CD">
        <w:rPr>
          <w:lang w:val="pt-BR"/>
        </w:rPr>
        <w:t xml:space="preserve"> dos bancos com outros tipos de técnicas de avaliação para que possa ser</w:t>
      </w:r>
      <w:r w:rsidR="00F7061B">
        <w:rPr>
          <w:lang w:val="pt-BR"/>
        </w:rPr>
        <w:t xml:space="preserve"> feita</w:t>
      </w:r>
      <w:r w:rsidR="001269CD">
        <w:rPr>
          <w:lang w:val="pt-BR"/>
        </w:rPr>
        <w:t xml:space="preserve"> compara</w:t>
      </w:r>
      <w:r w:rsidR="00F7061B">
        <w:rPr>
          <w:lang w:val="pt-BR"/>
        </w:rPr>
        <w:t>ção entre elas</w:t>
      </w:r>
      <w:r w:rsidR="001269CD">
        <w:rPr>
          <w:lang w:val="pt-BR"/>
        </w:rPr>
        <w:t xml:space="preserve"> e averiguar qual técnica tem melhor poder preditivo do preço das ações dos bancos. </w:t>
      </w:r>
      <w:r w:rsidR="00F7061B">
        <w:rPr>
          <w:lang w:val="pt-BR"/>
        </w:rPr>
        <w:t>Além disso, indica-se também que sejam e</w:t>
      </w:r>
      <w:r w:rsidR="00F7061B">
        <w:rPr>
          <w:rFonts w:eastAsia="Times New Roman"/>
          <w:lang w:val="pt-BR" w:eastAsia="pt-BR" w:bidi="ar-SA"/>
        </w:rPr>
        <w:t>lencados outros fatores com possibilidade de serem determinantes dos múltiplos de bancos.</w:t>
      </w:r>
    </w:p>
    <w:p w14:paraId="1316A041" w14:textId="77777777" w:rsidR="001269CD" w:rsidRPr="008B5C9D" w:rsidRDefault="001269CD" w:rsidP="008B5C9D">
      <w:pPr>
        <w:pStyle w:val="SemEspaamento"/>
        <w:rPr>
          <w:lang w:val="pt-BR"/>
        </w:rPr>
      </w:pPr>
    </w:p>
    <w:p w14:paraId="660EAC5C" w14:textId="7C3244E2" w:rsidR="00356C7B" w:rsidRDefault="00356C7B" w:rsidP="002E04DA">
      <w:pPr>
        <w:spacing w:before="0" w:after="120" w:line="240" w:lineRule="auto"/>
        <w:rPr>
          <w:rFonts w:eastAsia="Times New Roman" w:cs="Times New Roman"/>
          <w:b/>
          <w:szCs w:val="24"/>
          <w:lang w:val="en-GB" w:eastAsia="pt-BR" w:bidi="ar-SA"/>
        </w:rPr>
      </w:pPr>
      <w:proofErr w:type="spellStart"/>
      <w:r w:rsidRPr="00210A16">
        <w:rPr>
          <w:rFonts w:eastAsia="Times New Roman" w:cs="Times New Roman"/>
          <w:b/>
          <w:szCs w:val="24"/>
          <w:lang w:val="en-GB" w:eastAsia="pt-BR" w:bidi="ar-SA"/>
        </w:rPr>
        <w:t>Referências</w:t>
      </w:r>
      <w:proofErr w:type="spellEnd"/>
    </w:p>
    <w:p w14:paraId="37CA8E0B" w14:textId="77777777" w:rsidR="009B7C76" w:rsidRDefault="009B7C76" w:rsidP="009B7C76">
      <w:pPr>
        <w:autoSpaceDE w:val="0"/>
        <w:autoSpaceDN w:val="0"/>
        <w:adjustRightInd w:val="0"/>
        <w:spacing w:before="0" w:after="0" w:line="240" w:lineRule="auto"/>
        <w:jc w:val="left"/>
        <w:rPr>
          <w:rFonts w:cs="Times New Roman"/>
          <w:szCs w:val="24"/>
          <w:shd w:val="clear" w:color="auto" w:fill="FFFFFF"/>
        </w:rPr>
      </w:pPr>
      <w:r w:rsidRPr="00597A41">
        <w:rPr>
          <w:rFonts w:cs="Times New Roman"/>
          <w:color w:val="222222"/>
          <w:szCs w:val="24"/>
          <w:shd w:val="clear" w:color="auto" w:fill="FFFFFF"/>
        </w:rPr>
        <w:t>ALFORD, A. W. The effect of the set of comparable firms on the accuracy of the price-earnings valuation method. </w:t>
      </w:r>
      <w:r w:rsidRPr="00597A41">
        <w:rPr>
          <w:rFonts w:cs="Times New Roman"/>
          <w:b/>
          <w:bCs/>
          <w:color w:val="222222"/>
          <w:szCs w:val="24"/>
          <w:shd w:val="clear" w:color="auto" w:fill="FFFFFF"/>
        </w:rPr>
        <w:t>Journal of Accounting Research</w:t>
      </w:r>
      <w:r w:rsidRPr="00597A41">
        <w:rPr>
          <w:rFonts w:cs="Times New Roman"/>
          <w:color w:val="222222"/>
          <w:szCs w:val="24"/>
          <w:shd w:val="clear" w:color="auto" w:fill="FFFFFF"/>
        </w:rPr>
        <w:t xml:space="preserve">, v. 30, n. 1, p. 94-108, 1992. Doi: </w:t>
      </w:r>
      <w:r w:rsidRPr="00597A41">
        <w:rPr>
          <w:rFonts w:cs="Times New Roman"/>
          <w:bCs/>
          <w:szCs w:val="24"/>
        </w:rPr>
        <w:t>https://doi.org/</w:t>
      </w:r>
      <w:r w:rsidRPr="00597A41">
        <w:rPr>
          <w:rFonts w:cs="Times New Roman"/>
          <w:szCs w:val="24"/>
          <w:shd w:val="clear" w:color="auto" w:fill="FFFFFF"/>
        </w:rPr>
        <w:t xml:space="preserve">10.2307/2491093 </w:t>
      </w:r>
    </w:p>
    <w:p w14:paraId="70B8144C" w14:textId="77777777" w:rsidR="009B7C76" w:rsidRPr="00597A41" w:rsidRDefault="009B7C76" w:rsidP="009B7C76">
      <w:pPr>
        <w:autoSpaceDE w:val="0"/>
        <w:autoSpaceDN w:val="0"/>
        <w:adjustRightInd w:val="0"/>
        <w:spacing w:before="0" w:after="0" w:line="240" w:lineRule="auto"/>
        <w:jc w:val="left"/>
        <w:rPr>
          <w:rFonts w:cs="Times New Roman"/>
          <w:color w:val="222222"/>
          <w:szCs w:val="24"/>
          <w:shd w:val="clear" w:color="auto" w:fill="FFFFFF"/>
        </w:rPr>
      </w:pPr>
    </w:p>
    <w:p w14:paraId="60EF971A" w14:textId="77777777" w:rsidR="009B7C76" w:rsidRPr="00597A41" w:rsidRDefault="009B7C76" w:rsidP="009B7C76">
      <w:pPr>
        <w:autoSpaceDE w:val="0"/>
        <w:autoSpaceDN w:val="0"/>
        <w:adjustRightInd w:val="0"/>
        <w:spacing w:before="0" w:after="0" w:line="240" w:lineRule="auto"/>
        <w:jc w:val="left"/>
        <w:rPr>
          <w:rFonts w:cs="Times New Roman"/>
          <w:color w:val="222222"/>
          <w:szCs w:val="24"/>
          <w:shd w:val="clear" w:color="auto" w:fill="FFFFFF"/>
        </w:rPr>
      </w:pPr>
      <w:r w:rsidRPr="00597A41">
        <w:rPr>
          <w:rFonts w:cs="Times New Roman"/>
          <w:color w:val="222222"/>
          <w:szCs w:val="24"/>
          <w:shd w:val="clear" w:color="auto" w:fill="FFFFFF"/>
        </w:rPr>
        <w:t>BHOJRAJ, S.; LEE, C. M. C. Who is my peer? A valuation‐based approach to the selection of comparable firms. </w:t>
      </w:r>
      <w:r w:rsidRPr="00597A41">
        <w:rPr>
          <w:rFonts w:cs="Times New Roman"/>
          <w:b/>
          <w:color w:val="222222"/>
          <w:szCs w:val="24"/>
          <w:shd w:val="clear" w:color="auto" w:fill="FFFFFF"/>
        </w:rPr>
        <w:t>Journal of accounting research</w:t>
      </w:r>
      <w:r w:rsidRPr="00597A41">
        <w:rPr>
          <w:rFonts w:cs="Times New Roman"/>
          <w:color w:val="222222"/>
          <w:szCs w:val="24"/>
          <w:shd w:val="clear" w:color="auto" w:fill="FFFFFF"/>
        </w:rPr>
        <w:t>, v. 40, n. 2, p. 407-439, 2002. Doi: https://doi.org/10.1111/1475-679X.00054</w:t>
      </w:r>
    </w:p>
    <w:p w14:paraId="6284A512" w14:textId="77777777" w:rsidR="009B7C76" w:rsidRPr="009B7C76" w:rsidRDefault="009B7C76" w:rsidP="009B7C76">
      <w:pPr>
        <w:spacing w:before="0" w:after="0" w:line="240" w:lineRule="auto"/>
        <w:jc w:val="left"/>
        <w:rPr>
          <w:rFonts w:eastAsia="Times New Roman" w:cs="Times New Roman"/>
          <w:szCs w:val="24"/>
          <w:lang w:eastAsia="pt-BR" w:bidi="ar-SA"/>
        </w:rPr>
      </w:pPr>
    </w:p>
    <w:p w14:paraId="30541EAC" w14:textId="77777777" w:rsidR="002E3775" w:rsidRDefault="009B7C76" w:rsidP="009B7C76">
      <w:pPr>
        <w:spacing w:before="0" w:after="0" w:line="240" w:lineRule="auto"/>
        <w:jc w:val="left"/>
        <w:rPr>
          <w:rFonts w:eastAsia="Times New Roman" w:cs="Times New Roman"/>
          <w:szCs w:val="24"/>
          <w:lang w:val="pt-BR" w:eastAsia="pt-BR" w:bidi="ar-SA"/>
        </w:rPr>
      </w:pPr>
      <w:r w:rsidRPr="0017202E">
        <w:rPr>
          <w:rFonts w:eastAsia="Times New Roman" w:cs="Times New Roman"/>
          <w:szCs w:val="24"/>
          <w:lang w:val="pt-BR" w:eastAsia="pt-BR" w:bidi="ar-SA"/>
        </w:rPr>
        <w:t xml:space="preserve">BRASIL, BOLSA, BALCÃO (B3). </w:t>
      </w:r>
      <w:r w:rsidRPr="0017202E">
        <w:rPr>
          <w:rFonts w:eastAsia="Times New Roman" w:cs="Times New Roman"/>
          <w:b/>
          <w:szCs w:val="24"/>
          <w:lang w:val="pt-BR" w:eastAsia="pt-BR" w:bidi="ar-SA"/>
        </w:rPr>
        <w:t>Ibovespa</w:t>
      </w:r>
      <w:r w:rsidRPr="0017202E">
        <w:rPr>
          <w:rFonts w:eastAsia="Times New Roman" w:cs="Times New Roman"/>
          <w:szCs w:val="24"/>
          <w:lang w:val="pt-BR" w:eastAsia="pt-BR" w:bidi="ar-SA"/>
        </w:rPr>
        <w:t>.</w:t>
      </w:r>
      <w:r w:rsidRPr="0017202E">
        <w:rPr>
          <w:rFonts w:eastAsia="Times New Roman" w:cs="Times New Roman"/>
          <w:i/>
          <w:szCs w:val="24"/>
          <w:lang w:val="pt-BR" w:eastAsia="pt-BR" w:bidi="ar-SA"/>
        </w:rPr>
        <w:t xml:space="preserve"> </w:t>
      </w:r>
      <w:r w:rsidRPr="0017202E">
        <w:rPr>
          <w:rFonts w:eastAsia="Times New Roman" w:cs="Times New Roman"/>
          <w:szCs w:val="24"/>
          <w:lang w:val="pt-BR" w:eastAsia="pt-BR" w:bidi="ar-SA"/>
        </w:rPr>
        <w:t>Disponível em: &lt;</w:t>
      </w:r>
      <w:r w:rsidR="00445E03" w:rsidRPr="0017202E">
        <w:rPr>
          <w:rFonts w:eastAsia="Times New Roman" w:cs="Times New Roman"/>
          <w:szCs w:val="24"/>
          <w:lang w:val="pt-BR" w:eastAsia="pt-BR" w:bidi="ar-SA"/>
        </w:rPr>
        <w:t>http://www.b3.com.br/</w:t>
      </w:r>
    </w:p>
    <w:p w14:paraId="15BDA192" w14:textId="2E208326" w:rsidR="009B7C76" w:rsidRPr="00597A41" w:rsidRDefault="00445E03" w:rsidP="009B7C76">
      <w:pPr>
        <w:spacing w:before="0" w:after="0" w:line="240" w:lineRule="auto"/>
        <w:jc w:val="left"/>
        <w:rPr>
          <w:rFonts w:eastAsia="Times New Roman" w:cs="Times New Roman"/>
          <w:szCs w:val="24"/>
          <w:lang w:val="pt-BR" w:eastAsia="pt-BR" w:bidi="ar-SA"/>
        </w:rPr>
      </w:pPr>
      <w:proofErr w:type="spellStart"/>
      <w:r w:rsidRPr="0017202E">
        <w:rPr>
          <w:rFonts w:eastAsia="Times New Roman" w:cs="Times New Roman"/>
          <w:szCs w:val="24"/>
          <w:lang w:val="pt-BR" w:eastAsia="pt-BR" w:bidi="ar-SA"/>
        </w:rPr>
        <w:lastRenderedPageBreak/>
        <w:t>pt_br</w:t>
      </w:r>
      <w:proofErr w:type="spellEnd"/>
      <w:r w:rsidRPr="0017202E">
        <w:rPr>
          <w:rFonts w:eastAsia="Times New Roman" w:cs="Times New Roman"/>
          <w:szCs w:val="24"/>
          <w:lang w:val="pt-BR" w:eastAsia="pt-BR" w:bidi="ar-SA"/>
        </w:rPr>
        <w:t>/</w:t>
      </w:r>
      <w:proofErr w:type="spellStart"/>
      <w:r w:rsidRPr="0017202E">
        <w:rPr>
          <w:rFonts w:eastAsia="Times New Roman" w:cs="Times New Roman"/>
          <w:szCs w:val="24"/>
          <w:lang w:val="pt-BR" w:eastAsia="pt-BR" w:bidi="ar-SA"/>
        </w:rPr>
        <w:t>market</w:t>
      </w:r>
      <w:proofErr w:type="spellEnd"/>
      <w:r w:rsidRPr="0017202E">
        <w:rPr>
          <w:rFonts w:eastAsia="Times New Roman" w:cs="Times New Roman"/>
          <w:szCs w:val="24"/>
          <w:lang w:val="pt-BR" w:eastAsia="pt-BR" w:bidi="ar-SA"/>
        </w:rPr>
        <w:t>-data-e-</w:t>
      </w:r>
      <w:proofErr w:type="spellStart"/>
      <w:r w:rsidRPr="0017202E">
        <w:rPr>
          <w:rFonts w:eastAsia="Times New Roman" w:cs="Times New Roman"/>
          <w:szCs w:val="24"/>
          <w:lang w:val="pt-BR" w:eastAsia="pt-BR" w:bidi="ar-SA"/>
        </w:rPr>
        <w:t>indices</w:t>
      </w:r>
      <w:proofErr w:type="spellEnd"/>
      <w:r w:rsidRPr="0017202E">
        <w:rPr>
          <w:rFonts w:eastAsia="Times New Roman" w:cs="Times New Roman"/>
          <w:szCs w:val="24"/>
          <w:lang w:val="pt-BR" w:eastAsia="pt-BR" w:bidi="ar-SA"/>
        </w:rPr>
        <w:t>/</w:t>
      </w:r>
      <w:proofErr w:type="spellStart"/>
      <w:r w:rsidRPr="0017202E">
        <w:rPr>
          <w:rFonts w:eastAsia="Times New Roman" w:cs="Times New Roman"/>
          <w:szCs w:val="24"/>
          <w:lang w:val="pt-BR" w:eastAsia="pt-BR" w:bidi="ar-SA"/>
        </w:rPr>
        <w:t>indices</w:t>
      </w:r>
      <w:proofErr w:type="spellEnd"/>
      <w:r w:rsidRPr="0017202E">
        <w:rPr>
          <w:rFonts w:eastAsia="Times New Roman" w:cs="Times New Roman"/>
          <w:szCs w:val="24"/>
          <w:lang w:val="pt-BR" w:eastAsia="pt-BR" w:bidi="ar-SA"/>
        </w:rPr>
        <w:t>/</w:t>
      </w:r>
      <w:proofErr w:type="spellStart"/>
      <w:r w:rsidRPr="0017202E">
        <w:rPr>
          <w:rFonts w:eastAsia="Times New Roman" w:cs="Times New Roman"/>
          <w:szCs w:val="24"/>
          <w:lang w:val="pt-BR" w:eastAsia="pt-BR" w:bidi="ar-SA"/>
        </w:rPr>
        <w:t>indices</w:t>
      </w:r>
      <w:proofErr w:type="spellEnd"/>
      <w:r w:rsidRPr="0017202E">
        <w:rPr>
          <w:rFonts w:eastAsia="Times New Roman" w:cs="Times New Roman"/>
          <w:szCs w:val="24"/>
          <w:lang w:val="pt-BR" w:eastAsia="pt-BR" w:bidi="ar-SA"/>
        </w:rPr>
        <w:t>-amplos/ibovespa.htm</w:t>
      </w:r>
      <w:r w:rsidR="009B7C76" w:rsidRPr="0017202E">
        <w:rPr>
          <w:rFonts w:eastAsia="Times New Roman" w:cs="Times New Roman"/>
          <w:szCs w:val="24"/>
          <w:lang w:val="pt-BR" w:eastAsia="pt-BR" w:bidi="ar-SA"/>
        </w:rPr>
        <w:t>&gt; Acesso em: 06 de mai. de 2019.</w:t>
      </w:r>
    </w:p>
    <w:p w14:paraId="26EC2573" w14:textId="77777777" w:rsidR="009B7C76" w:rsidRPr="009B7C76" w:rsidRDefault="009B7C76" w:rsidP="009B7C76">
      <w:pPr>
        <w:spacing w:before="0" w:after="0" w:line="240" w:lineRule="auto"/>
        <w:jc w:val="left"/>
        <w:rPr>
          <w:rFonts w:eastAsiaTheme="minorHAnsi" w:cs="Times New Roman"/>
          <w:szCs w:val="24"/>
          <w:lang w:val="pt-BR" w:bidi="ar-SA"/>
        </w:rPr>
      </w:pPr>
    </w:p>
    <w:p w14:paraId="4C656439" w14:textId="77777777" w:rsidR="009B7C76" w:rsidRPr="00597A41" w:rsidRDefault="009B7C76" w:rsidP="009B7C76">
      <w:pPr>
        <w:spacing w:before="0" w:after="0" w:line="240" w:lineRule="auto"/>
        <w:jc w:val="left"/>
        <w:rPr>
          <w:rFonts w:eastAsiaTheme="minorHAnsi" w:cs="Times New Roman"/>
          <w:szCs w:val="24"/>
          <w:lang w:bidi="ar-SA"/>
        </w:rPr>
      </w:pPr>
      <w:r w:rsidRPr="00597A41">
        <w:rPr>
          <w:rFonts w:eastAsiaTheme="minorHAnsi" w:cs="Times New Roman"/>
          <w:szCs w:val="24"/>
          <w:lang w:bidi="ar-SA"/>
        </w:rPr>
        <w:t xml:space="preserve">CHENG, C. S. A.; MCNAMARA, R. The valuation accuracy of the price-earnings and price-book benchmark valuation methods. </w:t>
      </w:r>
      <w:r w:rsidRPr="00597A41">
        <w:rPr>
          <w:rFonts w:eastAsiaTheme="minorHAnsi" w:cs="Times New Roman"/>
          <w:b/>
          <w:szCs w:val="24"/>
          <w:lang w:bidi="ar-SA"/>
        </w:rPr>
        <w:t>Review of Quantitative Finance and Accounting</w:t>
      </w:r>
      <w:r w:rsidRPr="00597A41">
        <w:rPr>
          <w:rFonts w:eastAsiaTheme="minorHAnsi" w:cs="Times New Roman"/>
          <w:szCs w:val="24"/>
          <w:lang w:bidi="ar-SA"/>
        </w:rPr>
        <w:t>, v. 15, n. 4, p. 349-370, 2000. Doi: https://doi.org/10.1023/A:1012050524545</w:t>
      </w:r>
    </w:p>
    <w:p w14:paraId="68C2C86E" w14:textId="77777777" w:rsidR="009B7C76" w:rsidRPr="009B7C76" w:rsidRDefault="009B7C76" w:rsidP="009B7C76">
      <w:pPr>
        <w:spacing w:before="0" w:after="0" w:line="240" w:lineRule="auto"/>
        <w:jc w:val="left"/>
        <w:rPr>
          <w:rFonts w:eastAsia="Times New Roman" w:cs="Times New Roman"/>
          <w:szCs w:val="24"/>
          <w:lang w:eastAsia="pt-BR" w:bidi="ar-SA"/>
        </w:rPr>
      </w:pPr>
    </w:p>
    <w:p w14:paraId="1390091E" w14:textId="4F4DF2CA" w:rsidR="009B7C76" w:rsidRPr="00597A41" w:rsidRDefault="009B7C76" w:rsidP="009B7C76">
      <w:pPr>
        <w:spacing w:before="0" w:after="0" w:line="240" w:lineRule="auto"/>
        <w:jc w:val="left"/>
        <w:rPr>
          <w:rFonts w:eastAsia="Times New Roman" w:cs="Times New Roman"/>
          <w:szCs w:val="24"/>
          <w:lang w:val="pt-BR" w:eastAsia="pt-BR" w:bidi="ar-SA"/>
        </w:rPr>
      </w:pPr>
      <w:r w:rsidRPr="00597A41">
        <w:rPr>
          <w:rFonts w:eastAsia="Times New Roman" w:cs="Times New Roman"/>
          <w:szCs w:val="24"/>
          <w:lang w:val="pt-BR" w:eastAsia="pt-BR" w:bidi="ar-SA"/>
        </w:rPr>
        <w:t xml:space="preserve">COUTO JUNIOR, C. G.; GALDI, F. C. Avaliação de empresas por múltiplos aplicados em empresas agrupadas com análise de cluster. </w:t>
      </w:r>
      <w:r w:rsidRPr="00597A41">
        <w:rPr>
          <w:rFonts w:eastAsia="Times New Roman" w:cs="Times New Roman"/>
          <w:b/>
          <w:szCs w:val="24"/>
          <w:lang w:val="pt-BR" w:eastAsia="pt-BR" w:bidi="ar-SA"/>
        </w:rPr>
        <w:t>RAM – Revista de Administração Mackenzie</w:t>
      </w:r>
      <w:r w:rsidRPr="00597A41">
        <w:rPr>
          <w:rFonts w:eastAsia="Times New Roman" w:cs="Times New Roman"/>
          <w:szCs w:val="24"/>
          <w:lang w:val="pt-BR" w:eastAsia="pt-BR" w:bidi="ar-SA"/>
        </w:rPr>
        <w:t>,</w:t>
      </w:r>
      <w:r w:rsidRPr="00597A41">
        <w:rPr>
          <w:rFonts w:eastAsia="Times New Roman" w:cs="Times New Roman"/>
          <w:b/>
          <w:szCs w:val="24"/>
          <w:lang w:val="pt-BR" w:eastAsia="pt-BR" w:bidi="ar-SA"/>
        </w:rPr>
        <w:t xml:space="preserve"> </w:t>
      </w:r>
      <w:r w:rsidRPr="00597A41">
        <w:rPr>
          <w:rFonts w:eastAsia="Times New Roman" w:cs="Times New Roman"/>
          <w:szCs w:val="24"/>
          <w:lang w:val="pt-BR" w:eastAsia="pt-BR" w:bidi="ar-SA"/>
        </w:rPr>
        <w:t>v. 13, n. 5, p. 135-170, 2012. D</w:t>
      </w:r>
      <w:r w:rsidR="00BA2BA5">
        <w:rPr>
          <w:rFonts w:eastAsia="Times New Roman" w:cs="Times New Roman"/>
          <w:szCs w:val="24"/>
          <w:lang w:val="pt-BR" w:eastAsia="pt-BR" w:bidi="ar-SA"/>
        </w:rPr>
        <w:t>isponível em: &lt;</w:t>
      </w:r>
      <w:r w:rsidR="00BA2BA5" w:rsidRPr="00BA2BA5">
        <w:rPr>
          <w:lang w:val="pt-BR"/>
        </w:rPr>
        <w:t xml:space="preserve"> </w:t>
      </w:r>
      <w:r w:rsidR="00BA2BA5" w:rsidRPr="00BA2BA5">
        <w:rPr>
          <w:rFonts w:eastAsia="Times New Roman" w:cs="Times New Roman"/>
          <w:szCs w:val="24"/>
          <w:lang w:val="pt-BR" w:eastAsia="pt-BR" w:bidi="ar-SA"/>
        </w:rPr>
        <w:t>http://editorarevistas.mackenzie.br/index.php/RAM/article/view/3590/3728</w:t>
      </w:r>
      <w:r w:rsidR="00BA2BA5">
        <w:rPr>
          <w:rFonts w:eastAsia="Times New Roman" w:cs="Times New Roman"/>
          <w:szCs w:val="24"/>
          <w:lang w:val="pt-BR" w:eastAsia="pt-BR" w:bidi="ar-SA"/>
        </w:rPr>
        <w:t>&gt;. Acesso em: 13 de mar. de 2019.</w:t>
      </w:r>
    </w:p>
    <w:p w14:paraId="17BA7F9E" w14:textId="77777777" w:rsidR="009B7C76" w:rsidRDefault="009B7C76" w:rsidP="009B7C76">
      <w:pPr>
        <w:spacing w:before="0" w:after="0" w:line="240" w:lineRule="auto"/>
        <w:jc w:val="left"/>
        <w:rPr>
          <w:rFonts w:eastAsia="Times New Roman" w:cs="Times New Roman"/>
          <w:szCs w:val="24"/>
          <w:lang w:val="pt-BR" w:eastAsia="pt-BR" w:bidi="ar-SA"/>
        </w:rPr>
      </w:pPr>
    </w:p>
    <w:p w14:paraId="68BEA152" w14:textId="3A0FB5FA" w:rsidR="009B7C76" w:rsidRPr="00597A41" w:rsidRDefault="009B7C76" w:rsidP="009B7C76">
      <w:pPr>
        <w:spacing w:before="0" w:after="0" w:line="240" w:lineRule="auto"/>
        <w:jc w:val="left"/>
        <w:rPr>
          <w:rFonts w:eastAsia="Times New Roman" w:cs="Times New Roman"/>
          <w:szCs w:val="24"/>
          <w:lang w:eastAsia="pt-BR" w:bidi="ar-SA"/>
        </w:rPr>
      </w:pPr>
      <w:r w:rsidRPr="00597A41">
        <w:rPr>
          <w:rFonts w:eastAsia="Times New Roman" w:cs="Times New Roman"/>
          <w:szCs w:val="24"/>
          <w:lang w:val="pt-BR" w:eastAsia="pt-BR" w:bidi="ar-SA"/>
        </w:rPr>
        <w:t xml:space="preserve">DAMODARAN, A. </w:t>
      </w:r>
      <w:r w:rsidRPr="00597A41">
        <w:rPr>
          <w:rFonts w:eastAsia="Times New Roman" w:cs="Times New Roman"/>
          <w:b/>
          <w:szCs w:val="24"/>
          <w:lang w:val="pt-BR" w:eastAsia="pt-BR" w:bidi="ar-SA"/>
        </w:rPr>
        <w:t>Avaliação de empresas</w:t>
      </w:r>
      <w:r w:rsidRPr="00597A41">
        <w:rPr>
          <w:rFonts w:eastAsia="Times New Roman" w:cs="Times New Roman"/>
          <w:szCs w:val="24"/>
          <w:lang w:val="pt-BR" w:eastAsia="pt-BR" w:bidi="ar-SA"/>
        </w:rPr>
        <w:t xml:space="preserve">. </w:t>
      </w:r>
      <w:r w:rsidRPr="00BC73E8">
        <w:rPr>
          <w:rFonts w:eastAsia="Times New Roman" w:cs="Times New Roman"/>
          <w:szCs w:val="24"/>
          <w:lang w:eastAsia="pt-BR" w:bidi="ar-SA"/>
        </w:rPr>
        <w:t>2</w:t>
      </w:r>
      <w:r w:rsidR="00BC73E8" w:rsidRPr="00BC73E8">
        <w:rPr>
          <w:rFonts w:eastAsia="Times New Roman" w:cs="Times New Roman"/>
          <w:szCs w:val="24"/>
          <w:lang w:eastAsia="pt-BR" w:bidi="ar-SA"/>
        </w:rPr>
        <w:t>ª</w:t>
      </w:r>
      <w:r w:rsidRPr="00BC73E8">
        <w:rPr>
          <w:rFonts w:eastAsia="Times New Roman" w:cs="Times New Roman"/>
          <w:szCs w:val="24"/>
          <w:lang w:eastAsia="pt-BR" w:bidi="ar-SA"/>
        </w:rPr>
        <w:t xml:space="preserve"> ed. </w:t>
      </w:r>
      <w:r w:rsidRPr="00597A41">
        <w:rPr>
          <w:rFonts w:eastAsia="Times New Roman" w:cs="Times New Roman"/>
          <w:szCs w:val="24"/>
          <w:lang w:eastAsia="pt-BR" w:bidi="ar-SA"/>
        </w:rPr>
        <w:t>São Paulo: Pearson Prentice Hall</w:t>
      </w:r>
      <w:r w:rsidR="00BC73E8">
        <w:rPr>
          <w:rFonts w:eastAsia="Times New Roman" w:cs="Times New Roman"/>
          <w:szCs w:val="24"/>
          <w:lang w:eastAsia="pt-BR" w:bidi="ar-SA"/>
        </w:rPr>
        <w:t>, 2007.</w:t>
      </w:r>
    </w:p>
    <w:p w14:paraId="743FA738" w14:textId="77777777" w:rsidR="009B7C76" w:rsidRDefault="009B7C76" w:rsidP="009B7C76">
      <w:pPr>
        <w:spacing w:before="0" w:after="0" w:line="240" w:lineRule="auto"/>
        <w:jc w:val="left"/>
        <w:rPr>
          <w:rFonts w:cs="Times New Roman"/>
          <w:color w:val="222222"/>
          <w:szCs w:val="24"/>
          <w:shd w:val="clear" w:color="auto" w:fill="FFFFFF"/>
        </w:rPr>
      </w:pPr>
    </w:p>
    <w:p w14:paraId="48FF06C7" w14:textId="77777777" w:rsidR="009B7C76" w:rsidRPr="00597A41" w:rsidRDefault="009B7C76" w:rsidP="009B7C76">
      <w:pPr>
        <w:spacing w:before="0" w:after="0" w:line="240" w:lineRule="auto"/>
        <w:jc w:val="left"/>
        <w:rPr>
          <w:rFonts w:cs="Times New Roman"/>
          <w:color w:val="222222"/>
          <w:szCs w:val="24"/>
          <w:shd w:val="clear" w:color="auto" w:fill="FFFFFF"/>
        </w:rPr>
      </w:pPr>
      <w:r w:rsidRPr="00597A41">
        <w:rPr>
          <w:rFonts w:cs="Times New Roman"/>
          <w:color w:val="222222"/>
          <w:szCs w:val="24"/>
          <w:shd w:val="clear" w:color="auto" w:fill="FFFFFF"/>
        </w:rPr>
        <w:t xml:space="preserve">DEMIRAKOS, E. G.; STRONG, N. C.; WALKER, M. What valuation models do analysts use? </w:t>
      </w:r>
      <w:r w:rsidRPr="00597A41">
        <w:rPr>
          <w:rFonts w:cs="Times New Roman"/>
          <w:b/>
          <w:color w:val="222222"/>
          <w:szCs w:val="24"/>
          <w:shd w:val="clear" w:color="auto" w:fill="FFFFFF"/>
        </w:rPr>
        <w:t>Accounting horizons</w:t>
      </w:r>
      <w:r w:rsidRPr="00597A41">
        <w:rPr>
          <w:rFonts w:cs="Times New Roman"/>
          <w:color w:val="222222"/>
          <w:szCs w:val="24"/>
          <w:shd w:val="clear" w:color="auto" w:fill="FFFFFF"/>
        </w:rPr>
        <w:t>, v. 18, n. 4, p. 221-240, 2004. Doi: https://doi.org/10.2308/acch.2004.18.4.221</w:t>
      </w:r>
    </w:p>
    <w:p w14:paraId="7AB3EECF" w14:textId="77777777" w:rsidR="009B7C76" w:rsidRPr="009B7C76" w:rsidRDefault="009B7C76" w:rsidP="009B7C76">
      <w:pPr>
        <w:spacing w:before="0" w:after="0" w:line="240" w:lineRule="auto"/>
        <w:jc w:val="left"/>
        <w:rPr>
          <w:rFonts w:cs="Times New Roman"/>
          <w:color w:val="222222"/>
          <w:szCs w:val="24"/>
          <w:shd w:val="clear" w:color="auto" w:fill="FFFFFF"/>
        </w:rPr>
      </w:pPr>
    </w:p>
    <w:p w14:paraId="63DD7854" w14:textId="26FC3481" w:rsidR="009B7C76" w:rsidRPr="00597A41" w:rsidRDefault="009B7C76" w:rsidP="009B7C76">
      <w:pPr>
        <w:spacing w:before="0" w:after="0" w:line="240" w:lineRule="auto"/>
        <w:jc w:val="left"/>
        <w:rPr>
          <w:rFonts w:cs="Times New Roman"/>
          <w:color w:val="222222"/>
          <w:szCs w:val="24"/>
          <w:shd w:val="clear" w:color="auto" w:fill="FFFFFF"/>
          <w:lang w:val="pt-BR"/>
        </w:rPr>
      </w:pPr>
      <w:r w:rsidRPr="00597A41">
        <w:rPr>
          <w:rFonts w:cs="Times New Roman"/>
          <w:color w:val="222222"/>
          <w:szCs w:val="24"/>
          <w:shd w:val="clear" w:color="auto" w:fill="FFFFFF"/>
          <w:lang w:val="pt-BR"/>
        </w:rPr>
        <w:t xml:space="preserve">GIL, A. C. </w:t>
      </w:r>
      <w:r w:rsidRPr="00597A41">
        <w:rPr>
          <w:rFonts w:cs="Times New Roman"/>
          <w:b/>
          <w:color w:val="222222"/>
          <w:szCs w:val="24"/>
          <w:shd w:val="clear" w:color="auto" w:fill="FFFFFF"/>
          <w:lang w:val="pt-BR"/>
        </w:rPr>
        <w:t>Métodos e técnicas de pesquisa social</w:t>
      </w:r>
      <w:r w:rsidRPr="00597A41">
        <w:rPr>
          <w:rFonts w:cs="Times New Roman"/>
          <w:color w:val="222222"/>
          <w:szCs w:val="24"/>
          <w:shd w:val="clear" w:color="auto" w:fill="FFFFFF"/>
          <w:lang w:val="pt-BR"/>
        </w:rPr>
        <w:t>. 7</w:t>
      </w:r>
      <w:r w:rsidR="002F1932">
        <w:rPr>
          <w:rFonts w:cs="Times New Roman"/>
          <w:color w:val="222222"/>
          <w:szCs w:val="24"/>
          <w:shd w:val="clear" w:color="auto" w:fill="FFFFFF"/>
          <w:lang w:val="pt-BR"/>
        </w:rPr>
        <w:t>ª</w:t>
      </w:r>
      <w:r w:rsidRPr="00597A41">
        <w:rPr>
          <w:rFonts w:cs="Times New Roman"/>
          <w:color w:val="222222"/>
          <w:szCs w:val="24"/>
          <w:shd w:val="clear" w:color="auto" w:fill="FFFFFF"/>
          <w:lang w:val="pt-BR"/>
        </w:rPr>
        <w:t xml:space="preserve"> ed. </w:t>
      </w:r>
      <w:r w:rsidRPr="00597A41">
        <w:rPr>
          <w:rFonts w:cs="Times New Roman"/>
          <w:iCs/>
          <w:color w:val="222222"/>
          <w:szCs w:val="24"/>
          <w:shd w:val="clear" w:color="auto" w:fill="FFFFFF"/>
          <w:lang w:val="pt-BR"/>
        </w:rPr>
        <w:t>São Paulo: Atlas</w:t>
      </w:r>
      <w:r>
        <w:rPr>
          <w:rFonts w:cs="Times New Roman"/>
          <w:color w:val="222222"/>
          <w:szCs w:val="24"/>
          <w:shd w:val="clear" w:color="auto" w:fill="FFFFFF"/>
          <w:lang w:val="pt-BR"/>
        </w:rPr>
        <w:t>, 2019.</w:t>
      </w:r>
    </w:p>
    <w:p w14:paraId="425E158B" w14:textId="77777777" w:rsidR="009B7C76" w:rsidRPr="009B7C76" w:rsidRDefault="009B7C76" w:rsidP="009B7C76">
      <w:pPr>
        <w:spacing w:before="0" w:after="0" w:line="240" w:lineRule="auto"/>
        <w:jc w:val="left"/>
        <w:rPr>
          <w:rFonts w:cs="Times New Roman"/>
          <w:color w:val="222222"/>
          <w:szCs w:val="24"/>
          <w:shd w:val="clear" w:color="auto" w:fill="FFFFFF"/>
          <w:lang w:val="pt-BR"/>
        </w:rPr>
      </w:pPr>
    </w:p>
    <w:p w14:paraId="2E6D45F8" w14:textId="6F3A880B" w:rsidR="009B7C76" w:rsidRDefault="009B7C76" w:rsidP="009B7C76">
      <w:pPr>
        <w:spacing w:before="0" w:after="0" w:line="240" w:lineRule="auto"/>
        <w:jc w:val="left"/>
        <w:rPr>
          <w:rFonts w:cs="Times New Roman"/>
          <w:color w:val="222222"/>
          <w:szCs w:val="24"/>
          <w:shd w:val="clear" w:color="auto" w:fill="FFFFFF"/>
          <w:lang w:val="pt-BR"/>
        </w:rPr>
      </w:pPr>
      <w:r w:rsidRPr="00597A41">
        <w:rPr>
          <w:rFonts w:cs="Times New Roman"/>
          <w:color w:val="222222"/>
          <w:szCs w:val="24"/>
          <w:shd w:val="clear" w:color="auto" w:fill="FFFFFF"/>
        </w:rPr>
        <w:t xml:space="preserve">KIM, M.; RITTER, J. R. Valuing </w:t>
      </w:r>
      <w:r w:rsidR="002E3775" w:rsidRPr="00597A41">
        <w:rPr>
          <w:rFonts w:cs="Times New Roman"/>
          <w:color w:val="222222"/>
          <w:szCs w:val="24"/>
          <w:shd w:val="clear" w:color="auto" w:fill="FFFFFF"/>
        </w:rPr>
        <w:t>IPO</w:t>
      </w:r>
      <w:r w:rsidR="002E3775">
        <w:rPr>
          <w:rFonts w:cs="Times New Roman"/>
          <w:color w:val="222222"/>
          <w:szCs w:val="24"/>
          <w:shd w:val="clear" w:color="auto" w:fill="FFFFFF"/>
        </w:rPr>
        <w:t>s</w:t>
      </w:r>
      <w:r w:rsidRPr="00597A41">
        <w:rPr>
          <w:rFonts w:cs="Times New Roman"/>
          <w:color w:val="222222"/>
          <w:szCs w:val="24"/>
          <w:shd w:val="clear" w:color="auto" w:fill="FFFFFF"/>
        </w:rPr>
        <w:t>. </w:t>
      </w:r>
      <w:r w:rsidRPr="00597A41">
        <w:rPr>
          <w:rFonts w:cs="Times New Roman"/>
          <w:b/>
          <w:bCs/>
          <w:color w:val="222222"/>
          <w:szCs w:val="24"/>
          <w:shd w:val="clear" w:color="auto" w:fill="FFFFFF"/>
        </w:rPr>
        <w:t>Journal of financial economics</w:t>
      </w:r>
      <w:r w:rsidRPr="00597A41">
        <w:rPr>
          <w:rFonts w:cs="Times New Roman"/>
          <w:color w:val="222222"/>
          <w:szCs w:val="24"/>
          <w:shd w:val="clear" w:color="auto" w:fill="FFFFFF"/>
        </w:rPr>
        <w:t xml:space="preserve">, v. 53, n. 3, p. 409-437, 1999. </w:t>
      </w:r>
      <w:proofErr w:type="spellStart"/>
      <w:r w:rsidRPr="00597A41">
        <w:rPr>
          <w:rFonts w:cs="Times New Roman"/>
          <w:color w:val="222222"/>
          <w:szCs w:val="24"/>
          <w:shd w:val="clear" w:color="auto" w:fill="FFFFFF"/>
          <w:lang w:val="pt-BR"/>
        </w:rPr>
        <w:t>Doi</w:t>
      </w:r>
      <w:proofErr w:type="spellEnd"/>
      <w:r w:rsidRPr="00597A41">
        <w:rPr>
          <w:rFonts w:cs="Times New Roman"/>
          <w:color w:val="222222"/>
          <w:szCs w:val="24"/>
          <w:shd w:val="clear" w:color="auto" w:fill="FFFFFF"/>
          <w:lang w:val="pt-BR"/>
        </w:rPr>
        <w:t xml:space="preserve">: </w:t>
      </w:r>
      <w:r w:rsidRPr="002F1932">
        <w:rPr>
          <w:rFonts w:cs="Times New Roman"/>
          <w:color w:val="222222"/>
          <w:szCs w:val="24"/>
          <w:shd w:val="clear" w:color="auto" w:fill="FFFFFF"/>
          <w:lang w:val="pt-BR"/>
        </w:rPr>
        <w:t>https://doi.org/10.1016/S0304-405X(99)00027-6</w:t>
      </w:r>
    </w:p>
    <w:p w14:paraId="31221815" w14:textId="77777777" w:rsidR="009B7C76" w:rsidRPr="00597A41" w:rsidRDefault="009B7C76" w:rsidP="009B7C76">
      <w:pPr>
        <w:spacing w:before="0" w:after="0" w:line="240" w:lineRule="auto"/>
        <w:jc w:val="left"/>
        <w:rPr>
          <w:rFonts w:cs="Times New Roman"/>
          <w:color w:val="222222"/>
          <w:szCs w:val="24"/>
          <w:shd w:val="clear" w:color="auto" w:fill="FFFFFF"/>
          <w:lang w:val="pt-BR"/>
        </w:rPr>
      </w:pPr>
    </w:p>
    <w:p w14:paraId="0402A111" w14:textId="634C4512" w:rsidR="009B7C76" w:rsidRPr="00597A41" w:rsidRDefault="0070532B" w:rsidP="009B7C76">
      <w:pPr>
        <w:spacing w:before="0" w:after="0" w:line="240" w:lineRule="auto"/>
        <w:jc w:val="left"/>
        <w:rPr>
          <w:rFonts w:eastAsia="Times New Roman" w:cs="Times New Roman"/>
          <w:szCs w:val="24"/>
          <w:lang w:val="pt-BR" w:eastAsia="pt-BR" w:bidi="ar-SA"/>
        </w:rPr>
      </w:pPr>
      <w:r w:rsidRPr="00597A41">
        <w:rPr>
          <w:rFonts w:eastAsia="Times New Roman" w:cs="Times New Roman"/>
          <w:szCs w:val="24"/>
          <w:lang w:val="pt-BR" w:eastAsia="pt-BR" w:bidi="ar-SA"/>
        </w:rPr>
        <w:t>LEMES</w:t>
      </w:r>
      <w:r>
        <w:rPr>
          <w:rFonts w:eastAsia="Times New Roman" w:cs="Times New Roman"/>
          <w:szCs w:val="24"/>
          <w:lang w:val="pt-BR" w:eastAsia="pt-BR" w:bidi="ar-SA"/>
        </w:rPr>
        <w:t xml:space="preserve"> JÚNIOR</w:t>
      </w:r>
      <w:r w:rsidR="009B7C76" w:rsidRPr="00597A41">
        <w:rPr>
          <w:rFonts w:eastAsia="Times New Roman" w:cs="Times New Roman"/>
          <w:szCs w:val="24"/>
          <w:lang w:val="pt-BR" w:eastAsia="pt-BR" w:bidi="ar-SA"/>
        </w:rPr>
        <w:t xml:space="preserve">, A. B., </w:t>
      </w:r>
      <w:r w:rsidRPr="00597A41">
        <w:rPr>
          <w:rFonts w:eastAsia="Times New Roman" w:cs="Times New Roman"/>
          <w:szCs w:val="24"/>
          <w:lang w:val="pt-BR" w:eastAsia="pt-BR" w:bidi="ar-SA"/>
        </w:rPr>
        <w:t>RIGO</w:t>
      </w:r>
      <w:r w:rsidR="009B7C76" w:rsidRPr="00597A41">
        <w:rPr>
          <w:rFonts w:eastAsia="Times New Roman" w:cs="Times New Roman"/>
          <w:szCs w:val="24"/>
          <w:lang w:val="pt-BR" w:eastAsia="pt-BR" w:bidi="ar-SA"/>
        </w:rPr>
        <w:t>, C. M.</w:t>
      </w:r>
      <w:r>
        <w:rPr>
          <w:rFonts w:eastAsia="Times New Roman" w:cs="Times New Roman"/>
          <w:szCs w:val="24"/>
          <w:lang w:val="pt-BR" w:eastAsia="pt-BR" w:bidi="ar-SA"/>
        </w:rPr>
        <w:t>;</w:t>
      </w:r>
      <w:r w:rsidR="009B7C76" w:rsidRPr="00597A41">
        <w:rPr>
          <w:rFonts w:eastAsia="Times New Roman" w:cs="Times New Roman"/>
          <w:szCs w:val="24"/>
          <w:lang w:val="pt-BR" w:eastAsia="pt-BR" w:bidi="ar-SA"/>
        </w:rPr>
        <w:t xml:space="preserve"> </w:t>
      </w:r>
      <w:r w:rsidRPr="00597A41">
        <w:rPr>
          <w:rFonts w:eastAsia="Times New Roman" w:cs="Times New Roman"/>
          <w:szCs w:val="24"/>
          <w:lang w:val="pt-BR" w:eastAsia="pt-BR" w:bidi="ar-SA"/>
        </w:rPr>
        <w:t>CHEROBIM</w:t>
      </w:r>
      <w:r w:rsidR="009B7C76" w:rsidRPr="00597A41">
        <w:rPr>
          <w:rFonts w:eastAsia="Times New Roman" w:cs="Times New Roman"/>
          <w:szCs w:val="24"/>
          <w:lang w:val="pt-BR" w:eastAsia="pt-BR" w:bidi="ar-SA"/>
        </w:rPr>
        <w:t xml:space="preserve">, A. P. M. S. </w:t>
      </w:r>
      <w:r w:rsidR="009B7C76" w:rsidRPr="00597A41">
        <w:rPr>
          <w:rFonts w:eastAsia="Times New Roman" w:cs="Times New Roman"/>
          <w:b/>
          <w:szCs w:val="24"/>
          <w:lang w:val="pt-BR" w:eastAsia="pt-BR" w:bidi="ar-SA"/>
        </w:rPr>
        <w:t>Administração Financeira: Princípios, fundamentos e práticas brasileiras.</w:t>
      </w:r>
      <w:r w:rsidR="009B7C76" w:rsidRPr="00597A41">
        <w:rPr>
          <w:rFonts w:eastAsia="Times New Roman" w:cs="Times New Roman"/>
          <w:szCs w:val="24"/>
          <w:lang w:val="pt-BR" w:eastAsia="pt-BR" w:bidi="ar-SA"/>
        </w:rPr>
        <w:t xml:space="preserve"> 3</w:t>
      </w:r>
      <w:r>
        <w:rPr>
          <w:rFonts w:eastAsia="Times New Roman" w:cs="Times New Roman"/>
          <w:szCs w:val="24"/>
          <w:lang w:val="pt-BR" w:eastAsia="pt-BR" w:bidi="ar-SA"/>
        </w:rPr>
        <w:t>ª</w:t>
      </w:r>
      <w:r w:rsidR="009B7C76" w:rsidRPr="00597A41">
        <w:rPr>
          <w:rFonts w:eastAsia="Times New Roman" w:cs="Times New Roman"/>
          <w:szCs w:val="24"/>
          <w:lang w:val="pt-BR" w:eastAsia="pt-BR" w:bidi="ar-SA"/>
        </w:rPr>
        <w:t xml:space="preserve"> ed. Rio de Janeiro: Elsevier</w:t>
      </w:r>
      <w:r>
        <w:rPr>
          <w:rFonts w:eastAsia="Times New Roman" w:cs="Times New Roman"/>
          <w:szCs w:val="24"/>
          <w:lang w:val="pt-BR" w:eastAsia="pt-BR" w:bidi="ar-SA"/>
        </w:rPr>
        <w:t>, 2010.</w:t>
      </w:r>
    </w:p>
    <w:p w14:paraId="73E9CEEE" w14:textId="77777777" w:rsidR="009B7C76" w:rsidRDefault="009B7C76" w:rsidP="009B7C76">
      <w:pPr>
        <w:autoSpaceDE w:val="0"/>
        <w:autoSpaceDN w:val="0"/>
        <w:adjustRightInd w:val="0"/>
        <w:spacing w:before="0" w:after="0" w:line="240" w:lineRule="auto"/>
        <w:jc w:val="left"/>
        <w:rPr>
          <w:rFonts w:eastAsiaTheme="minorHAnsi" w:cs="Times New Roman"/>
          <w:szCs w:val="24"/>
          <w:lang w:val="pt-BR" w:bidi="ar-SA"/>
        </w:rPr>
      </w:pPr>
    </w:p>
    <w:p w14:paraId="6BB484C8" w14:textId="77777777" w:rsidR="009B7C76" w:rsidRPr="00597A41" w:rsidRDefault="009B7C76" w:rsidP="009B7C76">
      <w:pPr>
        <w:autoSpaceDE w:val="0"/>
        <w:autoSpaceDN w:val="0"/>
        <w:adjustRightInd w:val="0"/>
        <w:spacing w:before="0" w:after="0" w:line="240" w:lineRule="auto"/>
        <w:jc w:val="left"/>
        <w:rPr>
          <w:rFonts w:eastAsiaTheme="minorHAnsi" w:cs="Times New Roman"/>
          <w:szCs w:val="24"/>
          <w:lang w:bidi="ar-SA"/>
        </w:rPr>
      </w:pPr>
      <w:r w:rsidRPr="002E3775">
        <w:rPr>
          <w:rFonts w:eastAsiaTheme="minorHAnsi" w:cs="Times New Roman"/>
          <w:szCs w:val="24"/>
          <w:lang w:val="pt-BR" w:bidi="ar-SA"/>
        </w:rPr>
        <w:t xml:space="preserve">LIE, E.; LIE, H. J. </w:t>
      </w:r>
      <w:proofErr w:type="spellStart"/>
      <w:r w:rsidRPr="002E3775">
        <w:rPr>
          <w:rFonts w:eastAsiaTheme="minorHAnsi" w:cs="Times New Roman"/>
          <w:szCs w:val="24"/>
          <w:lang w:val="pt-BR" w:bidi="ar-SA"/>
        </w:rPr>
        <w:t>Multiples</w:t>
      </w:r>
      <w:proofErr w:type="spellEnd"/>
      <w:r w:rsidRPr="002E3775">
        <w:rPr>
          <w:rFonts w:eastAsiaTheme="minorHAnsi" w:cs="Times New Roman"/>
          <w:szCs w:val="24"/>
          <w:lang w:val="pt-BR" w:bidi="ar-SA"/>
        </w:rPr>
        <w:t xml:space="preserve"> </w:t>
      </w:r>
      <w:proofErr w:type="spellStart"/>
      <w:r w:rsidRPr="002E3775">
        <w:rPr>
          <w:rFonts w:eastAsiaTheme="minorHAnsi" w:cs="Times New Roman"/>
          <w:szCs w:val="24"/>
          <w:lang w:val="pt-BR" w:bidi="ar-SA"/>
        </w:rPr>
        <w:t>used</w:t>
      </w:r>
      <w:proofErr w:type="spellEnd"/>
      <w:r w:rsidRPr="002E3775">
        <w:rPr>
          <w:rFonts w:eastAsiaTheme="minorHAnsi" w:cs="Times New Roman"/>
          <w:szCs w:val="24"/>
          <w:lang w:val="pt-BR" w:bidi="ar-SA"/>
        </w:rPr>
        <w:t xml:space="preserve"> </w:t>
      </w:r>
      <w:proofErr w:type="spellStart"/>
      <w:r w:rsidRPr="002E3775">
        <w:rPr>
          <w:rFonts w:eastAsiaTheme="minorHAnsi" w:cs="Times New Roman"/>
          <w:szCs w:val="24"/>
          <w:lang w:val="pt-BR" w:bidi="ar-SA"/>
        </w:rPr>
        <w:t>to</w:t>
      </w:r>
      <w:proofErr w:type="spellEnd"/>
      <w:r w:rsidRPr="002E3775">
        <w:rPr>
          <w:rFonts w:eastAsiaTheme="minorHAnsi" w:cs="Times New Roman"/>
          <w:szCs w:val="24"/>
          <w:lang w:val="pt-BR" w:bidi="ar-SA"/>
        </w:rPr>
        <w:t xml:space="preserve"> </w:t>
      </w:r>
      <w:proofErr w:type="spellStart"/>
      <w:r w:rsidRPr="002E3775">
        <w:rPr>
          <w:rFonts w:eastAsiaTheme="minorHAnsi" w:cs="Times New Roman"/>
          <w:szCs w:val="24"/>
          <w:lang w:val="pt-BR" w:bidi="ar-SA"/>
        </w:rPr>
        <w:t>estimate</w:t>
      </w:r>
      <w:proofErr w:type="spellEnd"/>
      <w:r w:rsidRPr="002E3775">
        <w:rPr>
          <w:rFonts w:eastAsiaTheme="minorHAnsi" w:cs="Times New Roman"/>
          <w:szCs w:val="24"/>
          <w:lang w:val="pt-BR" w:bidi="ar-SA"/>
        </w:rPr>
        <w:t xml:space="preserve"> </w:t>
      </w:r>
      <w:proofErr w:type="spellStart"/>
      <w:r w:rsidRPr="002E3775">
        <w:rPr>
          <w:rFonts w:eastAsiaTheme="minorHAnsi" w:cs="Times New Roman"/>
          <w:szCs w:val="24"/>
          <w:lang w:val="pt-BR" w:bidi="ar-SA"/>
        </w:rPr>
        <w:t>corporate</w:t>
      </w:r>
      <w:proofErr w:type="spellEnd"/>
      <w:r w:rsidRPr="002E3775">
        <w:rPr>
          <w:rFonts w:eastAsiaTheme="minorHAnsi" w:cs="Times New Roman"/>
          <w:szCs w:val="24"/>
          <w:lang w:val="pt-BR" w:bidi="ar-SA"/>
        </w:rPr>
        <w:t xml:space="preserve"> </w:t>
      </w:r>
      <w:proofErr w:type="spellStart"/>
      <w:r w:rsidRPr="002E3775">
        <w:rPr>
          <w:rFonts w:eastAsiaTheme="minorHAnsi" w:cs="Times New Roman"/>
          <w:szCs w:val="24"/>
          <w:lang w:val="pt-BR" w:bidi="ar-SA"/>
        </w:rPr>
        <w:t>value</w:t>
      </w:r>
      <w:proofErr w:type="spellEnd"/>
      <w:r w:rsidRPr="002E3775">
        <w:rPr>
          <w:rFonts w:eastAsiaTheme="minorHAnsi" w:cs="Times New Roman"/>
          <w:szCs w:val="24"/>
          <w:lang w:val="pt-BR" w:bidi="ar-SA"/>
        </w:rPr>
        <w:t xml:space="preserve">. </w:t>
      </w:r>
      <w:r w:rsidRPr="002E3775">
        <w:rPr>
          <w:rFonts w:eastAsiaTheme="minorHAnsi" w:cs="Times New Roman"/>
          <w:b/>
          <w:szCs w:val="24"/>
          <w:lang w:val="pt-BR" w:bidi="ar-SA"/>
        </w:rPr>
        <w:t xml:space="preserve">Financial </w:t>
      </w:r>
      <w:proofErr w:type="spellStart"/>
      <w:r w:rsidRPr="002E3775">
        <w:rPr>
          <w:rFonts w:eastAsiaTheme="minorHAnsi" w:cs="Times New Roman"/>
          <w:b/>
          <w:szCs w:val="24"/>
          <w:lang w:val="pt-BR" w:bidi="ar-SA"/>
        </w:rPr>
        <w:t>Analysts</w:t>
      </w:r>
      <w:proofErr w:type="spellEnd"/>
      <w:r w:rsidRPr="00597A41">
        <w:rPr>
          <w:rFonts w:eastAsiaTheme="minorHAnsi" w:cs="Times New Roman"/>
          <w:b/>
          <w:szCs w:val="24"/>
          <w:lang w:val="pt-BR" w:bidi="ar-SA"/>
        </w:rPr>
        <w:t xml:space="preserve"> </w:t>
      </w:r>
      <w:proofErr w:type="spellStart"/>
      <w:r w:rsidRPr="00597A41">
        <w:rPr>
          <w:rFonts w:eastAsiaTheme="minorHAnsi" w:cs="Times New Roman"/>
          <w:b/>
          <w:szCs w:val="24"/>
          <w:lang w:val="pt-BR" w:bidi="ar-SA"/>
        </w:rPr>
        <w:t>Journal</w:t>
      </w:r>
      <w:proofErr w:type="spellEnd"/>
      <w:r w:rsidRPr="00597A41">
        <w:rPr>
          <w:rFonts w:eastAsiaTheme="minorHAnsi" w:cs="Times New Roman"/>
          <w:szCs w:val="24"/>
          <w:lang w:val="pt-BR" w:bidi="ar-SA"/>
        </w:rPr>
        <w:t xml:space="preserve">, v. 58, n. 2, p. 44-54, 2002. </w:t>
      </w:r>
      <w:r w:rsidRPr="00597A41">
        <w:rPr>
          <w:rFonts w:eastAsiaTheme="minorHAnsi" w:cs="Times New Roman"/>
          <w:szCs w:val="24"/>
          <w:lang w:bidi="ar-SA"/>
        </w:rPr>
        <w:t>Doi: https://doi.org/10.2469/faj.v58.n2.2522</w:t>
      </w:r>
    </w:p>
    <w:p w14:paraId="0756E478" w14:textId="77777777" w:rsidR="009B7C76" w:rsidRDefault="009B7C76" w:rsidP="009B7C76">
      <w:pPr>
        <w:spacing w:before="0" w:after="0" w:line="240" w:lineRule="auto"/>
        <w:jc w:val="left"/>
        <w:rPr>
          <w:rFonts w:eastAsiaTheme="minorHAnsi" w:cs="Times New Roman"/>
          <w:szCs w:val="24"/>
          <w:lang w:bidi="ar-SA"/>
        </w:rPr>
      </w:pPr>
    </w:p>
    <w:p w14:paraId="2B879428" w14:textId="77777777" w:rsidR="009B7C76" w:rsidRPr="00597A41" w:rsidRDefault="009B7C76" w:rsidP="009B7C76">
      <w:pPr>
        <w:spacing w:before="0" w:after="0" w:line="240" w:lineRule="auto"/>
        <w:jc w:val="left"/>
        <w:rPr>
          <w:rFonts w:eastAsiaTheme="minorHAnsi" w:cs="Times New Roman"/>
          <w:szCs w:val="24"/>
          <w:lang w:bidi="ar-SA"/>
        </w:rPr>
      </w:pPr>
      <w:r w:rsidRPr="00597A41">
        <w:rPr>
          <w:rFonts w:eastAsiaTheme="minorHAnsi" w:cs="Times New Roman"/>
          <w:szCs w:val="24"/>
          <w:lang w:bidi="ar-SA"/>
        </w:rPr>
        <w:t xml:space="preserve">LIU, J.; NISSIM, D.; THOMAS, J. Equity valuation using multiples. </w:t>
      </w:r>
      <w:r w:rsidRPr="00597A41">
        <w:rPr>
          <w:rFonts w:eastAsiaTheme="minorHAnsi" w:cs="Times New Roman"/>
          <w:b/>
          <w:szCs w:val="24"/>
          <w:lang w:bidi="ar-SA"/>
        </w:rPr>
        <w:t>Journal of Accounting Research</w:t>
      </w:r>
      <w:r w:rsidRPr="00597A41">
        <w:rPr>
          <w:rFonts w:eastAsiaTheme="minorHAnsi" w:cs="Times New Roman"/>
          <w:szCs w:val="24"/>
          <w:lang w:bidi="ar-SA"/>
        </w:rPr>
        <w:t>, v. 40, n. 1, p. 135-172, 2002. Doi: https://doi.org/10.1111/1475-679X.00042</w:t>
      </w:r>
    </w:p>
    <w:p w14:paraId="0B4B7DBA" w14:textId="77777777" w:rsidR="009B7C76" w:rsidRPr="009B7C76" w:rsidRDefault="009B7C76" w:rsidP="009B7C76">
      <w:pPr>
        <w:pStyle w:val="SemEspaamento"/>
        <w:ind w:firstLine="0"/>
        <w:jc w:val="left"/>
        <w:rPr>
          <w:rFonts w:eastAsia="Times New Roman" w:cs="Times New Roman"/>
          <w:szCs w:val="24"/>
          <w:lang w:eastAsia="pt-BR" w:bidi="ar-SA"/>
        </w:rPr>
      </w:pPr>
    </w:p>
    <w:p w14:paraId="6A230F13" w14:textId="77777777" w:rsidR="009B7C76" w:rsidRDefault="009B7C76" w:rsidP="009B7C76">
      <w:pPr>
        <w:pStyle w:val="SemEspaamento"/>
        <w:ind w:firstLine="0"/>
        <w:jc w:val="left"/>
        <w:rPr>
          <w:rFonts w:eastAsia="Times New Roman" w:cs="Times New Roman"/>
          <w:b/>
          <w:szCs w:val="24"/>
          <w:lang w:val="pt-BR" w:eastAsia="pt-BR" w:bidi="ar-SA"/>
        </w:rPr>
      </w:pPr>
      <w:r w:rsidRPr="00597A41">
        <w:rPr>
          <w:rFonts w:eastAsia="Times New Roman" w:cs="Times New Roman"/>
          <w:szCs w:val="24"/>
          <w:lang w:val="pt-BR" w:eastAsia="pt-BR" w:bidi="ar-SA"/>
        </w:rPr>
        <w:t>MARTINEZ, A. L. Buscando o valor intrínseco de uma empresa: revisão das metodologias para avaliação dos negócios.</w:t>
      </w:r>
      <w:r w:rsidRPr="00597A41">
        <w:rPr>
          <w:rFonts w:eastAsia="Times New Roman" w:cs="Times New Roman"/>
          <w:b/>
          <w:szCs w:val="24"/>
          <w:lang w:val="pt-BR" w:eastAsia="pt-BR" w:bidi="ar-SA"/>
        </w:rPr>
        <w:t xml:space="preserve"> Associação Nacional de </w:t>
      </w:r>
      <w:proofErr w:type="gramStart"/>
      <w:r w:rsidRPr="00597A41">
        <w:rPr>
          <w:rFonts w:eastAsia="Times New Roman" w:cs="Times New Roman"/>
          <w:b/>
          <w:szCs w:val="24"/>
          <w:lang w:val="pt-BR" w:eastAsia="pt-BR" w:bidi="ar-SA"/>
        </w:rPr>
        <w:t>Pós Graduação</w:t>
      </w:r>
      <w:proofErr w:type="gramEnd"/>
      <w:r w:rsidRPr="00597A41">
        <w:rPr>
          <w:rFonts w:eastAsia="Times New Roman" w:cs="Times New Roman"/>
          <w:b/>
          <w:szCs w:val="24"/>
          <w:lang w:val="pt-BR" w:eastAsia="pt-BR" w:bidi="ar-SA"/>
        </w:rPr>
        <w:t xml:space="preserve"> </w:t>
      </w:r>
    </w:p>
    <w:p w14:paraId="5E06492E" w14:textId="691A888B" w:rsidR="009B7C76" w:rsidRPr="00597A41" w:rsidRDefault="009B7C76" w:rsidP="009B7C76">
      <w:pPr>
        <w:pStyle w:val="SemEspaamento"/>
        <w:ind w:firstLine="0"/>
        <w:jc w:val="left"/>
        <w:rPr>
          <w:rFonts w:eastAsia="Times New Roman" w:cs="Times New Roman"/>
          <w:szCs w:val="24"/>
          <w:lang w:val="pt-BR" w:eastAsia="pt-BR" w:bidi="ar-SA"/>
        </w:rPr>
      </w:pPr>
      <w:r w:rsidRPr="00597A41">
        <w:rPr>
          <w:rFonts w:eastAsia="Times New Roman" w:cs="Times New Roman"/>
          <w:b/>
          <w:szCs w:val="24"/>
          <w:lang w:val="pt-BR" w:eastAsia="pt-BR" w:bidi="ar-SA"/>
        </w:rPr>
        <w:t>em Administração</w:t>
      </w:r>
      <w:r w:rsidRPr="00597A41">
        <w:rPr>
          <w:rFonts w:eastAsia="Times New Roman" w:cs="Times New Roman"/>
          <w:szCs w:val="24"/>
          <w:lang w:val="pt-BR" w:eastAsia="pt-BR" w:bidi="ar-SA"/>
        </w:rPr>
        <w:t xml:space="preserve">, v. 23, </w:t>
      </w:r>
      <w:r w:rsidR="003F3C77">
        <w:rPr>
          <w:rFonts w:eastAsia="Times New Roman" w:cs="Times New Roman"/>
          <w:szCs w:val="24"/>
          <w:lang w:val="pt-BR" w:eastAsia="pt-BR" w:bidi="ar-SA"/>
        </w:rPr>
        <w:t xml:space="preserve">p. 1-15, </w:t>
      </w:r>
      <w:r w:rsidRPr="00597A41">
        <w:rPr>
          <w:rFonts w:eastAsia="Times New Roman" w:cs="Times New Roman"/>
          <w:szCs w:val="24"/>
          <w:lang w:val="pt-BR" w:eastAsia="pt-BR" w:bidi="ar-SA"/>
        </w:rPr>
        <w:t>1999.</w:t>
      </w:r>
    </w:p>
    <w:p w14:paraId="32325E86" w14:textId="77777777" w:rsidR="009B7C76" w:rsidRDefault="009B7C76" w:rsidP="009B7C76">
      <w:pPr>
        <w:pStyle w:val="SemEspaamento"/>
        <w:ind w:firstLine="0"/>
        <w:jc w:val="left"/>
        <w:rPr>
          <w:rFonts w:eastAsia="Times New Roman"/>
          <w:lang w:val="pt-BR" w:eastAsia="pt-BR" w:bidi="ar-SA"/>
        </w:rPr>
      </w:pPr>
    </w:p>
    <w:p w14:paraId="51611B56" w14:textId="6A05A281" w:rsidR="009B7C76" w:rsidRPr="007E446E" w:rsidRDefault="009B7C76" w:rsidP="009B7C76">
      <w:pPr>
        <w:pStyle w:val="SemEspaamento"/>
        <w:ind w:firstLine="0"/>
        <w:jc w:val="left"/>
        <w:rPr>
          <w:rFonts w:eastAsia="Times New Roman"/>
          <w:lang w:eastAsia="pt-BR" w:bidi="ar-SA"/>
        </w:rPr>
      </w:pPr>
      <w:r w:rsidRPr="009B7C76">
        <w:rPr>
          <w:rFonts w:eastAsia="Times New Roman"/>
          <w:lang w:val="pt-BR" w:eastAsia="pt-BR" w:bidi="ar-SA"/>
        </w:rPr>
        <w:t xml:space="preserve">MARTINS, G. A.; THEÓPHILO, C. N. </w:t>
      </w:r>
      <w:r w:rsidRPr="00597A41">
        <w:rPr>
          <w:rFonts w:eastAsia="Times New Roman"/>
          <w:b/>
          <w:lang w:val="pt-BR" w:eastAsia="pt-BR" w:bidi="ar-SA"/>
        </w:rPr>
        <w:t>Metodologia da investigação científica para ciências sociais aplicadas.</w:t>
      </w:r>
      <w:r w:rsidRPr="00597A41">
        <w:rPr>
          <w:rFonts w:eastAsia="Times New Roman"/>
          <w:lang w:val="pt-BR" w:eastAsia="pt-BR" w:bidi="ar-SA"/>
        </w:rPr>
        <w:t xml:space="preserve"> </w:t>
      </w:r>
      <w:r w:rsidRPr="007E446E">
        <w:rPr>
          <w:rFonts w:eastAsia="Times New Roman"/>
          <w:lang w:eastAsia="pt-BR" w:bidi="ar-SA"/>
        </w:rPr>
        <w:t>2</w:t>
      </w:r>
      <w:r w:rsidR="003F3C77" w:rsidRPr="007E446E">
        <w:rPr>
          <w:rFonts w:eastAsia="Times New Roman"/>
          <w:lang w:eastAsia="pt-BR" w:bidi="ar-SA"/>
        </w:rPr>
        <w:t>ª</w:t>
      </w:r>
      <w:r w:rsidRPr="007E446E">
        <w:rPr>
          <w:rFonts w:eastAsia="Times New Roman"/>
          <w:lang w:eastAsia="pt-BR" w:bidi="ar-SA"/>
        </w:rPr>
        <w:t xml:space="preserve"> ed. São Paulo: Atlas</w:t>
      </w:r>
      <w:r w:rsidR="003F3C77" w:rsidRPr="007E446E">
        <w:rPr>
          <w:rFonts w:eastAsia="Times New Roman"/>
          <w:lang w:eastAsia="pt-BR" w:bidi="ar-SA"/>
        </w:rPr>
        <w:t>, 2009</w:t>
      </w:r>
      <w:r w:rsidRPr="007E446E">
        <w:rPr>
          <w:rFonts w:eastAsia="Times New Roman"/>
          <w:lang w:eastAsia="pt-BR" w:bidi="ar-SA"/>
        </w:rPr>
        <w:t>.</w:t>
      </w:r>
    </w:p>
    <w:p w14:paraId="15629839" w14:textId="77777777" w:rsidR="009B7C76" w:rsidRPr="007E446E" w:rsidRDefault="009B7C76" w:rsidP="009B7C76">
      <w:pPr>
        <w:spacing w:before="0" w:after="0" w:line="240" w:lineRule="auto"/>
        <w:jc w:val="left"/>
        <w:rPr>
          <w:rFonts w:cs="Times New Roman"/>
          <w:color w:val="222222"/>
          <w:szCs w:val="24"/>
          <w:shd w:val="clear" w:color="auto" w:fill="FFFFFF"/>
        </w:rPr>
      </w:pPr>
    </w:p>
    <w:p w14:paraId="02767E5B" w14:textId="09782C5E" w:rsidR="009B7C76" w:rsidRPr="007E446E" w:rsidRDefault="009B7C76" w:rsidP="009B7C76">
      <w:pPr>
        <w:spacing w:before="0" w:after="0" w:line="240" w:lineRule="auto"/>
        <w:jc w:val="left"/>
        <w:rPr>
          <w:rFonts w:cs="Times New Roman"/>
          <w:color w:val="222222"/>
          <w:szCs w:val="24"/>
          <w:shd w:val="clear" w:color="auto" w:fill="FFFFFF"/>
        </w:rPr>
      </w:pPr>
      <w:r w:rsidRPr="00597A41">
        <w:rPr>
          <w:rFonts w:cs="Times New Roman"/>
          <w:color w:val="222222"/>
          <w:szCs w:val="24"/>
          <w:shd w:val="clear" w:color="auto" w:fill="FFFFFF"/>
        </w:rPr>
        <w:t xml:space="preserve">PAZARZI, G. Comparison of the Residual Income and the Pricing–Multiples Equity Valuation Models. </w:t>
      </w:r>
      <w:r w:rsidRPr="00597A41">
        <w:rPr>
          <w:rFonts w:cs="Times New Roman"/>
          <w:b/>
          <w:color w:val="222222"/>
          <w:szCs w:val="24"/>
          <w:shd w:val="clear" w:color="auto" w:fill="FFFFFF"/>
        </w:rPr>
        <w:t>International Journal of Economics &amp; Business Administration (IJEBA)</w:t>
      </w:r>
      <w:r w:rsidRPr="00597A41">
        <w:rPr>
          <w:rFonts w:cs="Times New Roman"/>
          <w:color w:val="222222"/>
          <w:szCs w:val="24"/>
          <w:shd w:val="clear" w:color="auto" w:fill="FFFFFF"/>
        </w:rPr>
        <w:t>, v. 2, n. 3, p. 88-114, 2014.</w:t>
      </w:r>
    </w:p>
    <w:p w14:paraId="16DA0CA7" w14:textId="77777777" w:rsidR="009B7C76" w:rsidRPr="007E446E" w:rsidRDefault="009B7C76" w:rsidP="009B7C76">
      <w:pPr>
        <w:spacing w:before="0" w:after="0" w:line="240" w:lineRule="auto"/>
        <w:jc w:val="left"/>
        <w:rPr>
          <w:rFonts w:eastAsia="Times New Roman" w:cs="Times New Roman"/>
          <w:szCs w:val="24"/>
          <w:lang w:eastAsia="pt-BR" w:bidi="ar-SA"/>
        </w:rPr>
      </w:pPr>
    </w:p>
    <w:p w14:paraId="462420DC" w14:textId="7052683E" w:rsidR="009B7C76" w:rsidRPr="009B7C76" w:rsidRDefault="009B7C76" w:rsidP="009B7C76">
      <w:pPr>
        <w:spacing w:before="0" w:after="0" w:line="240" w:lineRule="auto"/>
        <w:jc w:val="left"/>
        <w:rPr>
          <w:rFonts w:eastAsia="Times New Roman" w:cs="Times New Roman"/>
          <w:szCs w:val="24"/>
          <w:lang w:eastAsia="pt-BR" w:bidi="ar-SA"/>
        </w:rPr>
      </w:pPr>
      <w:r w:rsidRPr="00597A41">
        <w:rPr>
          <w:rFonts w:eastAsia="Times New Roman" w:cs="Times New Roman"/>
          <w:szCs w:val="24"/>
          <w:lang w:val="pt-BR" w:eastAsia="pt-BR" w:bidi="ar-SA"/>
        </w:rPr>
        <w:t xml:space="preserve">PENMAN, S. </w:t>
      </w:r>
      <w:r w:rsidRPr="00597A41">
        <w:rPr>
          <w:rFonts w:eastAsia="Times New Roman" w:cs="Times New Roman"/>
          <w:b/>
          <w:szCs w:val="24"/>
          <w:lang w:val="pt-BR" w:eastAsia="pt-BR" w:bidi="ar-SA"/>
        </w:rPr>
        <w:t xml:space="preserve">Análise de demonstrações financeiras e </w:t>
      </w:r>
      <w:proofErr w:type="spellStart"/>
      <w:r w:rsidRPr="00597A41">
        <w:rPr>
          <w:rFonts w:eastAsia="Times New Roman" w:cs="Times New Roman"/>
          <w:b/>
          <w:szCs w:val="24"/>
          <w:lang w:val="pt-BR" w:eastAsia="pt-BR" w:bidi="ar-SA"/>
        </w:rPr>
        <w:t>security</w:t>
      </w:r>
      <w:proofErr w:type="spellEnd"/>
      <w:r w:rsidRPr="00597A41">
        <w:rPr>
          <w:rFonts w:eastAsia="Times New Roman" w:cs="Times New Roman"/>
          <w:b/>
          <w:szCs w:val="24"/>
          <w:lang w:val="pt-BR" w:eastAsia="pt-BR" w:bidi="ar-SA"/>
        </w:rPr>
        <w:t xml:space="preserve"> </w:t>
      </w:r>
      <w:proofErr w:type="spellStart"/>
      <w:r w:rsidRPr="00597A41">
        <w:rPr>
          <w:rFonts w:eastAsia="Times New Roman" w:cs="Times New Roman"/>
          <w:b/>
          <w:szCs w:val="24"/>
          <w:lang w:val="pt-BR" w:eastAsia="pt-BR" w:bidi="ar-SA"/>
        </w:rPr>
        <w:t>valuation</w:t>
      </w:r>
      <w:proofErr w:type="spellEnd"/>
      <w:r w:rsidRPr="00597A41">
        <w:rPr>
          <w:rFonts w:eastAsia="Times New Roman" w:cs="Times New Roman"/>
          <w:szCs w:val="24"/>
          <w:lang w:val="pt-BR" w:eastAsia="pt-BR" w:bidi="ar-SA"/>
        </w:rPr>
        <w:t xml:space="preserve">. </w:t>
      </w:r>
      <w:r w:rsidR="003F3C77" w:rsidRPr="007E446E">
        <w:rPr>
          <w:rFonts w:eastAsia="Times New Roman" w:cs="Times New Roman"/>
          <w:szCs w:val="24"/>
          <w:lang w:eastAsia="pt-BR" w:bidi="ar-SA"/>
        </w:rPr>
        <w:t xml:space="preserve">1ª ed. </w:t>
      </w:r>
      <w:r w:rsidRPr="009B7C76">
        <w:rPr>
          <w:rFonts w:eastAsia="Times New Roman" w:cs="Times New Roman"/>
          <w:szCs w:val="24"/>
          <w:lang w:eastAsia="pt-BR" w:bidi="ar-SA"/>
        </w:rPr>
        <w:t xml:space="preserve">Rio de Janeiro: Elsevier, 2013. </w:t>
      </w:r>
    </w:p>
    <w:p w14:paraId="730D7F9F" w14:textId="77777777" w:rsidR="009B7C76" w:rsidRDefault="009B7C76" w:rsidP="009B7C76">
      <w:pPr>
        <w:spacing w:before="0" w:after="0" w:line="240" w:lineRule="auto"/>
        <w:jc w:val="left"/>
        <w:rPr>
          <w:rFonts w:cs="Times New Roman"/>
          <w:color w:val="222222"/>
          <w:szCs w:val="24"/>
          <w:shd w:val="clear" w:color="auto" w:fill="FFFFFF"/>
        </w:rPr>
      </w:pPr>
    </w:p>
    <w:p w14:paraId="67E5DF96" w14:textId="77777777" w:rsidR="009B7C76" w:rsidRPr="007E446E" w:rsidRDefault="009B7C76" w:rsidP="009B7C76">
      <w:pPr>
        <w:spacing w:before="0" w:after="0" w:line="240" w:lineRule="auto"/>
        <w:jc w:val="left"/>
        <w:rPr>
          <w:rFonts w:cs="Times New Roman"/>
          <w:color w:val="222222"/>
          <w:szCs w:val="24"/>
          <w:shd w:val="clear" w:color="auto" w:fill="FFFFFF"/>
        </w:rPr>
      </w:pPr>
      <w:r w:rsidRPr="00597A41">
        <w:rPr>
          <w:rFonts w:cs="Times New Roman"/>
          <w:color w:val="222222"/>
          <w:szCs w:val="24"/>
          <w:shd w:val="clear" w:color="auto" w:fill="FFFFFF"/>
        </w:rPr>
        <w:t xml:space="preserve">PURNANANDAM, A. K.; SWAMINATHAN, B. Are IPOs really underpriced? </w:t>
      </w:r>
      <w:r w:rsidRPr="00597A41">
        <w:rPr>
          <w:rFonts w:cs="Times New Roman"/>
          <w:b/>
          <w:color w:val="222222"/>
          <w:szCs w:val="24"/>
          <w:shd w:val="clear" w:color="auto" w:fill="FFFFFF"/>
        </w:rPr>
        <w:t>The Review of Financial Studies</w:t>
      </w:r>
      <w:r w:rsidRPr="00597A41">
        <w:rPr>
          <w:rFonts w:cs="Times New Roman"/>
          <w:color w:val="222222"/>
          <w:szCs w:val="24"/>
          <w:shd w:val="clear" w:color="auto" w:fill="FFFFFF"/>
        </w:rPr>
        <w:t xml:space="preserve">, v. 17, n. 3, p. 811-848, 2004. </w:t>
      </w:r>
      <w:r w:rsidRPr="007E446E">
        <w:rPr>
          <w:rFonts w:cs="Times New Roman"/>
          <w:color w:val="222222"/>
          <w:szCs w:val="24"/>
          <w:shd w:val="clear" w:color="auto" w:fill="FFFFFF"/>
        </w:rPr>
        <w:t>Doi: https://doi.org/10.1093/rfs/hhg055</w:t>
      </w:r>
    </w:p>
    <w:p w14:paraId="78BF5BD3" w14:textId="77777777" w:rsidR="009B7C76" w:rsidRPr="007E446E" w:rsidRDefault="009B7C76" w:rsidP="009B7C76">
      <w:pPr>
        <w:spacing w:before="0" w:after="0" w:line="240" w:lineRule="auto"/>
        <w:jc w:val="left"/>
        <w:rPr>
          <w:rFonts w:eastAsia="Times New Roman" w:cs="Times New Roman"/>
          <w:szCs w:val="24"/>
          <w:lang w:eastAsia="pt-BR" w:bidi="ar-SA"/>
        </w:rPr>
      </w:pPr>
    </w:p>
    <w:p w14:paraId="6032A1CA" w14:textId="79317A6C" w:rsidR="009B7C76" w:rsidRPr="005618FE" w:rsidRDefault="009B7C76" w:rsidP="009B7C76">
      <w:pPr>
        <w:spacing w:before="0" w:after="0" w:line="240" w:lineRule="auto"/>
        <w:jc w:val="left"/>
        <w:rPr>
          <w:rFonts w:eastAsia="Times New Roman" w:cs="Times New Roman"/>
          <w:szCs w:val="24"/>
          <w:lang w:val="pt-BR" w:eastAsia="pt-BR" w:bidi="ar-SA"/>
        </w:rPr>
      </w:pPr>
      <w:r w:rsidRPr="00597A41">
        <w:rPr>
          <w:rFonts w:eastAsia="Times New Roman" w:cs="Times New Roman"/>
          <w:szCs w:val="24"/>
          <w:lang w:val="pt-BR" w:eastAsia="pt-BR" w:bidi="ar-SA"/>
        </w:rPr>
        <w:t xml:space="preserve">SALIBA, R. V. Aplicação de modelos de avaliação por múltiplos no Brasil. </w:t>
      </w:r>
      <w:r w:rsidRPr="00597A41">
        <w:rPr>
          <w:rFonts w:eastAsia="Times New Roman" w:cs="Times New Roman"/>
          <w:b/>
          <w:szCs w:val="24"/>
          <w:lang w:val="pt-BR" w:eastAsia="pt-BR" w:bidi="ar-SA"/>
        </w:rPr>
        <w:t>Revista Brasileira de Finanças</w:t>
      </w:r>
      <w:r w:rsidRPr="00597A41">
        <w:rPr>
          <w:rFonts w:eastAsia="Times New Roman" w:cs="Times New Roman"/>
          <w:szCs w:val="24"/>
          <w:lang w:val="pt-BR" w:eastAsia="pt-BR" w:bidi="ar-SA"/>
        </w:rPr>
        <w:t>, v. 6, n.</w:t>
      </w:r>
      <w:r w:rsidRPr="00597A41">
        <w:rPr>
          <w:rFonts w:eastAsia="Times New Roman" w:cs="Times New Roman"/>
          <w:i/>
          <w:szCs w:val="24"/>
          <w:lang w:val="pt-BR" w:eastAsia="pt-BR" w:bidi="ar-SA"/>
        </w:rPr>
        <w:t xml:space="preserve"> </w:t>
      </w:r>
      <w:r w:rsidRPr="00597A41">
        <w:rPr>
          <w:rFonts w:eastAsia="Times New Roman" w:cs="Times New Roman"/>
          <w:szCs w:val="24"/>
          <w:lang w:val="pt-BR" w:eastAsia="pt-BR" w:bidi="ar-SA"/>
        </w:rPr>
        <w:t>1, p. 13-47, 2008.</w:t>
      </w:r>
    </w:p>
    <w:p w14:paraId="1175B134" w14:textId="77777777" w:rsidR="009B7C76" w:rsidRPr="005618FE" w:rsidRDefault="009B7C76" w:rsidP="009B7C76">
      <w:pPr>
        <w:spacing w:before="0" w:after="0" w:line="240" w:lineRule="auto"/>
        <w:jc w:val="left"/>
        <w:rPr>
          <w:rFonts w:cs="Times New Roman"/>
          <w:color w:val="222222"/>
          <w:szCs w:val="24"/>
          <w:shd w:val="clear" w:color="auto" w:fill="FFFFFF"/>
          <w:lang w:val="pt-BR"/>
        </w:rPr>
      </w:pPr>
    </w:p>
    <w:p w14:paraId="6B1BE42A" w14:textId="1264E72C" w:rsidR="009B7C76" w:rsidRPr="003F3C77" w:rsidRDefault="009B7C76" w:rsidP="009B7C76">
      <w:pPr>
        <w:spacing w:before="0" w:after="0" w:line="240" w:lineRule="auto"/>
        <w:jc w:val="left"/>
        <w:rPr>
          <w:rFonts w:cs="Times New Roman"/>
          <w:color w:val="222222"/>
          <w:szCs w:val="24"/>
          <w:shd w:val="clear" w:color="auto" w:fill="FFFFFF"/>
          <w:lang w:val="pt-BR"/>
        </w:rPr>
      </w:pPr>
      <w:r w:rsidRPr="007E446E">
        <w:rPr>
          <w:rFonts w:cs="Times New Roman"/>
          <w:color w:val="222222"/>
          <w:szCs w:val="24"/>
          <w:shd w:val="clear" w:color="auto" w:fill="FFFFFF"/>
          <w:lang w:val="pt-BR"/>
        </w:rPr>
        <w:t xml:space="preserve">SEHGAL, S.; PANDEY, A. </w:t>
      </w:r>
      <w:proofErr w:type="spellStart"/>
      <w:r w:rsidRPr="007E446E">
        <w:rPr>
          <w:rFonts w:cs="Times New Roman"/>
          <w:color w:val="222222"/>
          <w:szCs w:val="24"/>
          <w:shd w:val="clear" w:color="auto" w:fill="FFFFFF"/>
          <w:lang w:val="pt-BR"/>
        </w:rPr>
        <w:t>Equity</w:t>
      </w:r>
      <w:proofErr w:type="spellEnd"/>
      <w:r w:rsidRPr="007E446E">
        <w:rPr>
          <w:rFonts w:cs="Times New Roman"/>
          <w:color w:val="222222"/>
          <w:szCs w:val="24"/>
          <w:shd w:val="clear" w:color="auto" w:fill="FFFFFF"/>
          <w:lang w:val="pt-BR"/>
        </w:rPr>
        <w:t xml:space="preserve"> </w:t>
      </w:r>
      <w:proofErr w:type="spellStart"/>
      <w:r w:rsidRPr="007E446E">
        <w:rPr>
          <w:rFonts w:cs="Times New Roman"/>
          <w:color w:val="222222"/>
          <w:szCs w:val="24"/>
          <w:shd w:val="clear" w:color="auto" w:fill="FFFFFF"/>
          <w:lang w:val="pt-BR"/>
        </w:rPr>
        <w:t>valuation</w:t>
      </w:r>
      <w:proofErr w:type="spellEnd"/>
      <w:r w:rsidRPr="007E446E">
        <w:rPr>
          <w:rFonts w:cs="Times New Roman"/>
          <w:color w:val="222222"/>
          <w:szCs w:val="24"/>
          <w:shd w:val="clear" w:color="auto" w:fill="FFFFFF"/>
          <w:lang w:val="pt-BR"/>
        </w:rPr>
        <w:t xml:space="preserve"> </w:t>
      </w:r>
      <w:proofErr w:type="spellStart"/>
      <w:r w:rsidRPr="007E446E">
        <w:rPr>
          <w:rFonts w:cs="Times New Roman"/>
          <w:color w:val="222222"/>
          <w:szCs w:val="24"/>
          <w:shd w:val="clear" w:color="auto" w:fill="FFFFFF"/>
          <w:lang w:val="pt-BR"/>
        </w:rPr>
        <w:t>using</w:t>
      </w:r>
      <w:proofErr w:type="spellEnd"/>
      <w:r w:rsidRPr="007E446E">
        <w:rPr>
          <w:rFonts w:cs="Times New Roman"/>
          <w:color w:val="222222"/>
          <w:szCs w:val="24"/>
          <w:shd w:val="clear" w:color="auto" w:fill="FFFFFF"/>
          <w:lang w:val="pt-BR"/>
        </w:rPr>
        <w:t xml:space="preserve"> </w:t>
      </w:r>
      <w:proofErr w:type="spellStart"/>
      <w:r w:rsidRPr="007E446E">
        <w:rPr>
          <w:rFonts w:cs="Times New Roman"/>
          <w:color w:val="222222"/>
          <w:szCs w:val="24"/>
          <w:shd w:val="clear" w:color="auto" w:fill="FFFFFF"/>
          <w:lang w:val="pt-BR"/>
        </w:rPr>
        <w:t>price</w:t>
      </w:r>
      <w:proofErr w:type="spellEnd"/>
      <w:r w:rsidRPr="007E446E">
        <w:rPr>
          <w:rFonts w:cs="Times New Roman"/>
          <w:color w:val="222222"/>
          <w:szCs w:val="24"/>
          <w:shd w:val="clear" w:color="auto" w:fill="FFFFFF"/>
          <w:lang w:val="pt-BR"/>
        </w:rPr>
        <w:t xml:space="preserve"> </w:t>
      </w:r>
      <w:proofErr w:type="spellStart"/>
      <w:r w:rsidRPr="007E446E">
        <w:rPr>
          <w:rFonts w:cs="Times New Roman"/>
          <w:color w:val="222222"/>
          <w:szCs w:val="24"/>
          <w:shd w:val="clear" w:color="auto" w:fill="FFFFFF"/>
          <w:lang w:val="pt-BR"/>
        </w:rPr>
        <w:t>multiples</w:t>
      </w:r>
      <w:proofErr w:type="spellEnd"/>
      <w:r w:rsidRPr="007E446E">
        <w:rPr>
          <w:rFonts w:cs="Times New Roman"/>
          <w:color w:val="222222"/>
          <w:szCs w:val="24"/>
          <w:shd w:val="clear" w:color="auto" w:fill="FFFFFF"/>
          <w:lang w:val="pt-BR"/>
        </w:rPr>
        <w:t xml:space="preserve">: </w:t>
      </w:r>
      <w:r w:rsidR="003F3C77" w:rsidRPr="007E446E">
        <w:rPr>
          <w:rFonts w:cs="Times New Roman"/>
          <w:color w:val="222222"/>
          <w:szCs w:val="24"/>
          <w:shd w:val="clear" w:color="auto" w:fill="FFFFFF"/>
          <w:lang w:val="pt-BR"/>
        </w:rPr>
        <w:t>a</w:t>
      </w:r>
      <w:r w:rsidRPr="007E446E">
        <w:rPr>
          <w:rFonts w:cs="Times New Roman"/>
          <w:color w:val="222222"/>
          <w:szCs w:val="24"/>
          <w:shd w:val="clear" w:color="auto" w:fill="FFFFFF"/>
          <w:lang w:val="pt-BR"/>
        </w:rPr>
        <w:t xml:space="preserve"> </w:t>
      </w:r>
      <w:proofErr w:type="spellStart"/>
      <w:r w:rsidRPr="007E446E">
        <w:rPr>
          <w:rFonts w:cs="Times New Roman"/>
          <w:color w:val="222222"/>
          <w:szCs w:val="24"/>
          <w:shd w:val="clear" w:color="auto" w:fill="FFFFFF"/>
          <w:lang w:val="pt-BR"/>
        </w:rPr>
        <w:t>comparative</w:t>
      </w:r>
      <w:proofErr w:type="spellEnd"/>
      <w:r w:rsidRPr="007E446E">
        <w:rPr>
          <w:rFonts w:cs="Times New Roman"/>
          <w:color w:val="222222"/>
          <w:szCs w:val="24"/>
          <w:shd w:val="clear" w:color="auto" w:fill="FFFFFF"/>
          <w:lang w:val="pt-BR"/>
        </w:rPr>
        <w:t xml:space="preserve"> </w:t>
      </w:r>
      <w:proofErr w:type="spellStart"/>
      <w:r w:rsidRPr="007E446E">
        <w:rPr>
          <w:rFonts w:cs="Times New Roman"/>
          <w:color w:val="222222"/>
          <w:szCs w:val="24"/>
          <w:shd w:val="clear" w:color="auto" w:fill="FFFFFF"/>
          <w:lang w:val="pt-BR"/>
        </w:rPr>
        <w:t>study</w:t>
      </w:r>
      <w:proofErr w:type="spellEnd"/>
      <w:r w:rsidRPr="007E446E">
        <w:rPr>
          <w:rFonts w:cs="Times New Roman"/>
          <w:color w:val="222222"/>
          <w:szCs w:val="24"/>
          <w:shd w:val="clear" w:color="auto" w:fill="FFFFFF"/>
          <w:lang w:val="pt-BR"/>
        </w:rPr>
        <w:t xml:space="preserve"> for BRICKS. </w:t>
      </w:r>
      <w:proofErr w:type="spellStart"/>
      <w:r w:rsidRPr="007E446E">
        <w:rPr>
          <w:rFonts w:cs="Times New Roman"/>
          <w:b/>
          <w:color w:val="222222"/>
          <w:szCs w:val="24"/>
          <w:shd w:val="clear" w:color="auto" w:fill="FFFFFF"/>
          <w:lang w:val="pt-BR"/>
        </w:rPr>
        <w:t>Asian</w:t>
      </w:r>
      <w:proofErr w:type="spellEnd"/>
      <w:r w:rsidRPr="007E446E">
        <w:rPr>
          <w:rFonts w:cs="Times New Roman"/>
          <w:b/>
          <w:color w:val="222222"/>
          <w:szCs w:val="24"/>
          <w:shd w:val="clear" w:color="auto" w:fill="FFFFFF"/>
          <w:lang w:val="pt-BR"/>
        </w:rPr>
        <w:t xml:space="preserve"> </w:t>
      </w:r>
      <w:proofErr w:type="spellStart"/>
      <w:r w:rsidRPr="007E446E">
        <w:rPr>
          <w:rFonts w:cs="Times New Roman"/>
          <w:b/>
          <w:color w:val="222222"/>
          <w:szCs w:val="24"/>
          <w:shd w:val="clear" w:color="auto" w:fill="FFFFFF"/>
          <w:lang w:val="pt-BR"/>
        </w:rPr>
        <w:t>Journal</w:t>
      </w:r>
      <w:proofErr w:type="spellEnd"/>
      <w:r w:rsidRPr="007E446E">
        <w:rPr>
          <w:rFonts w:cs="Times New Roman"/>
          <w:b/>
          <w:color w:val="222222"/>
          <w:szCs w:val="24"/>
          <w:shd w:val="clear" w:color="auto" w:fill="FFFFFF"/>
          <w:lang w:val="pt-BR"/>
        </w:rPr>
        <w:t xml:space="preserve"> </w:t>
      </w:r>
      <w:proofErr w:type="spellStart"/>
      <w:r w:rsidRPr="007E446E">
        <w:rPr>
          <w:rFonts w:cs="Times New Roman"/>
          <w:b/>
          <w:color w:val="222222"/>
          <w:szCs w:val="24"/>
          <w:shd w:val="clear" w:color="auto" w:fill="FFFFFF"/>
          <w:lang w:val="pt-BR"/>
        </w:rPr>
        <w:t>of</w:t>
      </w:r>
      <w:proofErr w:type="spellEnd"/>
      <w:r w:rsidRPr="007E446E">
        <w:rPr>
          <w:rFonts w:cs="Times New Roman"/>
          <w:b/>
          <w:color w:val="222222"/>
          <w:szCs w:val="24"/>
          <w:shd w:val="clear" w:color="auto" w:fill="FFFFFF"/>
          <w:lang w:val="pt-BR"/>
        </w:rPr>
        <w:t xml:space="preserve"> </w:t>
      </w:r>
      <w:proofErr w:type="spellStart"/>
      <w:r w:rsidRPr="007E446E">
        <w:rPr>
          <w:rFonts w:cs="Times New Roman"/>
          <w:b/>
          <w:color w:val="222222"/>
          <w:szCs w:val="24"/>
          <w:shd w:val="clear" w:color="auto" w:fill="FFFFFF"/>
          <w:lang w:val="pt-BR"/>
        </w:rPr>
        <w:t>Finance</w:t>
      </w:r>
      <w:proofErr w:type="spellEnd"/>
      <w:r w:rsidRPr="007E446E">
        <w:rPr>
          <w:rFonts w:cs="Times New Roman"/>
          <w:b/>
          <w:color w:val="222222"/>
          <w:szCs w:val="24"/>
          <w:shd w:val="clear" w:color="auto" w:fill="FFFFFF"/>
          <w:lang w:val="pt-BR"/>
        </w:rPr>
        <w:t xml:space="preserve"> &amp; </w:t>
      </w:r>
      <w:proofErr w:type="spellStart"/>
      <w:r w:rsidRPr="007E446E">
        <w:rPr>
          <w:rFonts w:cs="Times New Roman"/>
          <w:b/>
          <w:color w:val="222222"/>
          <w:szCs w:val="24"/>
          <w:shd w:val="clear" w:color="auto" w:fill="FFFFFF"/>
          <w:lang w:val="pt-BR"/>
        </w:rPr>
        <w:t>Accounting</w:t>
      </w:r>
      <w:proofErr w:type="spellEnd"/>
      <w:r w:rsidRPr="007E446E">
        <w:rPr>
          <w:rFonts w:cs="Times New Roman"/>
          <w:i/>
          <w:color w:val="222222"/>
          <w:szCs w:val="24"/>
          <w:shd w:val="clear" w:color="auto" w:fill="FFFFFF"/>
          <w:lang w:val="pt-BR"/>
        </w:rPr>
        <w:t xml:space="preserve">, </w:t>
      </w:r>
      <w:r w:rsidRPr="007E446E">
        <w:rPr>
          <w:rFonts w:cs="Times New Roman"/>
          <w:color w:val="222222"/>
          <w:szCs w:val="24"/>
          <w:shd w:val="clear" w:color="auto" w:fill="FFFFFF"/>
          <w:lang w:val="pt-BR"/>
        </w:rPr>
        <w:t>v. 2, n. 1, p.  68, 2010.</w:t>
      </w:r>
    </w:p>
    <w:p w14:paraId="280D1C04" w14:textId="77777777" w:rsidR="009B7C76" w:rsidRPr="003F3C77" w:rsidRDefault="009B7C76" w:rsidP="009B7C76">
      <w:pPr>
        <w:spacing w:before="0" w:after="0" w:line="240" w:lineRule="auto"/>
        <w:jc w:val="left"/>
        <w:rPr>
          <w:rFonts w:eastAsia="Times New Roman" w:cs="Times New Roman"/>
          <w:szCs w:val="24"/>
          <w:lang w:val="pt-BR" w:eastAsia="pt-BR" w:bidi="ar-SA"/>
        </w:rPr>
      </w:pPr>
    </w:p>
    <w:p w14:paraId="19F88991" w14:textId="6389FC77" w:rsidR="009B7C76" w:rsidRDefault="009B7C76" w:rsidP="00B96010">
      <w:pPr>
        <w:spacing w:before="0" w:after="0" w:line="240" w:lineRule="auto"/>
        <w:jc w:val="left"/>
        <w:rPr>
          <w:rFonts w:eastAsia="Times New Roman" w:cs="Times New Roman"/>
          <w:szCs w:val="24"/>
          <w:lang w:val="pt-BR" w:eastAsia="pt-BR" w:bidi="ar-SA"/>
        </w:rPr>
      </w:pPr>
      <w:r w:rsidRPr="00F65806">
        <w:rPr>
          <w:rFonts w:eastAsia="Times New Roman" w:cs="Times New Roman"/>
          <w:szCs w:val="24"/>
          <w:lang w:val="pt-BR" w:eastAsia="pt-BR" w:bidi="ar-SA"/>
        </w:rPr>
        <w:t xml:space="preserve">SERRA, R. G.; FÁVERO, L. P. L. Quem São as Empresas Comparáveis? Uma Análise do Múltiplo P/B. </w:t>
      </w:r>
      <w:r w:rsidR="00B96010" w:rsidRPr="00F65806">
        <w:rPr>
          <w:rFonts w:eastAsia="Times New Roman" w:cs="Times New Roman"/>
          <w:szCs w:val="24"/>
          <w:lang w:val="pt-BR" w:eastAsia="pt-BR" w:bidi="ar-SA"/>
        </w:rPr>
        <w:t xml:space="preserve">In: </w:t>
      </w:r>
      <w:r w:rsidRPr="00F65806">
        <w:rPr>
          <w:rFonts w:eastAsia="Times New Roman" w:cs="Times New Roman"/>
          <w:b/>
          <w:szCs w:val="24"/>
          <w:lang w:val="pt-BR" w:eastAsia="pt-BR" w:bidi="ar-SA"/>
        </w:rPr>
        <w:t>Anais do XIX SEMEAD – Seminários em Administração</w:t>
      </w:r>
      <w:r w:rsidR="00B96010" w:rsidRPr="00F65806">
        <w:rPr>
          <w:rFonts w:eastAsia="Times New Roman" w:cs="Times New Roman"/>
          <w:szCs w:val="24"/>
          <w:lang w:val="pt-BR" w:eastAsia="pt-BR" w:bidi="ar-SA"/>
        </w:rPr>
        <w:t>. São Paulo: Universidade de São Paulo, Faculdade de</w:t>
      </w:r>
      <w:r w:rsidR="00A10999">
        <w:rPr>
          <w:rFonts w:eastAsia="Times New Roman" w:cs="Times New Roman"/>
          <w:szCs w:val="24"/>
          <w:lang w:val="pt-BR" w:eastAsia="pt-BR" w:bidi="ar-SA"/>
        </w:rPr>
        <w:t xml:space="preserve"> </w:t>
      </w:r>
      <w:r w:rsidR="00B96010" w:rsidRPr="00F65806">
        <w:rPr>
          <w:rFonts w:eastAsia="Times New Roman" w:cs="Times New Roman"/>
          <w:szCs w:val="24"/>
          <w:lang w:val="pt-BR" w:eastAsia="pt-BR" w:bidi="ar-SA"/>
        </w:rPr>
        <w:t>Economia, Administração e Contabilidade, 2016</w:t>
      </w:r>
      <w:r w:rsidRPr="00F65806">
        <w:rPr>
          <w:rFonts w:eastAsia="Times New Roman" w:cs="Times New Roman"/>
          <w:szCs w:val="24"/>
          <w:lang w:val="pt-BR" w:eastAsia="pt-BR" w:bidi="ar-SA"/>
        </w:rPr>
        <w:t>.</w:t>
      </w:r>
    </w:p>
    <w:p w14:paraId="3FA743C3" w14:textId="0EDF6436" w:rsidR="009C26B0" w:rsidRDefault="009C26B0" w:rsidP="00B96010">
      <w:pPr>
        <w:spacing w:before="0" w:after="0" w:line="240" w:lineRule="auto"/>
        <w:jc w:val="left"/>
        <w:rPr>
          <w:rFonts w:eastAsia="Times New Roman" w:cs="Times New Roman"/>
          <w:szCs w:val="24"/>
          <w:lang w:val="pt-BR" w:eastAsia="pt-BR" w:bidi="ar-SA"/>
        </w:rPr>
      </w:pPr>
    </w:p>
    <w:p w14:paraId="2B143353" w14:textId="1E25418A" w:rsidR="009C26B0" w:rsidRPr="009C26B0" w:rsidRDefault="009C26B0" w:rsidP="00B96010">
      <w:pPr>
        <w:spacing w:before="0" w:after="0" w:line="240" w:lineRule="auto"/>
        <w:jc w:val="left"/>
        <w:rPr>
          <w:rFonts w:eastAsia="Times New Roman" w:cs="Times New Roman"/>
          <w:szCs w:val="24"/>
          <w:lang w:val="pt-BR" w:eastAsia="pt-BR" w:bidi="ar-SA"/>
        </w:rPr>
      </w:pPr>
      <w:r w:rsidRPr="009C26B0">
        <w:rPr>
          <w:rFonts w:cs="Times New Roman"/>
          <w:color w:val="222222"/>
          <w:szCs w:val="24"/>
          <w:shd w:val="clear" w:color="auto" w:fill="FFFFFF"/>
          <w:lang w:val="pt-BR"/>
        </w:rPr>
        <w:t>SERRA, R</w:t>
      </w:r>
      <w:r>
        <w:rPr>
          <w:rFonts w:cs="Times New Roman"/>
          <w:color w:val="222222"/>
          <w:szCs w:val="24"/>
          <w:shd w:val="clear" w:color="auto" w:fill="FFFFFF"/>
          <w:lang w:val="pt-BR"/>
        </w:rPr>
        <w:t>.</w:t>
      </w:r>
      <w:r w:rsidRPr="009C26B0">
        <w:rPr>
          <w:rFonts w:cs="Times New Roman"/>
          <w:color w:val="222222"/>
          <w:szCs w:val="24"/>
          <w:shd w:val="clear" w:color="auto" w:fill="FFFFFF"/>
          <w:lang w:val="pt-BR"/>
        </w:rPr>
        <w:t xml:space="preserve"> G</w:t>
      </w:r>
      <w:r>
        <w:rPr>
          <w:rFonts w:cs="Times New Roman"/>
          <w:color w:val="222222"/>
          <w:szCs w:val="24"/>
          <w:shd w:val="clear" w:color="auto" w:fill="FFFFFF"/>
          <w:lang w:val="pt-BR"/>
        </w:rPr>
        <w:t>.</w:t>
      </w:r>
      <w:r w:rsidRPr="009C26B0">
        <w:rPr>
          <w:rFonts w:cs="Times New Roman"/>
          <w:color w:val="222222"/>
          <w:szCs w:val="24"/>
          <w:shd w:val="clear" w:color="auto" w:fill="FFFFFF"/>
          <w:lang w:val="pt-BR"/>
        </w:rPr>
        <w:t>; SAITO, A</w:t>
      </w:r>
      <w:r>
        <w:rPr>
          <w:rFonts w:cs="Times New Roman"/>
          <w:color w:val="222222"/>
          <w:szCs w:val="24"/>
          <w:shd w:val="clear" w:color="auto" w:fill="FFFFFF"/>
          <w:lang w:val="pt-BR"/>
        </w:rPr>
        <w:t>.</w:t>
      </w:r>
      <w:r w:rsidRPr="009C26B0">
        <w:rPr>
          <w:rFonts w:cs="Times New Roman"/>
          <w:color w:val="222222"/>
          <w:szCs w:val="24"/>
          <w:shd w:val="clear" w:color="auto" w:fill="FFFFFF"/>
          <w:lang w:val="pt-BR"/>
        </w:rPr>
        <w:t xml:space="preserve"> T</w:t>
      </w:r>
      <w:r>
        <w:rPr>
          <w:rFonts w:cs="Times New Roman"/>
          <w:color w:val="222222"/>
          <w:szCs w:val="24"/>
          <w:shd w:val="clear" w:color="auto" w:fill="FFFFFF"/>
          <w:lang w:val="pt-BR"/>
        </w:rPr>
        <w:t>.</w:t>
      </w:r>
      <w:r w:rsidRPr="009C26B0">
        <w:rPr>
          <w:rFonts w:cs="Times New Roman"/>
          <w:color w:val="222222"/>
          <w:szCs w:val="24"/>
          <w:shd w:val="clear" w:color="auto" w:fill="FFFFFF"/>
          <w:lang w:val="pt-BR"/>
        </w:rPr>
        <w:t xml:space="preserve"> Determinantes do P/B, setor regulado e estratégias de investimento. </w:t>
      </w:r>
      <w:r w:rsidRPr="009C26B0">
        <w:rPr>
          <w:rFonts w:cs="Times New Roman"/>
          <w:b/>
          <w:bCs/>
          <w:color w:val="222222"/>
          <w:szCs w:val="24"/>
          <w:shd w:val="clear" w:color="auto" w:fill="FFFFFF"/>
          <w:lang w:val="pt-BR"/>
        </w:rPr>
        <w:t xml:space="preserve">Revista de Administração FACES </w:t>
      </w:r>
      <w:proofErr w:type="spellStart"/>
      <w:r w:rsidRPr="009C26B0">
        <w:rPr>
          <w:rFonts w:cs="Times New Roman"/>
          <w:b/>
          <w:bCs/>
          <w:color w:val="222222"/>
          <w:szCs w:val="24"/>
          <w:shd w:val="clear" w:color="auto" w:fill="FFFFFF"/>
          <w:lang w:val="pt-BR"/>
        </w:rPr>
        <w:t>Journal</w:t>
      </w:r>
      <w:proofErr w:type="spellEnd"/>
      <w:r w:rsidRPr="009C26B0">
        <w:rPr>
          <w:rFonts w:cs="Times New Roman"/>
          <w:color w:val="222222"/>
          <w:szCs w:val="24"/>
          <w:shd w:val="clear" w:color="auto" w:fill="FFFFFF"/>
          <w:lang w:val="pt-BR"/>
        </w:rPr>
        <w:t>, v. 15, n. 1, 2016.</w:t>
      </w:r>
    </w:p>
    <w:p w14:paraId="6EC2376B" w14:textId="77777777" w:rsidR="009B7C76" w:rsidRDefault="009B7C76" w:rsidP="009B7C76">
      <w:pPr>
        <w:spacing w:before="0" w:after="0" w:line="240" w:lineRule="auto"/>
        <w:jc w:val="left"/>
        <w:rPr>
          <w:rFonts w:cs="Times New Roman"/>
          <w:color w:val="222222"/>
          <w:szCs w:val="24"/>
          <w:shd w:val="clear" w:color="auto" w:fill="FFFFFF"/>
          <w:lang w:val="pt-BR"/>
        </w:rPr>
      </w:pPr>
    </w:p>
    <w:p w14:paraId="2BD50978" w14:textId="637C7F28" w:rsidR="009B7C76" w:rsidRPr="00597A41" w:rsidRDefault="009B7C76" w:rsidP="009B7C76">
      <w:pPr>
        <w:spacing w:before="0" w:after="0" w:line="240" w:lineRule="auto"/>
        <w:jc w:val="left"/>
        <w:rPr>
          <w:rFonts w:cs="Times New Roman"/>
          <w:color w:val="222222"/>
          <w:szCs w:val="24"/>
          <w:shd w:val="clear" w:color="auto" w:fill="FFFFFF"/>
          <w:lang w:val="pt-BR"/>
        </w:rPr>
      </w:pPr>
      <w:r w:rsidRPr="00597A41">
        <w:rPr>
          <w:rFonts w:cs="Times New Roman"/>
          <w:color w:val="222222"/>
          <w:szCs w:val="24"/>
          <w:shd w:val="clear" w:color="auto" w:fill="FFFFFF"/>
          <w:lang w:val="pt-BR"/>
        </w:rPr>
        <w:t>SILVA, A. O.; DANTAS, J. A. Impacto da Política de Dividendos no Valor de Mercado das Instituições Financeiras no Brasil. </w:t>
      </w:r>
      <w:r w:rsidRPr="00597A41">
        <w:rPr>
          <w:rFonts w:cs="Times New Roman"/>
          <w:b/>
          <w:iCs/>
          <w:color w:val="222222"/>
          <w:szCs w:val="24"/>
          <w:shd w:val="clear" w:color="auto" w:fill="FFFFFF"/>
          <w:lang w:val="pt-BR"/>
        </w:rPr>
        <w:t>Revista de Gestão, Finanças e Contabilidade</w:t>
      </w:r>
      <w:r w:rsidRPr="00597A41">
        <w:rPr>
          <w:rFonts w:cs="Times New Roman"/>
          <w:color w:val="222222"/>
          <w:szCs w:val="24"/>
          <w:shd w:val="clear" w:color="auto" w:fill="FFFFFF"/>
          <w:lang w:val="pt-BR"/>
        </w:rPr>
        <w:t>, v. </w:t>
      </w:r>
      <w:r w:rsidRPr="00597A41">
        <w:rPr>
          <w:rFonts w:cs="Times New Roman"/>
          <w:iCs/>
          <w:color w:val="222222"/>
          <w:szCs w:val="24"/>
          <w:shd w:val="clear" w:color="auto" w:fill="FFFFFF"/>
          <w:lang w:val="pt-BR"/>
        </w:rPr>
        <w:t>5</w:t>
      </w:r>
      <w:r w:rsidRPr="00597A41">
        <w:rPr>
          <w:rFonts w:cs="Times New Roman"/>
          <w:color w:val="222222"/>
          <w:szCs w:val="24"/>
          <w:shd w:val="clear" w:color="auto" w:fill="FFFFFF"/>
          <w:lang w:val="pt-BR"/>
        </w:rPr>
        <w:t>, n. 4, p. 43-63, 2015.</w:t>
      </w:r>
      <w:r w:rsidR="00F65806">
        <w:rPr>
          <w:rFonts w:cs="Times New Roman"/>
          <w:color w:val="222222"/>
          <w:szCs w:val="24"/>
          <w:shd w:val="clear" w:color="auto" w:fill="FFFFFF"/>
          <w:lang w:val="pt-BR"/>
        </w:rPr>
        <w:t xml:space="preserve"> </w:t>
      </w:r>
      <w:proofErr w:type="spellStart"/>
      <w:r w:rsidR="00F65806">
        <w:rPr>
          <w:rFonts w:cs="Times New Roman"/>
          <w:color w:val="222222"/>
          <w:szCs w:val="24"/>
          <w:shd w:val="clear" w:color="auto" w:fill="FFFFFF"/>
          <w:lang w:val="pt-BR"/>
        </w:rPr>
        <w:t>Doi</w:t>
      </w:r>
      <w:proofErr w:type="spellEnd"/>
      <w:r w:rsidR="00F65806">
        <w:rPr>
          <w:rFonts w:cs="Times New Roman"/>
          <w:color w:val="222222"/>
          <w:szCs w:val="24"/>
          <w:shd w:val="clear" w:color="auto" w:fill="FFFFFF"/>
          <w:lang w:val="pt-BR"/>
        </w:rPr>
        <w:t xml:space="preserve">: </w:t>
      </w:r>
      <w:r w:rsidR="00F65806" w:rsidRPr="00F65806">
        <w:rPr>
          <w:rFonts w:cs="Times New Roman"/>
          <w:color w:val="222222"/>
          <w:szCs w:val="24"/>
          <w:shd w:val="clear" w:color="auto" w:fill="FFFFFF"/>
          <w:lang w:val="pt-BR"/>
        </w:rPr>
        <w:t>http://dx.doi.org/10.18028/2238-5320/rgfc.v5n4p43-63</w:t>
      </w:r>
    </w:p>
    <w:p w14:paraId="26D91557" w14:textId="77777777" w:rsidR="009B7C76" w:rsidRDefault="009B7C76" w:rsidP="009B7C76">
      <w:pPr>
        <w:spacing w:before="0" w:after="0" w:line="240" w:lineRule="auto"/>
        <w:jc w:val="left"/>
        <w:rPr>
          <w:rFonts w:cs="Times New Roman"/>
          <w:color w:val="222222"/>
          <w:szCs w:val="24"/>
          <w:shd w:val="clear" w:color="auto" w:fill="FFFFFF"/>
          <w:lang w:val="pt-BR"/>
        </w:rPr>
      </w:pPr>
    </w:p>
    <w:p w14:paraId="71146ECA" w14:textId="7B46C265" w:rsidR="009B7C76" w:rsidRPr="00597A41" w:rsidRDefault="009B7C76" w:rsidP="009B7C76">
      <w:pPr>
        <w:spacing w:before="0" w:after="0" w:line="240" w:lineRule="auto"/>
        <w:jc w:val="left"/>
        <w:rPr>
          <w:rFonts w:cs="Times New Roman"/>
          <w:color w:val="222222"/>
          <w:szCs w:val="24"/>
          <w:shd w:val="clear" w:color="auto" w:fill="FFFFFF"/>
          <w:lang w:val="pt-BR"/>
        </w:rPr>
      </w:pPr>
      <w:r w:rsidRPr="007D6B21">
        <w:rPr>
          <w:rFonts w:cs="Times New Roman"/>
          <w:color w:val="222222"/>
          <w:szCs w:val="24"/>
          <w:shd w:val="clear" w:color="auto" w:fill="FFFFFF"/>
          <w:lang w:val="pt-BR"/>
        </w:rPr>
        <w:t>SOUTES, D. O.; SCHVIRCK</w:t>
      </w:r>
      <w:r w:rsidR="00D17319">
        <w:rPr>
          <w:rFonts w:cs="Times New Roman"/>
          <w:color w:val="222222"/>
          <w:szCs w:val="24"/>
          <w:shd w:val="clear" w:color="auto" w:fill="FFFFFF"/>
          <w:lang w:val="pt-BR"/>
        </w:rPr>
        <w:t>,</w:t>
      </w:r>
      <w:r w:rsidRPr="007D6B21">
        <w:rPr>
          <w:rFonts w:cs="Times New Roman"/>
          <w:color w:val="222222"/>
          <w:szCs w:val="24"/>
          <w:shd w:val="clear" w:color="auto" w:fill="FFFFFF"/>
          <w:lang w:val="pt-BR"/>
        </w:rPr>
        <w:t xml:space="preserve"> E.; MARTINS, E.; MACHADO, M. R. C. Métodos de avaliação utilizados pelos profissionais de investimento</w:t>
      </w:r>
      <w:r w:rsidRPr="007D6B21">
        <w:rPr>
          <w:rFonts w:cs="Times New Roman"/>
          <w:b/>
          <w:color w:val="222222"/>
          <w:szCs w:val="24"/>
          <w:shd w:val="clear" w:color="auto" w:fill="FFFFFF"/>
          <w:lang w:val="pt-BR"/>
        </w:rPr>
        <w:t>. </w:t>
      </w:r>
      <w:r w:rsidRPr="007D6B21">
        <w:rPr>
          <w:rFonts w:cs="Times New Roman"/>
          <w:b/>
          <w:iCs/>
          <w:color w:val="222222"/>
          <w:szCs w:val="24"/>
          <w:shd w:val="clear" w:color="auto" w:fill="FFFFFF"/>
          <w:lang w:val="pt-BR"/>
        </w:rPr>
        <w:t>Revista Contabilidade, Gestão e Governança</w:t>
      </w:r>
      <w:r w:rsidRPr="007D6B21">
        <w:rPr>
          <w:rFonts w:cs="Times New Roman"/>
          <w:color w:val="222222"/>
          <w:szCs w:val="24"/>
          <w:shd w:val="clear" w:color="auto" w:fill="FFFFFF"/>
          <w:lang w:val="pt-BR"/>
        </w:rPr>
        <w:t>, </w:t>
      </w:r>
      <w:r w:rsidR="00B452C7">
        <w:rPr>
          <w:rFonts w:cs="Times New Roman"/>
          <w:color w:val="222222"/>
          <w:szCs w:val="24"/>
          <w:shd w:val="clear" w:color="auto" w:fill="FFFFFF"/>
          <w:lang w:val="pt-BR"/>
        </w:rPr>
        <w:t xml:space="preserve">v. </w:t>
      </w:r>
      <w:r w:rsidRPr="007D6B21">
        <w:rPr>
          <w:rFonts w:cs="Times New Roman"/>
          <w:iCs/>
          <w:color w:val="222222"/>
          <w:szCs w:val="24"/>
          <w:shd w:val="clear" w:color="auto" w:fill="FFFFFF"/>
          <w:lang w:val="pt-BR"/>
        </w:rPr>
        <w:t>11</w:t>
      </w:r>
      <w:r w:rsidRPr="007D6B21">
        <w:rPr>
          <w:rFonts w:cs="Times New Roman"/>
          <w:color w:val="222222"/>
          <w:szCs w:val="24"/>
          <w:shd w:val="clear" w:color="auto" w:fill="FFFFFF"/>
          <w:lang w:val="pt-BR"/>
        </w:rPr>
        <w:t>,</w:t>
      </w:r>
      <w:r w:rsidR="00B452C7">
        <w:rPr>
          <w:rFonts w:cs="Times New Roman"/>
          <w:color w:val="222222"/>
          <w:szCs w:val="24"/>
          <w:shd w:val="clear" w:color="auto" w:fill="FFFFFF"/>
          <w:lang w:val="pt-BR"/>
        </w:rPr>
        <w:t xml:space="preserve"> n.</w:t>
      </w:r>
      <w:r w:rsidRPr="007D6B21">
        <w:rPr>
          <w:rFonts w:cs="Times New Roman"/>
          <w:color w:val="222222"/>
          <w:szCs w:val="24"/>
          <w:shd w:val="clear" w:color="auto" w:fill="FFFFFF"/>
          <w:lang w:val="pt-BR"/>
        </w:rPr>
        <w:t xml:space="preserve"> 1-2,</w:t>
      </w:r>
      <w:r w:rsidR="00B452C7">
        <w:rPr>
          <w:rFonts w:cs="Times New Roman"/>
          <w:color w:val="222222"/>
          <w:szCs w:val="24"/>
          <w:shd w:val="clear" w:color="auto" w:fill="FFFFFF"/>
          <w:lang w:val="pt-BR"/>
        </w:rPr>
        <w:t xml:space="preserve"> p. 1-17,</w:t>
      </w:r>
      <w:r w:rsidRPr="007D6B21">
        <w:rPr>
          <w:rFonts w:cs="Times New Roman"/>
          <w:color w:val="222222"/>
          <w:szCs w:val="24"/>
          <w:shd w:val="clear" w:color="auto" w:fill="FFFFFF"/>
          <w:lang w:val="pt-BR"/>
        </w:rPr>
        <w:t xml:space="preserve"> 2009.</w:t>
      </w:r>
    </w:p>
    <w:p w14:paraId="37EB2076" w14:textId="77777777" w:rsidR="009B7C76" w:rsidRDefault="009B7C76" w:rsidP="009B7C76">
      <w:pPr>
        <w:spacing w:before="0" w:after="0" w:line="240" w:lineRule="auto"/>
        <w:jc w:val="left"/>
        <w:rPr>
          <w:rFonts w:cs="Times New Roman"/>
          <w:color w:val="222222"/>
          <w:szCs w:val="24"/>
          <w:shd w:val="clear" w:color="auto" w:fill="FFFFFF"/>
          <w:lang w:val="pt-BR"/>
        </w:rPr>
      </w:pPr>
    </w:p>
    <w:p w14:paraId="5C7F32B5" w14:textId="122D839B" w:rsidR="00DB3229" w:rsidRPr="009B7C76" w:rsidRDefault="009B7C76" w:rsidP="009B7C76">
      <w:pPr>
        <w:spacing w:before="0" w:after="0" w:line="240" w:lineRule="auto"/>
        <w:jc w:val="left"/>
        <w:rPr>
          <w:rFonts w:cs="Times New Roman"/>
          <w:color w:val="222222"/>
          <w:szCs w:val="24"/>
          <w:shd w:val="clear" w:color="auto" w:fill="FFFFFF"/>
        </w:rPr>
      </w:pPr>
      <w:r w:rsidRPr="007E446E">
        <w:rPr>
          <w:rFonts w:cs="Times New Roman"/>
          <w:color w:val="222222"/>
          <w:szCs w:val="24"/>
          <w:shd w:val="clear" w:color="auto" w:fill="FFFFFF"/>
          <w:lang w:val="pt-BR"/>
        </w:rPr>
        <w:t>SUOZZO, P.</w:t>
      </w:r>
      <w:r w:rsidR="00647E1B" w:rsidRPr="007E446E">
        <w:rPr>
          <w:rFonts w:cs="Times New Roman"/>
          <w:color w:val="222222"/>
          <w:szCs w:val="24"/>
          <w:shd w:val="clear" w:color="auto" w:fill="FFFFFF"/>
          <w:lang w:val="pt-BR"/>
        </w:rPr>
        <w:t>;</w:t>
      </w:r>
      <w:r w:rsidRPr="007E446E">
        <w:rPr>
          <w:rFonts w:cs="Times New Roman"/>
          <w:color w:val="222222"/>
          <w:szCs w:val="24"/>
          <w:shd w:val="clear" w:color="auto" w:fill="FFFFFF"/>
          <w:lang w:val="pt-BR"/>
        </w:rPr>
        <w:t xml:space="preserve"> </w:t>
      </w:r>
      <w:r w:rsidR="00C9750A" w:rsidRPr="007E446E">
        <w:rPr>
          <w:rFonts w:cs="Times New Roman"/>
          <w:color w:val="222222"/>
          <w:szCs w:val="24"/>
          <w:shd w:val="clear" w:color="auto" w:fill="FFFFFF"/>
          <w:lang w:val="pt-BR"/>
        </w:rPr>
        <w:t>COOPER</w:t>
      </w:r>
      <w:r w:rsidRPr="007E446E">
        <w:rPr>
          <w:rFonts w:cs="Times New Roman"/>
          <w:color w:val="222222"/>
          <w:szCs w:val="24"/>
          <w:shd w:val="clear" w:color="auto" w:fill="FFFFFF"/>
          <w:lang w:val="pt-BR"/>
        </w:rPr>
        <w:t>, S.</w:t>
      </w:r>
      <w:r w:rsidR="00647E1B" w:rsidRPr="007E446E">
        <w:rPr>
          <w:rFonts w:cs="Times New Roman"/>
          <w:color w:val="222222"/>
          <w:szCs w:val="24"/>
          <w:shd w:val="clear" w:color="auto" w:fill="FFFFFF"/>
          <w:lang w:val="pt-BR"/>
        </w:rPr>
        <w:t>;</w:t>
      </w:r>
      <w:r w:rsidRPr="007E446E">
        <w:rPr>
          <w:rFonts w:cs="Times New Roman"/>
          <w:color w:val="222222"/>
          <w:szCs w:val="24"/>
          <w:shd w:val="clear" w:color="auto" w:fill="FFFFFF"/>
          <w:lang w:val="pt-BR"/>
        </w:rPr>
        <w:t xml:space="preserve"> </w:t>
      </w:r>
      <w:r w:rsidR="00C9750A" w:rsidRPr="007E446E">
        <w:rPr>
          <w:rFonts w:cs="Times New Roman"/>
          <w:color w:val="222222"/>
          <w:szCs w:val="24"/>
          <w:shd w:val="clear" w:color="auto" w:fill="FFFFFF"/>
          <w:lang w:val="pt-BR"/>
        </w:rPr>
        <w:t>SUTHERLAND</w:t>
      </w:r>
      <w:r w:rsidRPr="007E446E">
        <w:rPr>
          <w:rFonts w:cs="Times New Roman"/>
          <w:color w:val="222222"/>
          <w:szCs w:val="24"/>
          <w:shd w:val="clear" w:color="auto" w:fill="FFFFFF"/>
          <w:lang w:val="pt-BR"/>
        </w:rPr>
        <w:t>, G.</w:t>
      </w:r>
      <w:r w:rsidR="00647E1B" w:rsidRPr="007E446E">
        <w:rPr>
          <w:rFonts w:cs="Times New Roman"/>
          <w:color w:val="222222"/>
          <w:szCs w:val="24"/>
          <w:shd w:val="clear" w:color="auto" w:fill="FFFFFF"/>
          <w:lang w:val="pt-BR"/>
        </w:rPr>
        <w:t>;</w:t>
      </w:r>
      <w:r w:rsidRPr="007E446E">
        <w:rPr>
          <w:rFonts w:cs="Times New Roman"/>
          <w:color w:val="222222"/>
          <w:szCs w:val="24"/>
          <w:shd w:val="clear" w:color="auto" w:fill="FFFFFF"/>
          <w:lang w:val="pt-BR"/>
        </w:rPr>
        <w:t xml:space="preserve"> </w:t>
      </w:r>
      <w:r w:rsidR="00647E1B" w:rsidRPr="007E446E">
        <w:rPr>
          <w:rFonts w:cs="Times New Roman"/>
          <w:color w:val="222222"/>
          <w:szCs w:val="24"/>
          <w:shd w:val="clear" w:color="auto" w:fill="FFFFFF"/>
          <w:lang w:val="pt-BR"/>
        </w:rPr>
        <w:t>DENG</w:t>
      </w:r>
      <w:r w:rsidRPr="007E446E">
        <w:rPr>
          <w:rFonts w:cs="Times New Roman"/>
          <w:color w:val="222222"/>
          <w:szCs w:val="24"/>
          <w:shd w:val="clear" w:color="auto" w:fill="FFFFFF"/>
          <w:lang w:val="pt-BR"/>
        </w:rPr>
        <w:t xml:space="preserve">, Z. </w:t>
      </w:r>
      <w:proofErr w:type="spellStart"/>
      <w:r w:rsidRPr="007E446E">
        <w:rPr>
          <w:rFonts w:cs="Times New Roman"/>
          <w:color w:val="222222"/>
          <w:szCs w:val="24"/>
          <w:shd w:val="clear" w:color="auto" w:fill="FFFFFF"/>
          <w:lang w:val="pt-BR"/>
        </w:rPr>
        <w:t>Valuation</w:t>
      </w:r>
      <w:proofErr w:type="spellEnd"/>
      <w:r w:rsidRPr="007E446E">
        <w:rPr>
          <w:rFonts w:cs="Times New Roman"/>
          <w:color w:val="222222"/>
          <w:szCs w:val="24"/>
          <w:shd w:val="clear" w:color="auto" w:fill="FFFFFF"/>
          <w:lang w:val="pt-BR"/>
        </w:rPr>
        <w:t xml:space="preserve"> </w:t>
      </w:r>
      <w:proofErr w:type="spellStart"/>
      <w:r w:rsidRPr="007E446E">
        <w:rPr>
          <w:rFonts w:cs="Times New Roman"/>
          <w:color w:val="222222"/>
          <w:szCs w:val="24"/>
          <w:shd w:val="clear" w:color="auto" w:fill="FFFFFF"/>
          <w:lang w:val="pt-BR"/>
        </w:rPr>
        <w:t>multiples</w:t>
      </w:r>
      <w:proofErr w:type="spellEnd"/>
      <w:r w:rsidRPr="007E446E">
        <w:rPr>
          <w:rFonts w:cs="Times New Roman"/>
          <w:color w:val="222222"/>
          <w:szCs w:val="24"/>
          <w:shd w:val="clear" w:color="auto" w:fill="FFFFFF"/>
          <w:lang w:val="pt-BR"/>
        </w:rPr>
        <w:t>: A primer. </w:t>
      </w:r>
      <w:r w:rsidRPr="00597A41">
        <w:rPr>
          <w:rFonts w:cs="Times New Roman"/>
          <w:b/>
          <w:iCs/>
          <w:color w:val="222222"/>
          <w:szCs w:val="24"/>
          <w:shd w:val="clear" w:color="auto" w:fill="FFFFFF"/>
        </w:rPr>
        <w:t>UBS Warburg: Valuation and Accounting (November)</w:t>
      </w:r>
      <w:r w:rsidR="00647E1B">
        <w:rPr>
          <w:rFonts w:cs="Times New Roman"/>
          <w:color w:val="222222"/>
          <w:szCs w:val="24"/>
          <w:shd w:val="clear" w:color="auto" w:fill="FFFFFF"/>
        </w:rPr>
        <w:t>, p. 1-47,</w:t>
      </w:r>
      <w:r w:rsidR="00F65806">
        <w:rPr>
          <w:rFonts w:cs="Times New Roman"/>
          <w:color w:val="222222"/>
          <w:szCs w:val="24"/>
          <w:shd w:val="clear" w:color="auto" w:fill="FFFFFF"/>
        </w:rPr>
        <w:t xml:space="preserve"> 2001.</w:t>
      </w:r>
    </w:p>
    <w:sectPr w:rsidR="00DB3229" w:rsidRPr="009B7C76" w:rsidSect="00356C7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C0E6C" w14:textId="77777777" w:rsidR="00F274EA" w:rsidRDefault="00F274EA">
      <w:pPr>
        <w:spacing w:before="0" w:after="0" w:line="240" w:lineRule="auto"/>
      </w:pPr>
      <w:r>
        <w:separator/>
      </w:r>
    </w:p>
  </w:endnote>
  <w:endnote w:type="continuationSeparator" w:id="0">
    <w:p w14:paraId="3B785A6F" w14:textId="77777777" w:rsidR="00F274EA" w:rsidRDefault="00F274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7528745"/>
      <w:docPartObj>
        <w:docPartGallery w:val="Page Numbers (Bottom of Page)"/>
        <w:docPartUnique/>
      </w:docPartObj>
    </w:sdtPr>
    <w:sdtEndPr>
      <w:rPr>
        <w:sz w:val="20"/>
      </w:rPr>
    </w:sdtEndPr>
    <w:sdtContent>
      <w:p w14:paraId="51DF42AA" w14:textId="04804013" w:rsidR="001268DB" w:rsidRPr="00873A51" w:rsidRDefault="001268DB">
        <w:pPr>
          <w:pStyle w:val="Rodap"/>
          <w:jc w:val="right"/>
          <w:rPr>
            <w:sz w:val="20"/>
          </w:rPr>
        </w:pPr>
        <w:r w:rsidRPr="00873A51">
          <w:rPr>
            <w:sz w:val="20"/>
          </w:rPr>
          <w:fldChar w:fldCharType="begin"/>
        </w:r>
        <w:r w:rsidRPr="00873A51">
          <w:rPr>
            <w:sz w:val="20"/>
          </w:rPr>
          <w:instrText>PAGE   \* MERGEFORMAT</w:instrText>
        </w:r>
        <w:r w:rsidRPr="00873A51">
          <w:rPr>
            <w:sz w:val="20"/>
          </w:rPr>
          <w:fldChar w:fldCharType="separate"/>
        </w:r>
        <w:r w:rsidRPr="00873A51">
          <w:rPr>
            <w:sz w:val="20"/>
            <w:lang w:val="pt-BR"/>
          </w:rPr>
          <w:t>2</w:t>
        </w:r>
        <w:r w:rsidRPr="00873A51">
          <w:rPr>
            <w:sz w:val="20"/>
          </w:rPr>
          <w:fldChar w:fldCharType="end"/>
        </w:r>
      </w:p>
    </w:sdtContent>
  </w:sdt>
  <w:p w14:paraId="52CE4365" w14:textId="77777777" w:rsidR="001268DB" w:rsidRDefault="001268D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E711F" w14:textId="77777777" w:rsidR="00F274EA" w:rsidRDefault="00F274EA">
      <w:pPr>
        <w:spacing w:before="0" w:after="0" w:line="240" w:lineRule="auto"/>
      </w:pPr>
      <w:r>
        <w:separator/>
      </w:r>
    </w:p>
  </w:footnote>
  <w:footnote w:type="continuationSeparator" w:id="0">
    <w:p w14:paraId="48622CA7" w14:textId="77777777" w:rsidR="00F274EA" w:rsidRDefault="00F274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0B57E" w14:textId="7823C9B0" w:rsidR="001268DB" w:rsidRDefault="001268DB">
    <w:pPr>
      <w:pStyle w:val="Cabealho"/>
      <w:jc w:val="right"/>
    </w:pPr>
  </w:p>
  <w:p w14:paraId="356F7306" w14:textId="77777777" w:rsidR="001268DB" w:rsidRDefault="001268D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03FB2"/>
    <w:multiLevelType w:val="hybridMultilevel"/>
    <w:tmpl w:val="85A2FF7E"/>
    <w:lvl w:ilvl="0" w:tplc="362ED99E">
      <w:start w:val="1"/>
      <w:numFmt w:val="bullet"/>
      <w:lvlText w:val="•"/>
      <w:lvlJc w:val="left"/>
      <w:pPr>
        <w:tabs>
          <w:tab w:val="num" w:pos="720"/>
        </w:tabs>
        <w:ind w:left="720" w:hanging="360"/>
      </w:pPr>
      <w:rPr>
        <w:rFonts w:ascii="Arial" w:hAnsi="Arial" w:hint="default"/>
      </w:rPr>
    </w:lvl>
    <w:lvl w:ilvl="1" w:tplc="3E106742" w:tentative="1">
      <w:start w:val="1"/>
      <w:numFmt w:val="bullet"/>
      <w:lvlText w:val="•"/>
      <w:lvlJc w:val="left"/>
      <w:pPr>
        <w:tabs>
          <w:tab w:val="num" w:pos="1440"/>
        </w:tabs>
        <w:ind w:left="1440" w:hanging="360"/>
      </w:pPr>
      <w:rPr>
        <w:rFonts w:ascii="Arial" w:hAnsi="Arial" w:hint="default"/>
      </w:rPr>
    </w:lvl>
    <w:lvl w:ilvl="2" w:tplc="C35E5EDE" w:tentative="1">
      <w:start w:val="1"/>
      <w:numFmt w:val="bullet"/>
      <w:lvlText w:val="•"/>
      <w:lvlJc w:val="left"/>
      <w:pPr>
        <w:tabs>
          <w:tab w:val="num" w:pos="2160"/>
        </w:tabs>
        <w:ind w:left="2160" w:hanging="360"/>
      </w:pPr>
      <w:rPr>
        <w:rFonts w:ascii="Arial" w:hAnsi="Arial" w:hint="default"/>
      </w:rPr>
    </w:lvl>
    <w:lvl w:ilvl="3" w:tplc="F03A643E" w:tentative="1">
      <w:start w:val="1"/>
      <w:numFmt w:val="bullet"/>
      <w:lvlText w:val="•"/>
      <w:lvlJc w:val="left"/>
      <w:pPr>
        <w:tabs>
          <w:tab w:val="num" w:pos="2880"/>
        </w:tabs>
        <w:ind w:left="2880" w:hanging="360"/>
      </w:pPr>
      <w:rPr>
        <w:rFonts w:ascii="Arial" w:hAnsi="Arial" w:hint="default"/>
      </w:rPr>
    </w:lvl>
    <w:lvl w:ilvl="4" w:tplc="30F8FD9A" w:tentative="1">
      <w:start w:val="1"/>
      <w:numFmt w:val="bullet"/>
      <w:lvlText w:val="•"/>
      <w:lvlJc w:val="left"/>
      <w:pPr>
        <w:tabs>
          <w:tab w:val="num" w:pos="3600"/>
        </w:tabs>
        <w:ind w:left="3600" w:hanging="360"/>
      </w:pPr>
      <w:rPr>
        <w:rFonts w:ascii="Arial" w:hAnsi="Arial" w:hint="default"/>
      </w:rPr>
    </w:lvl>
    <w:lvl w:ilvl="5" w:tplc="BF2ED23E" w:tentative="1">
      <w:start w:val="1"/>
      <w:numFmt w:val="bullet"/>
      <w:lvlText w:val="•"/>
      <w:lvlJc w:val="left"/>
      <w:pPr>
        <w:tabs>
          <w:tab w:val="num" w:pos="4320"/>
        </w:tabs>
        <w:ind w:left="4320" w:hanging="360"/>
      </w:pPr>
      <w:rPr>
        <w:rFonts w:ascii="Arial" w:hAnsi="Arial" w:hint="default"/>
      </w:rPr>
    </w:lvl>
    <w:lvl w:ilvl="6" w:tplc="53A079B6" w:tentative="1">
      <w:start w:val="1"/>
      <w:numFmt w:val="bullet"/>
      <w:lvlText w:val="•"/>
      <w:lvlJc w:val="left"/>
      <w:pPr>
        <w:tabs>
          <w:tab w:val="num" w:pos="5040"/>
        </w:tabs>
        <w:ind w:left="5040" w:hanging="360"/>
      </w:pPr>
      <w:rPr>
        <w:rFonts w:ascii="Arial" w:hAnsi="Arial" w:hint="default"/>
      </w:rPr>
    </w:lvl>
    <w:lvl w:ilvl="7" w:tplc="CA10766C" w:tentative="1">
      <w:start w:val="1"/>
      <w:numFmt w:val="bullet"/>
      <w:lvlText w:val="•"/>
      <w:lvlJc w:val="left"/>
      <w:pPr>
        <w:tabs>
          <w:tab w:val="num" w:pos="5760"/>
        </w:tabs>
        <w:ind w:left="5760" w:hanging="360"/>
      </w:pPr>
      <w:rPr>
        <w:rFonts w:ascii="Arial" w:hAnsi="Arial" w:hint="default"/>
      </w:rPr>
    </w:lvl>
    <w:lvl w:ilvl="8" w:tplc="90AECAC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7B"/>
    <w:rsid w:val="000127FC"/>
    <w:rsid w:val="000170EB"/>
    <w:rsid w:val="00020C9E"/>
    <w:rsid w:val="00026A58"/>
    <w:rsid w:val="000275A0"/>
    <w:rsid w:val="00041102"/>
    <w:rsid w:val="00051770"/>
    <w:rsid w:val="0005502F"/>
    <w:rsid w:val="0008257C"/>
    <w:rsid w:val="00086BB2"/>
    <w:rsid w:val="000A4173"/>
    <w:rsid w:val="000A6790"/>
    <w:rsid w:val="000B1928"/>
    <w:rsid w:val="000B4398"/>
    <w:rsid w:val="000E126E"/>
    <w:rsid w:val="000F2FA1"/>
    <w:rsid w:val="00106054"/>
    <w:rsid w:val="00106F38"/>
    <w:rsid w:val="001268DB"/>
    <w:rsid w:val="001269CD"/>
    <w:rsid w:val="00136448"/>
    <w:rsid w:val="00140478"/>
    <w:rsid w:val="00161701"/>
    <w:rsid w:val="001654B6"/>
    <w:rsid w:val="0017202E"/>
    <w:rsid w:val="00173378"/>
    <w:rsid w:val="00175B40"/>
    <w:rsid w:val="001827E7"/>
    <w:rsid w:val="00182F9D"/>
    <w:rsid w:val="001B1746"/>
    <w:rsid w:val="001C111F"/>
    <w:rsid w:val="001C2BD8"/>
    <w:rsid w:val="001C5AE8"/>
    <w:rsid w:val="001D5BE2"/>
    <w:rsid w:val="00203E93"/>
    <w:rsid w:val="00205CF7"/>
    <w:rsid w:val="00210A16"/>
    <w:rsid w:val="002118B7"/>
    <w:rsid w:val="00216242"/>
    <w:rsid w:val="00224388"/>
    <w:rsid w:val="00236B67"/>
    <w:rsid w:val="00245A5A"/>
    <w:rsid w:val="00256978"/>
    <w:rsid w:val="00270DE1"/>
    <w:rsid w:val="00274860"/>
    <w:rsid w:val="002772EE"/>
    <w:rsid w:val="00283D44"/>
    <w:rsid w:val="002D20FD"/>
    <w:rsid w:val="002E04DA"/>
    <w:rsid w:val="002E1262"/>
    <w:rsid w:val="002E3775"/>
    <w:rsid w:val="002E5657"/>
    <w:rsid w:val="002E7976"/>
    <w:rsid w:val="002F1932"/>
    <w:rsid w:val="002F2F93"/>
    <w:rsid w:val="00300A66"/>
    <w:rsid w:val="003263DD"/>
    <w:rsid w:val="003264A9"/>
    <w:rsid w:val="00332557"/>
    <w:rsid w:val="0033510D"/>
    <w:rsid w:val="003424F0"/>
    <w:rsid w:val="00356C7B"/>
    <w:rsid w:val="0035774C"/>
    <w:rsid w:val="003607C9"/>
    <w:rsid w:val="003634E4"/>
    <w:rsid w:val="00366640"/>
    <w:rsid w:val="00377D7D"/>
    <w:rsid w:val="00383A93"/>
    <w:rsid w:val="003A545B"/>
    <w:rsid w:val="003A556F"/>
    <w:rsid w:val="003B0C6B"/>
    <w:rsid w:val="003B1AA1"/>
    <w:rsid w:val="003F3A94"/>
    <w:rsid w:val="003F3C77"/>
    <w:rsid w:val="00401706"/>
    <w:rsid w:val="0040252A"/>
    <w:rsid w:val="004159BC"/>
    <w:rsid w:val="00426EA4"/>
    <w:rsid w:val="00440610"/>
    <w:rsid w:val="00445E03"/>
    <w:rsid w:val="004460D2"/>
    <w:rsid w:val="0045792E"/>
    <w:rsid w:val="00470D63"/>
    <w:rsid w:val="004725D4"/>
    <w:rsid w:val="004850DE"/>
    <w:rsid w:val="00487EA0"/>
    <w:rsid w:val="004A1514"/>
    <w:rsid w:val="004E62ED"/>
    <w:rsid w:val="004E7075"/>
    <w:rsid w:val="00503C7E"/>
    <w:rsid w:val="00513D13"/>
    <w:rsid w:val="0051406C"/>
    <w:rsid w:val="00514AF7"/>
    <w:rsid w:val="00514FCF"/>
    <w:rsid w:val="00520BB0"/>
    <w:rsid w:val="00537C44"/>
    <w:rsid w:val="005618FE"/>
    <w:rsid w:val="005722E9"/>
    <w:rsid w:val="00573C8D"/>
    <w:rsid w:val="005762BE"/>
    <w:rsid w:val="00584B74"/>
    <w:rsid w:val="005A71F3"/>
    <w:rsid w:val="005B30AD"/>
    <w:rsid w:val="005E5094"/>
    <w:rsid w:val="005F7EC1"/>
    <w:rsid w:val="006016BB"/>
    <w:rsid w:val="00647E1B"/>
    <w:rsid w:val="00647E6C"/>
    <w:rsid w:val="006A3407"/>
    <w:rsid w:val="006B07C8"/>
    <w:rsid w:val="006B0A3C"/>
    <w:rsid w:val="006B1E9C"/>
    <w:rsid w:val="006C5513"/>
    <w:rsid w:val="006D0B1F"/>
    <w:rsid w:val="006D7BD3"/>
    <w:rsid w:val="006E2F46"/>
    <w:rsid w:val="006E7E18"/>
    <w:rsid w:val="006F1C2B"/>
    <w:rsid w:val="0070532B"/>
    <w:rsid w:val="007330EA"/>
    <w:rsid w:val="00764594"/>
    <w:rsid w:val="007714EB"/>
    <w:rsid w:val="007A7873"/>
    <w:rsid w:val="007B6A07"/>
    <w:rsid w:val="007D6B21"/>
    <w:rsid w:val="007D7B82"/>
    <w:rsid w:val="007E446E"/>
    <w:rsid w:val="0080143A"/>
    <w:rsid w:val="00807F43"/>
    <w:rsid w:val="00820105"/>
    <w:rsid w:val="00825784"/>
    <w:rsid w:val="008262B8"/>
    <w:rsid w:val="008271C8"/>
    <w:rsid w:val="00836E44"/>
    <w:rsid w:val="00840CEC"/>
    <w:rsid w:val="00854A6A"/>
    <w:rsid w:val="008643BB"/>
    <w:rsid w:val="008703F0"/>
    <w:rsid w:val="00873A51"/>
    <w:rsid w:val="00875AA4"/>
    <w:rsid w:val="008B5C9D"/>
    <w:rsid w:val="008D0D70"/>
    <w:rsid w:val="008D36E7"/>
    <w:rsid w:val="008D6473"/>
    <w:rsid w:val="008F5DAB"/>
    <w:rsid w:val="009300FD"/>
    <w:rsid w:val="00944F1D"/>
    <w:rsid w:val="00946004"/>
    <w:rsid w:val="00954655"/>
    <w:rsid w:val="00962262"/>
    <w:rsid w:val="009A103C"/>
    <w:rsid w:val="009A49C3"/>
    <w:rsid w:val="009B44F8"/>
    <w:rsid w:val="009B7C76"/>
    <w:rsid w:val="009C231B"/>
    <w:rsid w:val="009C26B0"/>
    <w:rsid w:val="009D0E0E"/>
    <w:rsid w:val="00A10999"/>
    <w:rsid w:val="00A27A95"/>
    <w:rsid w:val="00A37434"/>
    <w:rsid w:val="00A37758"/>
    <w:rsid w:val="00A4404E"/>
    <w:rsid w:val="00A54D28"/>
    <w:rsid w:val="00A7445A"/>
    <w:rsid w:val="00A80A77"/>
    <w:rsid w:val="00A82018"/>
    <w:rsid w:val="00A94A19"/>
    <w:rsid w:val="00AB74B0"/>
    <w:rsid w:val="00AC1D9A"/>
    <w:rsid w:val="00AC397C"/>
    <w:rsid w:val="00AE50BA"/>
    <w:rsid w:val="00AF4BCC"/>
    <w:rsid w:val="00B0383C"/>
    <w:rsid w:val="00B0739C"/>
    <w:rsid w:val="00B21000"/>
    <w:rsid w:val="00B21DE5"/>
    <w:rsid w:val="00B34A1C"/>
    <w:rsid w:val="00B42D52"/>
    <w:rsid w:val="00B43176"/>
    <w:rsid w:val="00B4465A"/>
    <w:rsid w:val="00B452C7"/>
    <w:rsid w:val="00B55FBD"/>
    <w:rsid w:val="00B80A6D"/>
    <w:rsid w:val="00B93C06"/>
    <w:rsid w:val="00B950EA"/>
    <w:rsid w:val="00B96010"/>
    <w:rsid w:val="00B962F3"/>
    <w:rsid w:val="00BA2BA5"/>
    <w:rsid w:val="00BB7827"/>
    <w:rsid w:val="00BC73E8"/>
    <w:rsid w:val="00BD201E"/>
    <w:rsid w:val="00BE39BA"/>
    <w:rsid w:val="00BF6AD0"/>
    <w:rsid w:val="00C07D28"/>
    <w:rsid w:val="00C129D8"/>
    <w:rsid w:val="00C16539"/>
    <w:rsid w:val="00C225B2"/>
    <w:rsid w:val="00C311B2"/>
    <w:rsid w:val="00C3198E"/>
    <w:rsid w:val="00C31F2B"/>
    <w:rsid w:val="00C36FC7"/>
    <w:rsid w:val="00C5568E"/>
    <w:rsid w:val="00C70C6E"/>
    <w:rsid w:val="00C71E60"/>
    <w:rsid w:val="00C910A6"/>
    <w:rsid w:val="00C9750A"/>
    <w:rsid w:val="00CD524E"/>
    <w:rsid w:val="00CE53F7"/>
    <w:rsid w:val="00CF413D"/>
    <w:rsid w:val="00CF5C7C"/>
    <w:rsid w:val="00D06138"/>
    <w:rsid w:val="00D17319"/>
    <w:rsid w:val="00D323D8"/>
    <w:rsid w:val="00D338BB"/>
    <w:rsid w:val="00D4453F"/>
    <w:rsid w:val="00D51F63"/>
    <w:rsid w:val="00D56B24"/>
    <w:rsid w:val="00D64447"/>
    <w:rsid w:val="00D70978"/>
    <w:rsid w:val="00D70E9B"/>
    <w:rsid w:val="00D72225"/>
    <w:rsid w:val="00D74689"/>
    <w:rsid w:val="00D74F90"/>
    <w:rsid w:val="00D83274"/>
    <w:rsid w:val="00D92324"/>
    <w:rsid w:val="00D97104"/>
    <w:rsid w:val="00DB07E0"/>
    <w:rsid w:val="00DB1793"/>
    <w:rsid w:val="00DB3229"/>
    <w:rsid w:val="00DB325B"/>
    <w:rsid w:val="00DC6564"/>
    <w:rsid w:val="00DD5D1F"/>
    <w:rsid w:val="00DF3672"/>
    <w:rsid w:val="00E1688C"/>
    <w:rsid w:val="00E3204E"/>
    <w:rsid w:val="00E3308D"/>
    <w:rsid w:val="00E45D5A"/>
    <w:rsid w:val="00E46FBC"/>
    <w:rsid w:val="00E47B46"/>
    <w:rsid w:val="00E51A9A"/>
    <w:rsid w:val="00E65025"/>
    <w:rsid w:val="00E664B1"/>
    <w:rsid w:val="00E70032"/>
    <w:rsid w:val="00E7044E"/>
    <w:rsid w:val="00E74441"/>
    <w:rsid w:val="00EC26F1"/>
    <w:rsid w:val="00ED59A0"/>
    <w:rsid w:val="00EF48B3"/>
    <w:rsid w:val="00EF5DE0"/>
    <w:rsid w:val="00F12671"/>
    <w:rsid w:val="00F274EA"/>
    <w:rsid w:val="00F376B0"/>
    <w:rsid w:val="00F40152"/>
    <w:rsid w:val="00F50AA4"/>
    <w:rsid w:val="00F65806"/>
    <w:rsid w:val="00F67381"/>
    <w:rsid w:val="00F7061B"/>
    <w:rsid w:val="00F749D3"/>
    <w:rsid w:val="00F82CB0"/>
    <w:rsid w:val="00F83B4B"/>
    <w:rsid w:val="00F95C0F"/>
    <w:rsid w:val="00FB23CC"/>
    <w:rsid w:val="00FB77EF"/>
    <w:rsid w:val="00FC091A"/>
    <w:rsid w:val="00FC765F"/>
    <w:rsid w:val="00FD12B8"/>
    <w:rsid w:val="00FE3A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086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BNT Texto"/>
    <w:qFormat/>
    <w:rsid w:val="00356C7B"/>
    <w:pPr>
      <w:spacing w:before="240" w:after="320" w:line="360" w:lineRule="auto"/>
      <w:jc w:val="both"/>
    </w:pPr>
    <w:rPr>
      <w:rFonts w:ascii="Times New Roman" w:eastAsiaTheme="minorEastAsia" w:hAnsi="Times New Roman"/>
      <w:sz w:val="24"/>
      <w:lang w:val="en-US" w:bidi="en-US"/>
    </w:rPr>
  </w:style>
  <w:style w:type="paragraph" w:styleId="Ttulo1">
    <w:name w:val="heading 1"/>
    <w:basedOn w:val="Normal"/>
    <w:next w:val="Normal"/>
    <w:link w:val="Ttulo1Char"/>
    <w:uiPriority w:val="9"/>
    <w:qFormat/>
    <w:rsid w:val="00356C7B"/>
    <w:pPr>
      <w:spacing w:before="480" w:after="0"/>
      <w:contextualSpacing/>
      <w:outlineLvl w:val="0"/>
    </w:pPr>
    <w:rPr>
      <w:rFonts w:asciiTheme="majorHAnsi" w:eastAsiaTheme="majorEastAsia" w:hAnsiTheme="majorHAnsi" w:cstheme="majorBidi"/>
      <w:b/>
      <w:bCs/>
      <w:sz w:val="28"/>
      <w:szCs w:val="28"/>
    </w:rPr>
  </w:style>
  <w:style w:type="paragraph" w:styleId="Ttulo2">
    <w:name w:val="heading 2"/>
    <w:aliases w:val="ABNT Título"/>
    <w:basedOn w:val="Normal"/>
    <w:next w:val="Normal"/>
    <w:link w:val="Ttulo2Char"/>
    <w:uiPriority w:val="9"/>
    <w:unhideWhenUsed/>
    <w:qFormat/>
    <w:rsid w:val="00356C7B"/>
    <w:pPr>
      <w:spacing w:before="200" w:after="0"/>
      <w:outlineLvl w:val="1"/>
    </w:pPr>
    <w:rPr>
      <w:rFonts w:eastAsiaTheme="majorEastAsia" w:cstheme="majorBidi"/>
      <w:b/>
      <w:bCs/>
      <w:szCs w:val="26"/>
    </w:rPr>
  </w:style>
  <w:style w:type="paragraph" w:styleId="Ttulo3">
    <w:name w:val="heading 3"/>
    <w:basedOn w:val="Normal"/>
    <w:next w:val="Normal"/>
    <w:link w:val="Ttulo3Char"/>
    <w:uiPriority w:val="9"/>
    <w:semiHidden/>
    <w:unhideWhenUsed/>
    <w:qFormat/>
    <w:rsid w:val="00356C7B"/>
    <w:pPr>
      <w:spacing w:before="200" w:after="0" w:line="271" w:lineRule="auto"/>
      <w:outlineLvl w:val="2"/>
    </w:pPr>
    <w:rPr>
      <w:rFonts w:asciiTheme="majorHAnsi" w:eastAsiaTheme="majorEastAsia" w:hAnsiTheme="majorHAnsi" w:cstheme="majorBidi"/>
      <w:b/>
      <w:bCs/>
    </w:rPr>
  </w:style>
  <w:style w:type="paragraph" w:styleId="Ttulo4">
    <w:name w:val="heading 4"/>
    <w:basedOn w:val="Normal"/>
    <w:next w:val="Normal"/>
    <w:link w:val="Ttulo4Char"/>
    <w:uiPriority w:val="9"/>
    <w:semiHidden/>
    <w:unhideWhenUsed/>
    <w:qFormat/>
    <w:rsid w:val="00356C7B"/>
    <w:pPr>
      <w:spacing w:before="200" w:after="0"/>
      <w:outlineLvl w:val="3"/>
    </w:pPr>
    <w:rPr>
      <w:rFonts w:asciiTheme="majorHAnsi" w:eastAsiaTheme="majorEastAsia" w:hAnsiTheme="majorHAnsi" w:cstheme="majorBidi"/>
      <w:b/>
      <w:bCs/>
      <w:i/>
      <w:iCs/>
    </w:rPr>
  </w:style>
  <w:style w:type="paragraph" w:styleId="Ttulo5">
    <w:name w:val="heading 5"/>
    <w:basedOn w:val="Normal"/>
    <w:next w:val="Normal"/>
    <w:link w:val="Ttulo5Char"/>
    <w:uiPriority w:val="9"/>
    <w:semiHidden/>
    <w:unhideWhenUsed/>
    <w:qFormat/>
    <w:rsid w:val="00356C7B"/>
    <w:pPr>
      <w:spacing w:before="200" w:after="0"/>
      <w:outlineLvl w:val="4"/>
    </w:pPr>
    <w:rPr>
      <w:rFonts w:asciiTheme="majorHAnsi" w:eastAsiaTheme="majorEastAsia" w:hAnsiTheme="majorHAnsi" w:cstheme="majorBidi"/>
      <w:b/>
      <w:bCs/>
      <w:color w:val="7F7F7F" w:themeColor="text1" w:themeTint="80"/>
    </w:rPr>
  </w:style>
  <w:style w:type="paragraph" w:styleId="Ttulo6">
    <w:name w:val="heading 6"/>
    <w:basedOn w:val="Normal"/>
    <w:next w:val="Normal"/>
    <w:link w:val="Ttulo6Char"/>
    <w:uiPriority w:val="9"/>
    <w:semiHidden/>
    <w:unhideWhenUsed/>
    <w:qFormat/>
    <w:rsid w:val="00356C7B"/>
    <w:pPr>
      <w:spacing w:after="0" w:line="271" w:lineRule="auto"/>
      <w:outlineLvl w:val="5"/>
    </w:pPr>
    <w:rPr>
      <w:rFonts w:asciiTheme="majorHAnsi" w:eastAsiaTheme="majorEastAsia" w:hAnsiTheme="majorHAnsi" w:cstheme="majorBidi"/>
      <w:b/>
      <w:bCs/>
      <w:i/>
      <w:iCs/>
      <w:color w:val="7F7F7F" w:themeColor="text1" w:themeTint="80"/>
    </w:rPr>
  </w:style>
  <w:style w:type="paragraph" w:styleId="Ttulo7">
    <w:name w:val="heading 7"/>
    <w:basedOn w:val="Normal"/>
    <w:next w:val="Normal"/>
    <w:link w:val="Ttulo7Char"/>
    <w:uiPriority w:val="9"/>
    <w:semiHidden/>
    <w:unhideWhenUsed/>
    <w:qFormat/>
    <w:rsid w:val="00356C7B"/>
    <w:pPr>
      <w:spacing w:after="0"/>
      <w:outlineLvl w:val="6"/>
    </w:pPr>
    <w:rPr>
      <w:rFonts w:asciiTheme="majorHAnsi" w:eastAsiaTheme="majorEastAsia" w:hAnsiTheme="majorHAnsi" w:cstheme="majorBidi"/>
      <w:i/>
      <w:iCs/>
    </w:rPr>
  </w:style>
  <w:style w:type="paragraph" w:styleId="Ttulo8">
    <w:name w:val="heading 8"/>
    <w:basedOn w:val="Normal"/>
    <w:next w:val="Normal"/>
    <w:link w:val="Ttulo8Char"/>
    <w:uiPriority w:val="9"/>
    <w:semiHidden/>
    <w:unhideWhenUsed/>
    <w:qFormat/>
    <w:rsid w:val="00356C7B"/>
    <w:pPr>
      <w:spacing w:after="0"/>
      <w:outlineLvl w:val="7"/>
    </w:pPr>
    <w:rPr>
      <w:rFonts w:asciiTheme="majorHAnsi" w:eastAsiaTheme="majorEastAsia" w:hAnsiTheme="majorHAnsi" w:cstheme="majorBidi"/>
      <w:sz w:val="20"/>
      <w:szCs w:val="20"/>
    </w:rPr>
  </w:style>
  <w:style w:type="paragraph" w:styleId="Ttulo9">
    <w:name w:val="heading 9"/>
    <w:basedOn w:val="Normal"/>
    <w:next w:val="Normal"/>
    <w:link w:val="Ttulo9Char"/>
    <w:uiPriority w:val="9"/>
    <w:semiHidden/>
    <w:unhideWhenUsed/>
    <w:qFormat/>
    <w:rsid w:val="00356C7B"/>
    <w:pPr>
      <w:spacing w:after="0"/>
      <w:outlineLvl w:val="8"/>
    </w:pPr>
    <w:rPr>
      <w:rFonts w:asciiTheme="majorHAnsi" w:eastAsiaTheme="majorEastAsia" w:hAnsiTheme="majorHAnsi" w:cstheme="majorBidi"/>
      <w:i/>
      <w:iCs/>
      <w:spacing w:val="5"/>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56C7B"/>
    <w:rPr>
      <w:rFonts w:asciiTheme="majorHAnsi" w:eastAsiaTheme="majorEastAsia" w:hAnsiTheme="majorHAnsi" w:cstheme="majorBidi"/>
      <w:b/>
      <w:bCs/>
      <w:sz w:val="28"/>
      <w:szCs w:val="28"/>
      <w:lang w:val="en-US" w:bidi="en-US"/>
    </w:rPr>
  </w:style>
  <w:style w:type="character" w:customStyle="1" w:styleId="Ttulo2Char">
    <w:name w:val="Título 2 Char"/>
    <w:aliases w:val="ABNT Título Char"/>
    <w:basedOn w:val="Fontepargpadro"/>
    <w:link w:val="Ttulo2"/>
    <w:uiPriority w:val="9"/>
    <w:rsid w:val="00356C7B"/>
    <w:rPr>
      <w:rFonts w:ascii="Times New Roman" w:eastAsiaTheme="majorEastAsia" w:hAnsi="Times New Roman" w:cstheme="majorBidi"/>
      <w:b/>
      <w:bCs/>
      <w:sz w:val="24"/>
      <w:szCs w:val="26"/>
      <w:lang w:val="en-US" w:bidi="en-US"/>
    </w:rPr>
  </w:style>
  <w:style w:type="character" w:customStyle="1" w:styleId="Ttulo3Char">
    <w:name w:val="Título 3 Char"/>
    <w:basedOn w:val="Fontepargpadro"/>
    <w:link w:val="Ttulo3"/>
    <w:uiPriority w:val="9"/>
    <w:semiHidden/>
    <w:rsid w:val="00356C7B"/>
    <w:rPr>
      <w:rFonts w:asciiTheme="majorHAnsi" w:eastAsiaTheme="majorEastAsia" w:hAnsiTheme="majorHAnsi" w:cstheme="majorBidi"/>
      <w:b/>
      <w:bCs/>
      <w:sz w:val="24"/>
      <w:lang w:val="en-US" w:bidi="en-US"/>
    </w:rPr>
  </w:style>
  <w:style w:type="character" w:customStyle="1" w:styleId="Ttulo4Char">
    <w:name w:val="Título 4 Char"/>
    <w:basedOn w:val="Fontepargpadro"/>
    <w:link w:val="Ttulo4"/>
    <w:uiPriority w:val="9"/>
    <w:semiHidden/>
    <w:rsid w:val="00356C7B"/>
    <w:rPr>
      <w:rFonts w:asciiTheme="majorHAnsi" w:eastAsiaTheme="majorEastAsia" w:hAnsiTheme="majorHAnsi" w:cstheme="majorBidi"/>
      <w:b/>
      <w:bCs/>
      <w:i/>
      <w:iCs/>
      <w:sz w:val="24"/>
      <w:lang w:val="en-US" w:bidi="en-US"/>
    </w:rPr>
  </w:style>
  <w:style w:type="character" w:customStyle="1" w:styleId="Ttulo5Char">
    <w:name w:val="Título 5 Char"/>
    <w:basedOn w:val="Fontepargpadro"/>
    <w:link w:val="Ttulo5"/>
    <w:uiPriority w:val="9"/>
    <w:semiHidden/>
    <w:rsid w:val="00356C7B"/>
    <w:rPr>
      <w:rFonts w:asciiTheme="majorHAnsi" w:eastAsiaTheme="majorEastAsia" w:hAnsiTheme="majorHAnsi" w:cstheme="majorBidi"/>
      <w:b/>
      <w:bCs/>
      <w:color w:val="7F7F7F" w:themeColor="text1" w:themeTint="80"/>
      <w:sz w:val="24"/>
      <w:lang w:val="en-US" w:bidi="en-US"/>
    </w:rPr>
  </w:style>
  <w:style w:type="character" w:customStyle="1" w:styleId="Ttulo6Char">
    <w:name w:val="Título 6 Char"/>
    <w:basedOn w:val="Fontepargpadro"/>
    <w:link w:val="Ttulo6"/>
    <w:uiPriority w:val="9"/>
    <w:semiHidden/>
    <w:rsid w:val="00356C7B"/>
    <w:rPr>
      <w:rFonts w:asciiTheme="majorHAnsi" w:eastAsiaTheme="majorEastAsia" w:hAnsiTheme="majorHAnsi" w:cstheme="majorBidi"/>
      <w:b/>
      <w:bCs/>
      <w:i/>
      <w:iCs/>
      <w:color w:val="7F7F7F" w:themeColor="text1" w:themeTint="80"/>
      <w:sz w:val="24"/>
      <w:lang w:val="en-US" w:bidi="en-US"/>
    </w:rPr>
  </w:style>
  <w:style w:type="character" w:customStyle="1" w:styleId="Ttulo7Char">
    <w:name w:val="Título 7 Char"/>
    <w:basedOn w:val="Fontepargpadro"/>
    <w:link w:val="Ttulo7"/>
    <w:uiPriority w:val="9"/>
    <w:semiHidden/>
    <w:rsid w:val="00356C7B"/>
    <w:rPr>
      <w:rFonts w:asciiTheme="majorHAnsi" w:eastAsiaTheme="majorEastAsia" w:hAnsiTheme="majorHAnsi" w:cstheme="majorBidi"/>
      <w:i/>
      <w:iCs/>
      <w:sz w:val="24"/>
      <w:lang w:val="en-US" w:bidi="en-US"/>
    </w:rPr>
  </w:style>
  <w:style w:type="character" w:customStyle="1" w:styleId="Ttulo8Char">
    <w:name w:val="Título 8 Char"/>
    <w:basedOn w:val="Fontepargpadro"/>
    <w:link w:val="Ttulo8"/>
    <w:uiPriority w:val="9"/>
    <w:semiHidden/>
    <w:rsid w:val="00356C7B"/>
    <w:rPr>
      <w:rFonts w:asciiTheme="majorHAnsi" w:eastAsiaTheme="majorEastAsia" w:hAnsiTheme="majorHAnsi" w:cstheme="majorBidi"/>
      <w:sz w:val="20"/>
      <w:szCs w:val="20"/>
      <w:lang w:val="en-US" w:bidi="en-US"/>
    </w:rPr>
  </w:style>
  <w:style w:type="character" w:customStyle="1" w:styleId="Ttulo9Char">
    <w:name w:val="Título 9 Char"/>
    <w:basedOn w:val="Fontepargpadro"/>
    <w:link w:val="Ttulo9"/>
    <w:uiPriority w:val="9"/>
    <w:semiHidden/>
    <w:rsid w:val="00356C7B"/>
    <w:rPr>
      <w:rFonts w:asciiTheme="majorHAnsi" w:eastAsiaTheme="majorEastAsia" w:hAnsiTheme="majorHAnsi" w:cstheme="majorBidi"/>
      <w:i/>
      <w:iCs/>
      <w:spacing w:val="5"/>
      <w:sz w:val="20"/>
      <w:szCs w:val="20"/>
      <w:lang w:val="en-US" w:bidi="en-US"/>
    </w:rPr>
  </w:style>
  <w:style w:type="paragraph" w:styleId="Subttulo">
    <w:name w:val="Subtitle"/>
    <w:basedOn w:val="Normal"/>
    <w:next w:val="Normal"/>
    <w:link w:val="SubttuloChar"/>
    <w:uiPriority w:val="11"/>
    <w:qFormat/>
    <w:rsid w:val="00356C7B"/>
    <w:pPr>
      <w:spacing w:after="600"/>
    </w:pPr>
    <w:rPr>
      <w:rFonts w:asciiTheme="majorHAnsi" w:eastAsiaTheme="majorEastAsia" w:hAnsiTheme="majorHAnsi" w:cstheme="majorBidi"/>
      <w:i/>
      <w:iCs/>
      <w:spacing w:val="13"/>
      <w:szCs w:val="24"/>
    </w:rPr>
  </w:style>
  <w:style w:type="character" w:customStyle="1" w:styleId="SubttuloChar">
    <w:name w:val="Subtítulo Char"/>
    <w:basedOn w:val="Fontepargpadro"/>
    <w:link w:val="Subttulo"/>
    <w:uiPriority w:val="11"/>
    <w:rsid w:val="00356C7B"/>
    <w:rPr>
      <w:rFonts w:asciiTheme="majorHAnsi" w:eastAsiaTheme="majorEastAsia" w:hAnsiTheme="majorHAnsi" w:cstheme="majorBidi"/>
      <w:i/>
      <w:iCs/>
      <w:spacing w:val="13"/>
      <w:sz w:val="24"/>
      <w:szCs w:val="24"/>
      <w:lang w:val="en-US" w:bidi="en-US"/>
    </w:rPr>
  </w:style>
  <w:style w:type="paragraph" w:styleId="Ttulo">
    <w:name w:val="Title"/>
    <w:basedOn w:val="Normal"/>
    <w:next w:val="Normal"/>
    <w:link w:val="TtuloChar"/>
    <w:uiPriority w:val="10"/>
    <w:qFormat/>
    <w:rsid w:val="00356C7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tuloChar">
    <w:name w:val="Título Char"/>
    <w:basedOn w:val="Fontepargpadro"/>
    <w:link w:val="Ttulo"/>
    <w:uiPriority w:val="10"/>
    <w:rsid w:val="00356C7B"/>
    <w:rPr>
      <w:rFonts w:asciiTheme="majorHAnsi" w:eastAsiaTheme="majorEastAsia" w:hAnsiTheme="majorHAnsi" w:cstheme="majorBidi"/>
      <w:spacing w:val="5"/>
      <w:sz w:val="52"/>
      <w:szCs w:val="52"/>
      <w:lang w:val="en-US" w:bidi="en-US"/>
    </w:rPr>
  </w:style>
  <w:style w:type="character" w:styleId="Forte">
    <w:name w:val="Strong"/>
    <w:uiPriority w:val="22"/>
    <w:qFormat/>
    <w:rsid w:val="00356C7B"/>
    <w:rPr>
      <w:b/>
      <w:bCs/>
    </w:rPr>
  </w:style>
  <w:style w:type="character" w:styleId="nfase">
    <w:name w:val="Emphasis"/>
    <w:uiPriority w:val="20"/>
    <w:qFormat/>
    <w:rsid w:val="00356C7B"/>
    <w:rPr>
      <w:b/>
      <w:bCs/>
      <w:i/>
      <w:iCs/>
      <w:spacing w:val="10"/>
      <w:bdr w:val="none" w:sz="0" w:space="0" w:color="auto"/>
      <w:shd w:val="clear" w:color="auto" w:fill="auto"/>
    </w:rPr>
  </w:style>
  <w:style w:type="paragraph" w:styleId="SemEspaamento">
    <w:name w:val="No Spacing"/>
    <w:aliases w:val="APA"/>
    <w:basedOn w:val="Normal"/>
    <w:link w:val="SemEspaamentoChar"/>
    <w:uiPriority w:val="1"/>
    <w:qFormat/>
    <w:rsid w:val="00356C7B"/>
    <w:pPr>
      <w:spacing w:before="0" w:after="0" w:line="240" w:lineRule="auto"/>
      <w:ind w:firstLine="709"/>
    </w:pPr>
  </w:style>
  <w:style w:type="character" w:customStyle="1" w:styleId="SemEspaamentoChar">
    <w:name w:val="Sem Espaçamento Char"/>
    <w:aliases w:val="APA Char"/>
    <w:basedOn w:val="Fontepargpadro"/>
    <w:link w:val="SemEspaamento"/>
    <w:uiPriority w:val="1"/>
    <w:rsid w:val="00356C7B"/>
    <w:rPr>
      <w:rFonts w:ascii="Times New Roman" w:eastAsiaTheme="minorEastAsia" w:hAnsi="Times New Roman"/>
      <w:sz w:val="24"/>
      <w:lang w:val="en-US" w:bidi="en-US"/>
    </w:rPr>
  </w:style>
  <w:style w:type="paragraph" w:styleId="PargrafodaLista">
    <w:name w:val="List Paragraph"/>
    <w:basedOn w:val="Normal"/>
    <w:uiPriority w:val="34"/>
    <w:qFormat/>
    <w:rsid w:val="00356C7B"/>
    <w:pPr>
      <w:ind w:left="720"/>
      <w:contextualSpacing/>
    </w:pPr>
  </w:style>
  <w:style w:type="paragraph" w:styleId="Citao">
    <w:name w:val="Quote"/>
    <w:basedOn w:val="Normal"/>
    <w:next w:val="Normal"/>
    <w:link w:val="CitaoChar"/>
    <w:uiPriority w:val="29"/>
    <w:qFormat/>
    <w:rsid w:val="00356C7B"/>
    <w:pPr>
      <w:spacing w:before="200" w:after="0"/>
      <w:ind w:left="360" w:right="360"/>
    </w:pPr>
    <w:rPr>
      <w:i/>
      <w:iCs/>
    </w:rPr>
  </w:style>
  <w:style w:type="character" w:customStyle="1" w:styleId="CitaoChar">
    <w:name w:val="Citação Char"/>
    <w:basedOn w:val="Fontepargpadro"/>
    <w:link w:val="Citao"/>
    <w:uiPriority w:val="29"/>
    <w:rsid w:val="00356C7B"/>
    <w:rPr>
      <w:rFonts w:ascii="Times New Roman" w:eastAsiaTheme="minorEastAsia" w:hAnsi="Times New Roman"/>
      <w:i/>
      <w:iCs/>
      <w:sz w:val="24"/>
      <w:lang w:val="en-US" w:bidi="en-US"/>
    </w:rPr>
  </w:style>
  <w:style w:type="paragraph" w:styleId="CitaoIntensa">
    <w:name w:val="Intense Quote"/>
    <w:basedOn w:val="Normal"/>
    <w:next w:val="Normal"/>
    <w:link w:val="CitaoIntensaChar"/>
    <w:uiPriority w:val="30"/>
    <w:qFormat/>
    <w:rsid w:val="00356C7B"/>
    <w:pPr>
      <w:pBdr>
        <w:bottom w:val="single" w:sz="4" w:space="1" w:color="auto"/>
      </w:pBdr>
      <w:spacing w:before="200" w:after="280"/>
      <w:ind w:left="1008" w:right="1152"/>
    </w:pPr>
    <w:rPr>
      <w:b/>
      <w:bCs/>
      <w:i/>
      <w:iCs/>
    </w:rPr>
  </w:style>
  <w:style w:type="character" w:customStyle="1" w:styleId="CitaoIntensaChar">
    <w:name w:val="Citação Intensa Char"/>
    <w:basedOn w:val="Fontepargpadro"/>
    <w:link w:val="CitaoIntensa"/>
    <w:uiPriority w:val="30"/>
    <w:rsid w:val="00356C7B"/>
    <w:rPr>
      <w:rFonts w:ascii="Times New Roman" w:eastAsiaTheme="minorEastAsia" w:hAnsi="Times New Roman"/>
      <w:b/>
      <w:bCs/>
      <w:i/>
      <w:iCs/>
      <w:sz w:val="24"/>
      <w:lang w:val="en-US" w:bidi="en-US"/>
    </w:rPr>
  </w:style>
  <w:style w:type="character" w:styleId="nfaseSutil">
    <w:name w:val="Subtle Emphasis"/>
    <w:uiPriority w:val="19"/>
    <w:qFormat/>
    <w:rsid w:val="00356C7B"/>
    <w:rPr>
      <w:i/>
      <w:iCs/>
    </w:rPr>
  </w:style>
  <w:style w:type="character" w:styleId="nfaseIntensa">
    <w:name w:val="Intense Emphasis"/>
    <w:uiPriority w:val="21"/>
    <w:qFormat/>
    <w:rsid w:val="00356C7B"/>
    <w:rPr>
      <w:b/>
      <w:bCs/>
    </w:rPr>
  </w:style>
  <w:style w:type="character" w:styleId="RefernciaSutil">
    <w:name w:val="Subtle Reference"/>
    <w:uiPriority w:val="31"/>
    <w:qFormat/>
    <w:rsid w:val="00356C7B"/>
    <w:rPr>
      <w:smallCaps/>
    </w:rPr>
  </w:style>
  <w:style w:type="character" w:styleId="RefernciaIntensa">
    <w:name w:val="Intense Reference"/>
    <w:uiPriority w:val="32"/>
    <w:qFormat/>
    <w:rsid w:val="00356C7B"/>
    <w:rPr>
      <w:smallCaps/>
      <w:spacing w:val="5"/>
      <w:u w:val="single"/>
    </w:rPr>
  </w:style>
  <w:style w:type="character" w:styleId="TtulodoLivro">
    <w:name w:val="Book Title"/>
    <w:uiPriority w:val="33"/>
    <w:qFormat/>
    <w:rsid w:val="00356C7B"/>
    <w:rPr>
      <w:i/>
      <w:iCs/>
      <w:smallCaps/>
      <w:spacing w:val="5"/>
    </w:rPr>
  </w:style>
  <w:style w:type="paragraph" w:styleId="Cabealho">
    <w:name w:val="header"/>
    <w:basedOn w:val="Normal"/>
    <w:link w:val="CabealhoChar"/>
    <w:uiPriority w:val="99"/>
    <w:unhideWhenUsed/>
    <w:rsid w:val="00356C7B"/>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356C7B"/>
    <w:rPr>
      <w:rFonts w:ascii="Times New Roman" w:eastAsiaTheme="minorEastAsia" w:hAnsi="Times New Roman"/>
      <w:sz w:val="24"/>
      <w:lang w:val="en-US" w:bidi="en-US"/>
    </w:rPr>
  </w:style>
  <w:style w:type="paragraph" w:styleId="Rodap">
    <w:name w:val="footer"/>
    <w:basedOn w:val="Normal"/>
    <w:link w:val="RodapChar"/>
    <w:uiPriority w:val="99"/>
    <w:unhideWhenUsed/>
    <w:rsid w:val="00356C7B"/>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356C7B"/>
    <w:rPr>
      <w:rFonts w:ascii="Times New Roman" w:eastAsiaTheme="minorEastAsia" w:hAnsi="Times New Roman"/>
      <w:sz w:val="24"/>
      <w:lang w:val="en-US" w:bidi="en-US"/>
    </w:rPr>
  </w:style>
  <w:style w:type="character" w:customStyle="1" w:styleId="TextodebaloChar">
    <w:name w:val="Texto de balão Char"/>
    <w:basedOn w:val="Fontepargpadro"/>
    <w:link w:val="Textodebalo"/>
    <w:uiPriority w:val="99"/>
    <w:semiHidden/>
    <w:rsid w:val="00356C7B"/>
    <w:rPr>
      <w:rFonts w:ascii="Tahoma" w:eastAsiaTheme="minorEastAsia" w:hAnsi="Tahoma" w:cs="Tahoma"/>
      <w:sz w:val="16"/>
      <w:szCs w:val="16"/>
      <w:lang w:val="en-US" w:bidi="en-US"/>
    </w:rPr>
  </w:style>
  <w:style w:type="paragraph" w:styleId="Textodebalo">
    <w:name w:val="Balloon Text"/>
    <w:basedOn w:val="Normal"/>
    <w:link w:val="TextodebaloChar"/>
    <w:uiPriority w:val="99"/>
    <w:semiHidden/>
    <w:unhideWhenUsed/>
    <w:rsid w:val="00356C7B"/>
    <w:pPr>
      <w:spacing w:before="0" w:after="0" w:line="240" w:lineRule="auto"/>
    </w:pPr>
    <w:rPr>
      <w:rFonts w:ascii="Tahoma" w:hAnsi="Tahoma" w:cs="Tahoma"/>
      <w:sz w:val="16"/>
      <w:szCs w:val="16"/>
    </w:rPr>
  </w:style>
  <w:style w:type="character" w:styleId="Hyperlink">
    <w:name w:val="Hyperlink"/>
    <w:basedOn w:val="Fontepargpadro"/>
    <w:uiPriority w:val="99"/>
    <w:unhideWhenUsed/>
    <w:rsid w:val="00356C7B"/>
    <w:rPr>
      <w:color w:val="0563C1" w:themeColor="hyperlink"/>
      <w:u w:val="single"/>
    </w:rPr>
  </w:style>
  <w:style w:type="table" w:styleId="Tabelacomgrade">
    <w:name w:val="Table Grid"/>
    <w:basedOn w:val="Tabelanormal"/>
    <w:uiPriority w:val="59"/>
    <w:rsid w:val="0035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BF6AD0"/>
    <w:rPr>
      <w:color w:val="808080"/>
    </w:rPr>
  </w:style>
  <w:style w:type="character" w:styleId="Refdecomentrio">
    <w:name w:val="annotation reference"/>
    <w:basedOn w:val="Fontepargpadro"/>
    <w:uiPriority w:val="99"/>
    <w:semiHidden/>
    <w:unhideWhenUsed/>
    <w:rsid w:val="00BB7827"/>
    <w:rPr>
      <w:sz w:val="16"/>
      <w:szCs w:val="16"/>
    </w:rPr>
  </w:style>
  <w:style w:type="paragraph" w:styleId="Textodecomentrio">
    <w:name w:val="annotation text"/>
    <w:basedOn w:val="Normal"/>
    <w:link w:val="TextodecomentrioChar"/>
    <w:uiPriority w:val="99"/>
    <w:semiHidden/>
    <w:unhideWhenUsed/>
    <w:rsid w:val="00BB782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B7827"/>
    <w:rPr>
      <w:rFonts w:ascii="Times New Roman" w:eastAsiaTheme="minorEastAsia" w:hAnsi="Times New Roman"/>
      <w:sz w:val="20"/>
      <w:szCs w:val="20"/>
      <w:lang w:val="en-US" w:bidi="en-US"/>
    </w:rPr>
  </w:style>
  <w:style w:type="paragraph" w:styleId="Assuntodocomentrio">
    <w:name w:val="annotation subject"/>
    <w:basedOn w:val="Textodecomentrio"/>
    <w:next w:val="Textodecomentrio"/>
    <w:link w:val="AssuntodocomentrioChar"/>
    <w:uiPriority w:val="99"/>
    <w:semiHidden/>
    <w:unhideWhenUsed/>
    <w:rsid w:val="00BB7827"/>
    <w:rPr>
      <w:b/>
      <w:bCs/>
    </w:rPr>
  </w:style>
  <w:style w:type="character" w:customStyle="1" w:styleId="AssuntodocomentrioChar">
    <w:name w:val="Assunto do comentário Char"/>
    <w:basedOn w:val="TextodecomentrioChar"/>
    <w:link w:val="Assuntodocomentrio"/>
    <w:uiPriority w:val="99"/>
    <w:semiHidden/>
    <w:rsid w:val="00BB7827"/>
    <w:rPr>
      <w:rFonts w:ascii="Times New Roman" w:eastAsiaTheme="minorEastAsia" w:hAnsi="Times New Roman"/>
      <w:b/>
      <w:bCs/>
      <w:sz w:val="20"/>
      <w:szCs w:val="20"/>
      <w:lang w:val="en-US" w:bidi="en-US"/>
    </w:rPr>
  </w:style>
  <w:style w:type="paragraph" w:styleId="Reviso">
    <w:name w:val="Revision"/>
    <w:hidden/>
    <w:uiPriority w:val="99"/>
    <w:semiHidden/>
    <w:rsid w:val="0008257C"/>
    <w:pPr>
      <w:spacing w:after="0" w:line="240" w:lineRule="auto"/>
    </w:pPr>
    <w:rPr>
      <w:rFonts w:ascii="Times New Roman" w:eastAsiaTheme="minorEastAsia" w:hAnsi="Times New Roman"/>
      <w:sz w:val="24"/>
      <w:lang w:val="en-US" w:bidi="en-US"/>
    </w:rPr>
  </w:style>
  <w:style w:type="character" w:styleId="MenoPendente">
    <w:name w:val="Unresolved Mention"/>
    <w:basedOn w:val="Fontepargpadro"/>
    <w:uiPriority w:val="99"/>
    <w:semiHidden/>
    <w:unhideWhenUsed/>
    <w:rsid w:val="00FC0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034648">
      <w:bodyDiv w:val="1"/>
      <w:marLeft w:val="0"/>
      <w:marRight w:val="0"/>
      <w:marTop w:val="0"/>
      <w:marBottom w:val="0"/>
      <w:divBdr>
        <w:top w:val="none" w:sz="0" w:space="0" w:color="auto"/>
        <w:left w:val="none" w:sz="0" w:space="0" w:color="auto"/>
        <w:bottom w:val="none" w:sz="0" w:space="0" w:color="auto"/>
        <w:right w:val="none" w:sz="0" w:space="0" w:color="auto"/>
      </w:divBdr>
      <w:divsChild>
        <w:div w:id="1956713634">
          <w:marLeft w:val="0"/>
          <w:marRight w:val="0"/>
          <w:marTop w:val="0"/>
          <w:marBottom w:val="0"/>
          <w:divBdr>
            <w:top w:val="none" w:sz="0" w:space="0" w:color="auto"/>
            <w:left w:val="none" w:sz="0" w:space="0" w:color="auto"/>
            <w:bottom w:val="none" w:sz="0" w:space="0" w:color="auto"/>
            <w:right w:val="none" w:sz="0" w:space="0" w:color="auto"/>
          </w:divBdr>
        </w:div>
      </w:divsChild>
    </w:div>
    <w:div w:id="192140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8369</Words>
  <Characters>45195</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2019-10-12T15:12:00Z</dcterms:created>
  <dcterms:modified xsi:type="dcterms:W3CDTF">2019-10-12T15:32:00Z</dcterms:modified>
</cp:coreProperties>
</file>