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29B9" w14:textId="7801E08B" w:rsidR="007E068E" w:rsidRDefault="000D6355">
      <w:pPr>
        <w:ind w:firstLine="0"/>
        <w:jc w:val="center"/>
        <w:rPr>
          <w:b/>
        </w:rPr>
      </w:pPr>
      <w:r>
        <w:rPr>
          <w:b/>
        </w:rPr>
        <w:t xml:space="preserve">Fatores Determinantes </w:t>
      </w:r>
      <w:r w:rsidR="0026148A">
        <w:rPr>
          <w:b/>
        </w:rPr>
        <w:t>n</w:t>
      </w:r>
      <w:r w:rsidR="00F703C7">
        <w:rPr>
          <w:b/>
        </w:rPr>
        <w:t xml:space="preserve">o </w:t>
      </w:r>
      <w:proofErr w:type="spellStart"/>
      <w:r w:rsidR="00F703C7">
        <w:rPr>
          <w:b/>
          <w:i/>
        </w:rPr>
        <w:t>Disclosure</w:t>
      </w:r>
      <w:proofErr w:type="spellEnd"/>
      <w:r>
        <w:rPr>
          <w:b/>
        </w:rPr>
        <w:t xml:space="preserve"> d</w:t>
      </w:r>
      <w:r w:rsidR="0026148A">
        <w:rPr>
          <w:b/>
        </w:rPr>
        <w:t>o</w:t>
      </w:r>
      <w:r>
        <w:rPr>
          <w:b/>
        </w:rPr>
        <w:t xml:space="preserve"> Capital Intelectual das Empresas B</w:t>
      </w:r>
      <w:r w:rsidR="00F703C7">
        <w:rPr>
          <w:b/>
        </w:rPr>
        <w:t>rasileiras</w:t>
      </w:r>
    </w:p>
    <w:p w14:paraId="7B102842" w14:textId="35E55E3E" w:rsidR="0084059F" w:rsidRDefault="0084059F">
      <w:pPr>
        <w:ind w:firstLine="0"/>
        <w:jc w:val="center"/>
        <w:rPr>
          <w:b/>
        </w:rPr>
      </w:pPr>
    </w:p>
    <w:p w14:paraId="3B5D4A83" w14:textId="5FCB1E83" w:rsidR="0084059F" w:rsidRPr="0084059F" w:rsidRDefault="0084059F" w:rsidP="0084059F">
      <w:pPr>
        <w:ind w:firstLine="0"/>
        <w:jc w:val="center"/>
        <w:rPr>
          <w:b/>
          <w:bCs/>
        </w:rPr>
      </w:pPr>
      <w:r w:rsidRPr="00C403B1">
        <w:rPr>
          <w:b/>
          <w:bCs/>
          <w:lang w:val="en"/>
        </w:rPr>
        <w:t>Determin</w:t>
      </w:r>
      <w:r>
        <w:rPr>
          <w:b/>
          <w:bCs/>
          <w:lang w:val="en"/>
        </w:rPr>
        <w:t>ant</w:t>
      </w:r>
      <w:r w:rsidRPr="00C403B1">
        <w:rPr>
          <w:b/>
          <w:bCs/>
          <w:lang w:val="en"/>
        </w:rPr>
        <w:t xml:space="preserve"> Factors in the Disclosure of Intellectual Capital of Brazilian Companies</w:t>
      </w:r>
    </w:p>
    <w:p w14:paraId="7280C32B" w14:textId="77777777" w:rsidR="007E068E" w:rsidRDefault="007E068E" w:rsidP="00D95312">
      <w:pPr>
        <w:ind w:firstLine="0"/>
        <w:rPr>
          <w:b/>
        </w:rPr>
      </w:pPr>
    </w:p>
    <w:p w14:paraId="50CC380A" w14:textId="467FD8AE" w:rsidR="007E068E" w:rsidRPr="00B84439" w:rsidRDefault="00F703C7" w:rsidP="00B84439">
      <w:pPr>
        <w:jc w:val="center"/>
        <w:rPr>
          <w:bCs/>
        </w:rPr>
      </w:pPr>
      <w:r w:rsidRPr="00B84439">
        <w:rPr>
          <w:bCs/>
        </w:rPr>
        <w:t>Rayane Farias dos Santos</w:t>
      </w:r>
    </w:p>
    <w:p w14:paraId="458EB55E" w14:textId="5D7FEA48" w:rsidR="007E068E" w:rsidRDefault="0084059F" w:rsidP="0084059F">
      <w:pPr>
        <w:jc w:val="center"/>
        <w:rPr>
          <w:bCs/>
        </w:rPr>
      </w:pPr>
      <w:r>
        <w:rPr>
          <w:bCs/>
        </w:rPr>
        <w:t>Doutoranda</w:t>
      </w:r>
      <w:r w:rsidR="00B84439" w:rsidRPr="00B84439">
        <w:rPr>
          <w:bCs/>
        </w:rPr>
        <w:t xml:space="preserve"> em Ciências Contábeis</w:t>
      </w:r>
      <w:r w:rsidR="00F703C7" w:rsidRPr="00B84439">
        <w:rPr>
          <w:bCs/>
        </w:rPr>
        <w:t xml:space="preserve"> </w:t>
      </w:r>
      <w:r>
        <w:rPr>
          <w:bCs/>
        </w:rPr>
        <w:t xml:space="preserve">- Universidade de Brasília - </w:t>
      </w:r>
      <w:r w:rsidR="00F703C7" w:rsidRPr="00B84439">
        <w:rPr>
          <w:bCs/>
        </w:rPr>
        <w:t>U</w:t>
      </w:r>
      <w:r>
        <w:rPr>
          <w:bCs/>
        </w:rPr>
        <w:t>N</w:t>
      </w:r>
      <w:r w:rsidR="00F703C7" w:rsidRPr="00B84439">
        <w:rPr>
          <w:bCs/>
        </w:rPr>
        <w:t>B</w:t>
      </w:r>
    </w:p>
    <w:p w14:paraId="037CC1E4" w14:textId="3CFB6758" w:rsidR="0084059F" w:rsidRDefault="0084059F" w:rsidP="0084059F">
      <w:pPr>
        <w:jc w:val="center"/>
        <w:rPr>
          <w:bCs/>
        </w:rPr>
      </w:pPr>
      <w:r>
        <w:rPr>
          <w:bCs/>
        </w:rPr>
        <w:t xml:space="preserve">Endereço: </w:t>
      </w:r>
      <w:r w:rsidR="00B84439" w:rsidRPr="00B84439">
        <w:rPr>
          <w:bCs/>
        </w:rPr>
        <w:t xml:space="preserve">Rua </w:t>
      </w:r>
      <w:proofErr w:type="spellStart"/>
      <w:r w:rsidR="00B84439" w:rsidRPr="00B84439">
        <w:rPr>
          <w:bCs/>
        </w:rPr>
        <w:t>Juvino</w:t>
      </w:r>
      <w:proofErr w:type="spellEnd"/>
      <w:r w:rsidR="00B84439" w:rsidRPr="00B84439">
        <w:rPr>
          <w:bCs/>
        </w:rPr>
        <w:t xml:space="preserve"> Sobreira de Carvalho, 164, </w:t>
      </w:r>
      <w:r w:rsidR="00EA14D4">
        <w:rPr>
          <w:bCs/>
        </w:rPr>
        <w:t>C</w:t>
      </w:r>
      <w:r w:rsidR="00B84439" w:rsidRPr="00B84439">
        <w:rPr>
          <w:bCs/>
        </w:rPr>
        <w:t xml:space="preserve">entro, </w:t>
      </w:r>
      <w:r>
        <w:rPr>
          <w:bCs/>
        </w:rPr>
        <w:t xml:space="preserve">CEP: 58.119-000, </w:t>
      </w:r>
      <w:r w:rsidR="00EA14D4">
        <w:rPr>
          <w:bCs/>
        </w:rPr>
        <w:t>São</w:t>
      </w:r>
      <w:r>
        <w:rPr>
          <w:bCs/>
        </w:rPr>
        <w:t xml:space="preserve"> </w:t>
      </w:r>
      <w:r w:rsidR="00B84439" w:rsidRPr="00B84439">
        <w:rPr>
          <w:bCs/>
        </w:rPr>
        <w:t>Sebastião de Lagoa de Roça</w:t>
      </w:r>
      <w:r>
        <w:rPr>
          <w:bCs/>
        </w:rPr>
        <w:t>,</w:t>
      </w:r>
      <w:r w:rsidR="00B84439" w:rsidRPr="00B84439">
        <w:rPr>
          <w:bCs/>
        </w:rPr>
        <w:t xml:space="preserve"> PB</w:t>
      </w:r>
      <w:r>
        <w:rPr>
          <w:bCs/>
        </w:rPr>
        <w:t xml:space="preserve"> - Brasil</w:t>
      </w:r>
    </w:p>
    <w:p w14:paraId="0ED0B9E8" w14:textId="636DB9C6" w:rsidR="007E068E" w:rsidRPr="0084059F" w:rsidRDefault="00F703C7" w:rsidP="0084059F">
      <w:pPr>
        <w:jc w:val="center"/>
        <w:rPr>
          <w:bCs/>
        </w:rPr>
      </w:pPr>
      <w:r w:rsidRPr="00B84439">
        <w:rPr>
          <w:bCs/>
          <w:iCs/>
        </w:rPr>
        <w:t>rayane.farias10@hotmail.com</w:t>
      </w:r>
    </w:p>
    <w:p w14:paraId="7878BC30" w14:textId="77777777" w:rsidR="007E068E" w:rsidRPr="00B84439" w:rsidRDefault="007E068E" w:rsidP="00B84439">
      <w:pPr>
        <w:jc w:val="center"/>
        <w:rPr>
          <w:bCs/>
        </w:rPr>
      </w:pPr>
    </w:p>
    <w:p w14:paraId="4AD88582" w14:textId="77777777" w:rsidR="007E068E" w:rsidRPr="00B84439" w:rsidRDefault="00F703C7" w:rsidP="00B84439">
      <w:pPr>
        <w:jc w:val="center"/>
        <w:rPr>
          <w:bCs/>
        </w:rPr>
      </w:pPr>
      <w:r w:rsidRPr="00B84439">
        <w:rPr>
          <w:bCs/>
        </w:rPr>
        <w:t>Francisco José da Silva Júnior</w:t>
      </w:r>
    </w:p>
    <w:p w14:paraId="6F86A0AB" w14:textId="03C0C154" w:rsidR="007E068E" w:rsidRDefault="00D95312" w:rsidP="00B84439">
      <w:pPr>
        <w:jc w:val="center"/>
        <w:rPr>
          <w:bCs/>
        </w:rPr>
      </w:pPr>
      <w:r>
        <w:rPr>
          <w:bCs/>
        </w:rPr>
        <w:t xml:space="preserve">Mestre </w:t>
      </w:r>
      <w:r w:rsidRPr="00B84439">
        <w:rPr>
          <w:bCs/>
        </w:rPr>
        <w:t xml:space="preserve">em Ciências Contábeis </w:t>
      </w:r>
      <w:r w:rsidR="0084059F">
        <w:rPr>
          <w:bCs/>
        </w:rPr>
        <w:t xml:space="preserve">– Universidade Federal da Paraíba - </w:t>
      </w:r>
      <w:r w:rsidR="00F703C7" w:rsidRPr="00B84439">
        <w:rPr>
          <w:bCs/>
        </w:rPr>
        <w:t>UFPB</w:t>
      </w:r>
    </w:p>
    <w:p w14:paraId="4D6B9EAA" w14:textId="77777777" w:rsidR="00E01A4F" w:rsidRPr="00E01A4F" w:rsidRDefault="0084059F" w:rsidP="00B84439">
      <w:pPr>
        <w:jc w:val="center"/>
        <w:rPr>
          <w:bCs/>
        </w:rPr>
      </w:pPr>
      <w:r w:rsidRPr="00E01A4F">
        <w:rPr>
          <w:bCs/>
        </w:rPr>
        <w:t>Endereço:</w:t>
      </w:r>
      <w:r w:rsidR="00E01A4F" w:rsidRPr="00E01A4F">
        <w:rPr>
          <w:bCs/>
        </w:rPr>
        <w:t xml:space="preserve"> Rua Venâncio José Neto, 114, Residencial EOS, 202, Bancários, CEP: </w:t>
      </w:r>
    </w:p>
    <w:p w14:paraId="747FEAC5" w14:textId="0FABD088" w:rsidR="0084059F" w:rsidRPr="00E01A4F" w:rsidRDefault="00E01A4F" w:rsidP="00B84439">
      <w:pPr>
        <w:jc w:val="center"/>
        <w:rPr>
          <w:bCs/>
        </w:rPr>
      </w:pPr>
      <w:r w:rsidRPr="00E01A4F">
        <w:rPr>
          <w:bCs/>
        </w:rPr>
        <w:t>58051-140</w:t>
      </w:r>
      <w:r w:rsidRPr="00E01A4F">
        <w:rPr>
          <w:bCs/>
        </w:rPr>
        <w:t>, João Pessoa, PB - Brasil</w:t>
      </w:r>
    </w:p>
    <w:p w14:paraId="1ACEB529" w14:textId="14C569FE" w:rsidR="007E068E" w:rsidRPr="00D95312" w:rsidRDefault="00F703C7" w:rsidP="00B84439">
      <w:pPr>
        <w:jc w:val="center"/>
        <w:rPr>
          <w:bCs/>
          <w:iCs/>
        </w:rPr>
      </w:pPr>
      <w:r w:rsidRPr="00D95312">
        <w:rPr>
          <w:bCs/>
          <w:iCs/>
        </w:rPr>
        <w:t>fjsilvajunior@hotmail.com</w:t>
      </w:r>
    </w:p>
    <w:p w14:paraId="0708B53F" w14:textId="77777777" w:rsidR="007E068E" w:rsidRPr="00B84439" w:rsidRDefault="007E068E" w:rsidP="00B84439">
      <w:pPr>
        <w:jc w:val="center"/>
        <w:rPr>
          <w:bCs/>
        </w:rPr>
      </w:pPr>
    </w:p>
    <w:p w14:paraId="741DF312" w14:textId="77777777" w:rsidR="007E068E" w:rsidRPr="00B84439" w:rsidRDefault="00F703C7" w:rsidP="00B84439">
      <w:pPr>
        <w:jc w:val="center"/>
        <w:rPr>
          <w:bCs/>
        </w:rPr>
      </w:pPr>
      <w:r w:rsidRPr="00B84439">
        <w:rPr>
          <w:bCs/>
        </w:rPr>
        <w:t>Marcos Igor da Costa Santos</w:t>
      </w:r>
    </w:p>
    <w:p w14:paraId="7CF60513" w14:textId="415FBC86" w:rsidR="00E01A4F" w:rsidRDefault="00D95312" w:rsidP="00EA14D4">
      <w:pPr>
        <w:jc w:val="center"/>
        <w:rPr>
          <w:bCs/>
        </w:rPr>
      </w:pPr>
      <w:r>
        <w:rPr>
          <w:bCs/>
        </w:rPr>
        <w:t xml:space="preserve">Doutor </w:t>
      </w:r>
      <w:r w:rsidRPr="00B84439">
        <w:rPr>
          <w:bCs/>
        </w:rPr>
        <w:t xml:space="preserve">em Ciências Contábeis </w:t>
      </w:r>
      <w:r w:rsidR="00E01A4F">
        <w:rPr>
          <w:bCs/>
        </w:rPr>
        <w:t xml:space="preserve">- </w:t>
      </w:r>
      <w:r w:rsidR="00E01A4F">
        <w:rPr>
          <w:bCs/>
        </w:rPr>
        <w:t xml:space="preserve">Universidade Federal da Paraíba - </w:t>
      </w:r>
      <w:r w:rsidR="00E01A4F" w:rsidRPr="00B84439">
        <w:rPr>
          <w:bCs/>
        </w:rPr>
        <w:t>UFPB</w:t>
      </w:r>
      <w:r w:rsidR="00E01A4F">
        <w:rPr>
          <w:bCs/>
        </w:rPr>
        <w:t xml:space="preserve"> </w:t>
      </w:r>
    </w:p>
    <w:p w14:paraId="2F7265F9" w14:textId="7A3FCF06" w:rsidR="00EA14D4" w:rsidRDefault="00EA14D4" w:rsidP="00EA14D4">
      <w:pPr>
        <w:jc w:val="center"/>
        <w:rPr>
          <w:bCs/>
        </w:rPr>
      </w:pPr>
      <w:r>
        <w:rPr>
          <w:bCs/>
        </w:rPr>
        <w:t xml:space="preserve">Professor </w:t>
      </w:r>
      <w:r w:rsidR="0084059F">
        <w:rPr>
          <w:bCs/>
        </w:rPr>
        <w:t>da Universidade Federal de Alagoas</w:t>
      </w:r>
    </w:p>
    <w:p w14:paraId="724A80D6" w14:textId="77777777" w:rsidR="00E01A4F" w:rsidRDefault="0084059F" w:rsidP="00EA14D4">
      <w:pPr>
        <w:jc w:val="center"/>
        <w:rPr>
          <w:bCs/>
        </w:rPr>
      </w:pPr>
      <w:r>
        <w:rPr>
          <w:bCs/>
        </w:rPr>
        <w:t xml:space="preserve">Endereço: </w:t>
      </w:r>
      <w:r w:rsidR="00EA14D4">
        <w:rPr>
          <w:bCs/>
        </w:rPr>
        <w:t xml:space="preserve">Rua Maria </w:t>
      </w:r>
      <w:proofErr w:type="spellStart"/>
      <w:r w:rsidR="00EA14D4">
        <w:rPr>
          <w:bCs/>
        </w:rPr>
        <w:t>Jacy</w:t>
      </w:r>
      <w:proofErr w:type="spellEnd"/>
      <w:r w:rsidR="00EA14D4">
        <w:rPr>
          <w:bCs/>
        </w:rPr>
        <w:t xml:space="preserve"> Pinto Costa, 123, Jardim Oceania, </w:t>
      </w:r>
      <w:r>
        <w:rPr>
          <w:bCs/>
        </w:rPr>
        <w:t>CEP:</w:t>
      </w:r>
      <w:r w:rsidRPr="0084059F">
        <w:rPr>
          <w:rFonts w:ascii="Arial" w:hAnsi="Arial" w:cs="Arial"/>
          <w:color w:val="202124"/>
          <w:shd w:val="clear" w:color="auto" w:fill="FFFFFF"/>
        </w:rPr>
        <w:t xml:space="preserve"> </w:t>
      </w:r>
      <w:r w:rsidRPr="0084059F">
        <w:rPr>
          <w:bCs/>
        </w:rPr>
        <w:t>58037-435</w:t>
      </w:r>
      <w:r>
        <w:rPr>
          <w:bCs/>
        </w:rPr>
        <w:t xml:space="preserve">, </w:t>
      </w:r>
    </w:p>
    <w:p w14:paraId="388B918B" w14:textId="24231E34" w:rsidR="00EA14D4" w:rsidRPr="00B84439" w:rsidRDefault="00EA14D4" w:rsidP="00EA14D4">
      <w:pPr>
        <w:jc w:val="center"/>
        <w:rPr>
          <w:bCs/>
        </w:rPr>
      </w:pPr>
      <w:r>
        <w:rPr>
          <w:bCs/>
        </w:rPr>
        <w:t>João Pessoa - PB</w:t>
      </w:r>
    </w:p>
    <w:p w14:paraId="595BFDF5" w14:textId="77777777" w:rsidR="007E068E" w:rsidRPr="00D95312" w:rsidRDefault="00F703C7" w:rsidP="00B84439">
      <w:pPr>
        <w:jc w:val="center"/>
        <w:rPr>
          <w:bCs/>
          <w:iCs/>
        </w:rPr>
      </w:pPr>
      <w:r w:rsidRPr="00D95312">
        <w:rPr>
          <w:bCs/>
          <w:iCs/>
        </w:rPr>
        <w:t>marcosigor2508@gmail.com</w:t>
      </w:r>
    </w:p>
    <w:p w14:paraId="392A9365" w14:textId="77777777" w:rsidR="007E068E" w:rsidRPr="00B84439" w:rsidRDefault="007E068E" w:rsidP="00B84439">
      <w:pPr>
        <w:jc w:val="center"/>
        <w:rPr>
          <w:bCs/>
        </w:rPr>
      </w:pPr>
    </w:p>
    <w:p w14:paraId="3165590B" w14:textId="77777777" w:rsidR="007E068E" w:rsidRPr="00B84439" w:rsidRDefault="00F703C7" w:rsidP="00B84439">
      <w:pPr>
        <w:jc w:val="center"/>
        <w:rPr>
          <w:bCs/>
        </w:rPr>
      </w:pPr>
      <w:r w:rsidRPr="00B84439">
        <w:rPr>
          <w:bCs/>
        </w:rPr>
        <w:t>Paulo Amilton Maia Leite Filho</w:t>
      </w:r>
    </w:p>
    <w:p w14:paraId="43EB3419" w14:textId="4B8D2361" w:rsidR="00E01A4F" w:rsidRPr="00E01A4F" w:rsidRDefault="00E01A4F" w:rsidP="00B84439">
      <w:pPr>
        <w:jc w:val="center"/>
        <w:rPr>
          <w:bCs/>
        </w:rPr>
      </w:pPr>
      <w:r w:rsidRPr="00E01A4F">
        <w:rPr>
          <w:bCs/>
        </w:rPr>
        <w:t>Doutor em Economia</w:t>
      </w:r>
      <w:r w:rsidRPr="00E01A4F">
        <w:rPr>
          <w:bCs/>
        </w:rPr>
        <w:t xml:space="preserve"> – Universidade Federal de Pernambuco - </w:t>
      </w:r>
      <w:r w:rsidRPr="00E01A4F">
        <w:rPr>
          <w:bCs/>
        </w:rPr>
        <w:t>UFPE</w:t>
      </w:r>
    </w:p>
    <w:p w14:paraId="6C916F03" w14:textId="5FDD1AF3" w:rsidR="00E01A4F" w:rsidRPr="00E01A4F" w:rsidRDefault="00E01A4F" w:rsidP="00B84439">
      <w:pPr>
        <w:jc w:val="center"/>
        <w:rPr>
          <w:bCs/>
        </w:rPr>
      </w:pPr>
      <w:r w:rsidRPr="00E01A4F">
        <w:rPr>
          <w:bCs/>
        </w:rPr>
        <w:t xml:space="preserve">Professor da Universidade Federal </w:t>
      </w:r>
      <w:r w:rsidRPr="00E01A4F">
        <w:rPr>
          <w:bCs/>
        </w:rPr>
        <w:t>da Paraíba</w:t>
      </w:r>
    </w:p>
    <w:p w14:paraId="66FDEF47" w14:textId="77777777" w:rsidR="00E01A4F" w:rsidRPr="00E01A4F" w:rsidRDefault="0084059F" w:rsidP="00B84439">
      <w:pPr>
        <w:jc w:val="center"/>
        <w:rPr>
          <w:bCs/>
        </w:rPr>
      </w:pPr>
      <w:r w:rsidRPr="00E01A4F">
        <w:rPr>
          <w:bCs/>
        </w:rPr>
        <w:t>Endereço:</w:t>
      </w:r>
      <w:r w:rsidR="00E01A4F" w:rsidRPr="00E01A4F">
        <w:rPr>
          <w:bCs/>
        </w:rPr>
        <w:t xml:space="preserve"> Av. </w:t>
      </w:r>
      <w:proofErr w:type="spellStart"/>
      <w:r w:rsidR="00E01A4F" w:rsidRPr="00E01A4F">
        <w:rPr>
          <w:bCs/>
        </w:rPr>
        <w:t>Eutiquiano</w:t>
      </w:r>
      <w:proofErr w:type="spellEnd"/>
      <w:r w:rsidR="00E01A4F" w:rsidRPr="00E01A4F">
        <w:rPr>
          <w:bCs/>
        </w:rPr>
        <w:t xml:space="preserve"> Barreto, 820, </w:t>
      </w:r>
      <w:proofErr w:type="spellStart"/>
      <w:r w:rsidR="00E01A4F" w:rsidRPr="00E01A4F">
        <w:rPr>
          <w:bCs/>
        </w:rPr>
        <w:t>apt</w:t>
      </w:r>
      <w:proofErr w:type="spellEnd"/>
      <w:r w:rsidR="00E01A4F" w:rsidRPr="00E01A4F">
        <w:rPr>
          <w:bCs/>
        </w:rPr>
        <w:t xml:space="preserve"> 1302, Manaíra, CEP:</w:t>
      </w:r>
      <w:r w:rsidR="00E01A4F" w:rsidRPr="00E01A4F">
        <w:rPr>
          <w:rFonts w:ascii="Arial" w:hAnsi="Arial" w:cs="Arial"/>
          <w:shd w:val="clear" w:color="auto" w:fill="FFFFFF"/>
        </w:rPr>
        <w:t xml:space="preserve"> </w:t>
      </w:r>
      <w:r w:rsidR="00E01A4F" w:rsidRPr="00E01A4F">
        <w:rPr>
          <w:bCs/>
        </w:rPr>
        <w:t>58038</w:t>
      </w:r>
      <w:r w:rsidR="00E01A4F" w:rsidRPr="00E01A4F">
        <w:rPr>
          <w:bCs/>
        </w:rPr>
        <w:t>-</w:t>
      </w:r>
      <w:r w:rsidR="00E01A4F" w:rsidRPr="00E01A4F">
        <w:rPr>
          <w:bCs/>
        </w:rPr>
        <w:t>310</w:t>
      </w:r>
      <w:r w:rsidR="00E01A4F" w:rsidRPr="00E01A4F">
        <w:rPr>
          <w:bCs/>
        </w:rPr>
        <w:t xml:space="preserve">, </w:t>
      </w:r>
    </w:p>
    <w:p w14:paraId="1A6BD725" w14:textId="2F3D8AAE" w:rsidR="0084059F" w:rsidRPr="00E01A4F" w:rsidRDefault="00E01A4F" w:rsidP="00B84439">
      <w:pPr>
        <w:jc w:val="center"/>
        <w:rPr>
          <w:bCs/>
        </w:rPr>
      </w:pPr>
      <w:r w:rsidRPr="00E01A4F">
        <w:rPr>
          <w:bCs/>
        </w:rPr>
        <w:t>João Pessoa, PB - Brasil</w:t>
      </w:r>
    </w:p>
    <w:p w14:paraId="14E131F7" w14:textId="77777777" w:rsidR="007E068E" w:rsidRPr="00D95312" w:rsidRDefault="00F703C7" w:rsidP="00B84439">
      <w:pPr>
        <w:jc w:val="center"/>
        <w:rPr>
          <w:bCs/>
          <w:iCs/>
        </w:rPr>
      </w:pPr>
      <w:r w:rsidRPr="00D95312">
        <w:rPr>
          <w:bCs/>
          <w:iCs/>
        </w:rPr>
        <w:t>pmaiaf@icloud.com</w:t>
      </w:r>
    </w:p>
    <w:p w14:paraId="1E4690DF" w14:textId="77777777" w:rsidR="007E068E" w:rsidRDefault="007E068E">
      <w:pPr>
        <w:ind w:firstLine="0"/>
        <w:jc w:val="center"/>
        <w:rPr>
          <w:b/>
          <w:color w:val="999999"/>
        </w:rPr>
      </w:pPr>
    </w:p>
    <w:p w14:paraId="14308113" w14:textId="77777777" w:rsidR="007E068E" w:rsidRDefault="00F703C7">
      <w:pPr>
        <w:ind w:firstLine="0"/>
        <w:rPr>
          <w:b/>
        </w:rPr>
      </w:pPr>
      <w:r>
        <w:rPr>
          <w:b/>
        </w:rPr>
        <w:t xml:space="preserve">Resumo </w:t>
      </w:r>
    </w:p>
    <w:p w14:paraId="23D46303" w14:textId="77777777" w:rsidR="007E068E" w:rsidRDefault="00F703C7">
      <w:pPr>
        <w:ind w:firstLine="0"/>
      </w:pPr>
      <w:r>
        <w:t xml:space="preserve">A presente pesquisa teve por objetivo verificar os fatores determinantes na divulgação do Capital Intelectual (CI) de empresas brasileiras. Considerando-se que evidenciar informações sobre o CI é uma importante estratégia empresarial, por abranger a natureza dos ativos intangíveis e sustentáveis, compreende-se como uma vantagem competitiva. Isso pode estimular os </w:t>
      </w:r>
      <w:r>
        <w:rPr>
          <w:i/>
        </w:rPr>
        <w:t>stakeholders</w:t>
      </w:r>
      <w:r>
        <w:t xml:space="preserve"> a adicionar valor aos negócios, gerando futuros benefícios. Dessa forma a literatura aponta que alguns fatores podem ser determinantes para a evidenciação do CI. Para tanto, compôs-se uma amostra de 32 empresas, não financeiras, que fazem parte do Índice Brasil 50 (</w:t>
      </w:r>
      <w:proofErr w:type="spellStart"/>
      <w:r>
        <w:t>IBrX</w:t>
      </w:r>
      <w:proofErr w:type="spellEnd"/>
      <w:r>
        <w:t xml:space="preserve"> 50) da Brasil, Bolsa, Balcão – B3, no período de 2016 a 2018. Para o alcance do objetivo, utilizou-se a análise de conteúdo, assim como a regressão com dados em painel balanceado, de efeitos aleatórios com robustez, cujos dados foram coletados nas Demonstrações Financeiras Padronizadas, Notas Explicativas, Relatórios da Administração, Relatórios de Sustentabilidade e na Base de Dados </w:t>
      </w:r>
      <w:r>
        <w:rPr>
          <w:i/>
        </w:rPr>
        <w:t xml:space="preserve">Thomson Reuters </w:t>
      </w:r>
      <w:proofErr w:type="spellStart"/>
      <w:r>
        <w:rPr>
          <w:i/>
        </w:rPr>
        <w:t>Eikon</w:t>
      </w:r>
      <w:proofErr w:type="spellEnd"/>
      <w:r>
        <w:rPr>
          <w:i/>
        </w:rPr>
        <w:t>®</w:t>
      </w:r>
      <w:r>
        <w:t xml:space="preserve">. O resultado do estudo demonstrou que as empresas apresentaram um nível médio de divulgação de informações relativas ao CI. Quanto às hipóteses formuladas, foi possível observar que o </w:t>
      </w:r>
      <w:proofErr w:type="spellStart"/>
      <w:r>
        <w:rPr>
          <w:i/>
        </w:rPr>
        <w:t>disclosure</w:t>
      </w:r>
      <w:proofErr w:type="spellEnd"/>
      <w:r>
        <w:t xml:space="preserve"> de informações acerca do CI sofre influência de variáveis como endividamento, governança e setor de atuação, pois apresentaram tanto relações significativas positivas como negativas. Conclui-se que as empresas têm uma preocupação média na divulgação </w:t>
      </w:r>
      <w:r>
        <w:lastRenderedPageBreak/>
        <w:t xml:space="preserve">de informações sobre o CI, associadas a influência de fatores determinantes que impulsionam esse tipo de </w:t>
      </w:r>
      <w:proofErr w:type="spellStart"/>
      <w:r>
        <w:rPr>
          <w:i/>
        </w:rPr>
        <w:t>disclosure</w:t>
      </w:r>
      <w:proofErr w:type="spellEnd"/>
      <w:r>
        <w:t>.</w:t>
      </w:r>
    </w:p>
    <w:p w14:paraId="3065BE54" w14:textId="331D5D95" w:rsidR="007E068E" w:rsidRDefault="00F703C7">
      <w:pPr>
        <w:ind w:firstLine="0"/>
      </w:pPr>
      <w:r>
        <w:rPr>
          <w:b/>
        </w:rPr>
        <w:t xml:space="preserve">Palavras-chave: </w:t>
      </w:r>
      <w:proofErr w:type="spellStart"/>
      <w:r>
        <w:rPr>
          <w:i/>
        </w:rPr>
        <w:t>Disclosure</w:t>
      </w:r>
      <w:proofErr w:type="spellEnd"/>
      <w:r>
        <w:t xml:space="preserve">; Capital Intelectual; Fatores </w:t>
      </w:r>
      <w:r w:rsidR="00AE3221">
        <w:t>D</w:t>
      </w:r>
      <w:r>
        <w:t>eterminantes.</w:t>
      </w:r>
    </w:p>
    <w:p w14:paraId="39AAF3E4" w14:textId="6E5B3C01" w:rsidR="00AE3221" w:rsidRDefault="00AE3221">
      <w:pPr>
        <w:ind w:firstLine="0"/>
      </w:pPr>
    </w:p>
    <w:p w14:paraId="3D19EBD3" w14:textId="16757DFB" w:rsidR="00AE3221" w:rsidRPr="00AE3221" w:rsidRDefault="00AE3221">
      <w:pPr>
        <w:ind w:firstLine="0"/>
        <w:rPr>
          <w:b/>
          <w:bCs/>
        </w:rPr>
      </w:pPr>
      <w:r w:rsidRPr="00AE3221">
        <w:rPr>
          <w:b/>
          <w:bCs/>
        </w:rPr>
        <w:t>Abstract</w:t>
      </w:r>
    </w:p>
    <w:p w14:paraId="10FB2210" w14:textId="326E24A0" w:rsidR="00AE3221" w:rsidRPr="00AE3221" w:rsidRDefault="00AE3221">
      <w:pPr>
        <w:ind w:firstLine="0"/>
        <w:rPr>
          <w:lang w:val="en"/>
        </w:rPr>
      </w:pPr>
      <w:r w:rsidRPr="00AE3221">
        <w:rPr>
          <w:lang w:val="en"/>
        </w:rPr>
        <w:t>This research aimed to verify the determining factors in the disclosure of Intellectual Capital (I</w:t>
      </w:r>
      <w:r>
        <w:rPr>
          <w:lang w:val="en"/>
        </w:rPr>
        <w:t>C</w:t>
      </w:r>
      <w:r w:rsidRPr="00AE3221">
        <w:rPr>
          <w:lang w:val="en"/>
        </w:rPr>
        <w:t>) of Brazilian companies. Considering that disclosing information about I</w:t>
      </w:r>
      <w:r>
        <w:rPr>
          <w:lang w:val="en"/>
        </w:rPr>
        <w:t>C</w:t>
      </w:r>
      <w:r w:rsidRPr="00AE3221">
        <w:rPr>
          <w:lang w:val="en"/>
        </w:rPr>
        <w:t xml:space="preserve"> is an important business strategy, as it covers the nature of intangible and sustainable assets, it is understood as a competitive advantage. This can encourage stakeholders to add value to the business, generating future benefits. Thus, the literature points out that some factors can be determinant for the disclosure of IC. To this end, a sample of 32 non-financial companies was included, which are part of the </w:t>
      </w:r>
      <w:proofErr w:type="spellStart"/>
      <w:r w:rsidRPr="00AE3221">
        <w:rPr>
          <w:lang w:val="en"/>
        </w:rPr>
        <w:t>Brasil</w:t>
      </w:r>
      <w:proofErr w:type="spellEnd"/>
      <w:r w:rsidRPr="00AE3221">
        <w:rPr>
          <w:lang w:val="en"/>
        </w:rPr>
        <w:t xml:space="preserve"> 50 Index (</w:t>
      </w:r>
      <w:proofErr w:type="spellStart"/>
      <w:r w:rsidRPr="00AE3221">
        <w:rPr>
          <w:lang w:val="en"/>
        </w:rPr>
        <w:t>IBrX</w:t>
      </w:r>
      <w:proofErr w:type="spellEnd"/>
      <w:r w:rsidRPr="00AE3221">
        <w:rPr>
          <w:lang w:val="en"/>
        </w:rPr>
        <w:t xml:space="preserve"> 50) of </w:t>
      </w:r>
      <w:proofErr w:type="spellStart"/>
      <w:r w:rsidRPr="00AE3221">
        <w:rPr>
          <w:lang w:val="en"/>
        </w:rPr>
        <w:t>Brasil</w:t>
      </w:r>
      <w:proofErr w:type="spellEnd"/>
      <w:r w:rsidRPr="00AE3221">
        <w:rPr>
          <w:lang w:val="en"/>
        </w:rPr>
        <w:t xml:space="preserve">, Bolsa, </w:t>
      </w:r>
      <w:proofErr w:type="spellStart"/>
      <w:r w:rsidRPr="00AE3221">
        <w:rPr>
          <w:lang w:val="en"/>
        </w:rPr>
        <w:t>Balcão</w:t>
      </w:r>
      <w:proofErr w:type="spellEnd"/>
      <w:r w:rsidRPr="00AE3221">
        <w:rPr>
          <w:lang w:val="en"/>
        </w:rPr>
        <w:t xml:space="preserve"> - B3, in the period from 2016 to 2018. To achieve the objective, we used if the content analysis, as well as the regression with data in a balanced panel, of robust random effects, whose data were collected in the Standardized Financial Statements, Explanatory Notes, Management Reports, Sustainability Reports and in the Thomson Reuters Eikon® Database. The result of the study showed that companies had an average level of disclosure of information related to I</w:t>
      </w:r>
      <w:r>
        <w:rPr>
          <w:lang w:val="en"/>
        </w:rPr>
        <w:t>C</w:t>
      </w:r>
      <w:r w:rsidRPr="00AE3221">
        <w:rPr>
          <w:lang w:val="en"/>
        </w:rPr>
        <w:t>. As for the hypotheses formulated, it was possible to observe that the disclosure of information about the I</w:t>
      </w:r>
      <w:r>
        <w:rPr>
          <w:lang w:val="en"/>
        </w:rPr>
        <w:t>C</w:t>
      </w:r>
      <w:r w:rsidRPr="00AE3221">
        <w:rPr>
          <w:lang w:val="en"/>
        </w:rPr>
        <w:t xml:space="preserve"> is influenced by variables such as indebtedness, governance and sector of activity, as they presented both significant positive and negative relationships. It is concluded that companies have a medium concern in the dissemination of information about I</w:t>
      </w:r>
      <w:r>
        <w:rPr>
          <w:lang w:val="en"/>
        </w:rPr>
        <w:t>C</w:t>
      </w:r>
      <w:r w:rsidRPr="00AE3221">
        <w:rPr>
          <w:lang w:val="en"/>
        </w:rPr>
        <w:t>, associated with the influence of determining factors that drive this type of disclosure.</w:t>
      </w:r>
    </w:p>
    <w:p w14:paraId="11848C5C" w14:textId="4C7B2C2E" w:rsidR="00AE3221" w:rsidRPr="00AE3221" w:rsidRDefault="00AE3221">
      <w:pPr>
        <w:ind w:firstLine="0"/>
        <w:rPr>
          <w:b/>
          <w:bCs/>
        </w:rPr>
      </w:pPr>
      <w:r w:rsidRPr="00AE3221">
        <w:rPr>
          <w:b/>
          <w:bCs/>
        </w:rPr>
        <w:t xml:space="preserve">Keywords: </w:t>
      </w:r>
      <w:r w:rsidRPr="00AE3221">
        <w:rPr>
          <w:lang w:val="en"/>
        </w:rPr>
        <w:t xml:space="preserve">Disclosure; Intellectual </w:t>
      </w:r>
      <w:r>
        <w:rPr>
          <w:lang w:val="en"/>
        </w:rPr>
        <w:t>C</w:t>
      </w:r>
      <w:r w:rsidRPr="00AE3221">
        <w:rPr>
          <w:lang w:val="en"/>
        </w:rPr>
        <w:t xml:space="preserve">apital; Determinant </w:t>
      </w:r>
      <w:r>
        <w:rPr>
          <w:lang w:val="en"/>
        </w:rPr>
        <w:t>F</w:t>
      </w:r>
      <w:r w:rsidRPr="00AE3221">
        <w:rPr>
          <w:lang w:val="en"/>
        </w:rPr>
        <w:t>actors.</w:t>
      </w:r>
    </w:p>
    <w:p w14:paraId="3D5E88C2" w14:textId="77777777" w:rsidR="007E068E" w:rsidRDefault="007E068E" w:rsidP="001D607D">
      <w:pPr>
        <w:ind w:firstLine="0"/>
      </w:pPr>
    </w:p>
    <w:p w14:paraId="6EB15596" w14:textId="77777777" w:rsidR="007E068E" w:rsidRDefault="00F703C7">
      <w:pPr>
        <w:widowControl/>
        <w:ind w:firstLine="0"/>
        <w:jc w:val="left"/>
        <w:rPr>
          <w:b/>
        </w:rPr>
      </w:pPr>
      <w:r>
        <w:rPr>
          <w:b/>
        </w:rPr>
        <w:t>1 Introdução</w:t>
      </w:r>
    </w:p>
    <w:p w14:paraId="7200B5D1" w14:textId="77777777" w:rsidR="009C05AE" w:rsidRPr="009C05AE" w:rsidRDefault="009C05AE" w:rsidP="009C05AE">
      <w:r w:rsidRPr="009C05AE">
        <w:t xml:space="preserve">O Capital Intelectual (CI) tornou-se uma variável poderosa dentro das organizações. É reconhecido crescentemente como um ativo importante para desempenho dos negócios e a base para liderança e diferenciação de mercado, cujo conhecimento tem conseguido espaço como insumo principal da empresa (DAVEY; SCHNEIDER; DAVEY, 2009). Os recursos financeiros e tangíveis deixaram de ser os únicos responsáveis pela criação de valor para organização e os ativos intangíveis passaram a ter um papel indispensável na determinação do verdadeiro valor de uma entidade (CRUZ; ALVES, 2013). </w:t>
      </w:r>
    </w:p>
    <w:p w14:paraId="204C08A4" w14:textId="77777777" w:rsidR="009C05AE" w:rsidRPr="009C05AE" w:rsidRDefault="009C05AE" w:rsidP="009C05AE">
      <w:r w:rsidRPr="009C05AE">
        <w:t xml:space="preserve">Considerando-se que os </w:t>
      </w:r>
      <w:r w:rsidRPr="009C05AE">
        <w:rPr>
          <w:i/>
        </w:rPr>
        <w:t>stakeholders</w:t>
      </w:r>
      <w:r w:rsidRPr="009C05AE">
        <w:t xml:space="preserve"> procuram maior compreensão dos negócios organizacionais, as divulgações do CI nos relatórios anuais permitem melhor avaliação de ganhos futuros e os riscos associados a diferentes oportunidades de investimento, reduzindo a assimetria da informação e avaliações irrealistas (BOUNFOUR; BISMUTH; TOJO, 2008). </w:t>
      </w:r>
    </w:p>
    <w:p w14:paraId="1FF43CD8" w14:textId="77777777" w:rsidR="009C05AE" w:rsidRPr="009C05AE" w:rsidRDefault="009C05AE" w:rsidP="009C05AE">
      <w:r w:rsidRPr="009C05AE">
        <w:t>Guthrie et al (2006) sustentam que para muitas empresas o CI representa uma parcela considerável do seu valor, porém mesmo cientes de sua importância ele não é reconhecido nos relatórios contábeis. Isto, devido as suas características não atenderem a definição de ativo conforme os padrões contábeis, o que passa a elevar o nível de assimetria de informações entre empresas e usuários das demonstrações financeiras (GUTHRIE et al, 2006).</w:t>
      </w:r>
    </w:p>
    <w:p w14:paraId="77CEE5F5" w14:textId="77777777" w:rsidR="009C05AE" w:rsidRPr="009C05AE" w:rsidRDefault="009C05AE" w:rsidP="009C05AE">
      <w:r w:rsidRPr="009C05AE">
        <w:t xml:space="preserve">Diante desse cenário de problemas conflitantes, os órgãos legislativos e reguladores começaram a observar limitações da atual definição destes ativos, permitindo que as empresas divulguem voluntariamente tais informações. Desse modo, as empresas começaram a divulgar por reconhecer a capacidade de geração de desempenho superior e benefícios esperados da divulgação ou demandas de partes interessadas, como acionistas, credores ou funcionários (VERGAUWEN; VAN ALEM, 2005). A divulgação voluntária pode, neste caso, ajudar a diminuir a assimetria de informações, diminuir o custo de capital e melhorar a reputação, auxiliando a diminuição de </w:t>
      </w:r>
      <w:r w:rsidRPr="009C05AE">
        <w:lastRenderedPageBreak/>
        <w:t>conflitos de agência (CRUZ; ALVES, 2013).</w:t>
      </w:r>
    </w:p>
    <w:p w14:paraId="5758F0BF" w14:textId="77777777" w:rsidR="009C05AE" w:rsidRPr="009C05AE" w:rsidRDefault="009C05AE" w:rsidP="009C05AE">
      <w:r w:rsidRPr="009C05AE">
        <w:t xml:space="preserve">Apesar das dificuldades em mensurar o CI existem fatores que levam as empresas a realizarem a divulgação voluntária deste tipo de informação, tornando-se valioso compreendê-las, devido à relevância para os usuários da informação adquirirem bases mais confiáveis para a tomada de decisões (LAMBERT, 1998). Alguns estudos constataram a existência de dispersas evidências sobre os determinantes do </w:t>
      </w:r>
      <w:proofErr w:type="spellStart"/>
      <w:r w:rsidRPr="009C05AE">
        <w:rPr>
          <w:i/>
        </w:rPr>
        <w:t>disclosure</w:t>
      </w:r>
      <w:proofErr w:type="spellEnd"/>
      <w:r w:rsidRPr="009C05AE">
        <w:t xml:space="preserve"> voluntário do CI, mas apesar do fluxo crescente de pesquisas, ainda são escassos resultados empíricos claros sobre os determinantes desta divulgação (BRUGGEN; VERGAUWEN; DAO, 2009).</w:t>
      </w:r>
    </w:p>
    <w:p w14:paraId="0A18BC43" w14:textId="77777777" w:rsidR="009C05AE" w:rsidRPr="009C05AE" w:rsidRDefault="009C05AE" w:rsidP="009C05AE">
      <w:r w:rsidRPr="009C05AE">
        <w:t xml:space="preserve">A busca pela compreensão desses fatores foi evidenciada em diversos estudos voltados ao contexto internacional como </w:t>
      </w:r>
      <w:proofErr w:type="spellStart"/>
      <w:r w:rsidRPr="009C05AE">
        <w:t>Davey</w:t>
      </w:r>
      <w:proofErr w:type="spellEnd"/>
      <w:r w:rsidRPr="009C05AE">
        <w:t xml:space="preserve"> et al (2009) que realizaram um comparativo da divulgação de empresas europeias e americanas; Cruz e Alves (2013) que realizaram estudo aplicado as empresas portuguesas; </w:t>
      </w:r>
      <w:proofErr w:type="spellStart"/>
      <w:r w:rsidRPr="009C05AE">
        <w:t>Brüggen</w:t>
      </w:r>
      <w:proofErr w:type="spellEnd"/>
      <w:r w:rsidRPr="009C05AE">
        <w:t xml:space="preserve">, </w:t>
      </w:r>
      <w:proofErr w:type="spellStart"/>
      <w:r w:rsidRPr="009C05AE">
        <w:t>Vergauwen</w:t>
      </w:r>
      <w:proofErr w:type="spellEnd"/>
      <w:r w:rsidRPr="009C05AE">
        <w:t xml:space="preserve"> e Dao (2009) cuja pesquisa focou na Austrália.</w:t>
      </w:r>
    </w:p>
    <w:p w14:paraId="71FB06E4" w14:textId="77777777" w:rsidR="009C05AE" w:rsidRPr="009C05AE" w:rsidRDefault="009C05AE" w:rsidP="009C05AE">
      <w:r w:rsidRPr="009C05AE">
        <w:t>Quanto ao contexto nacional não foram encontrados estudos atuais e o foco girava em torno de algum segmento específico ou abordavam apenas o fator “governança”. Utilizaram-se mais a técnica de frequência de divulgação do CI e os itens mais evidenciados do que propriamente os fatores impulsionadores dessa divulgação, deixando uma lacuna quanto aos testes empíricos sobre o assunto. Além do mais, os estudos empíricos existentes não foram consensuais, o que torna relevante contribuir na geração desse conhecimento.</w:t>
      </w:r>
    </w:p>
    <w:p w14:paraId="46444DA4" w14:textId="77777777" w:rsidR="009C05AE" w:rsidRPr="009C05AE" w:rsidRDefault="009C05AE" w:rsidP="009C05AE">
      <w:r w:rsidRPr="009C05AE">
        <w:t xml:space="preserve">Dessa forma, com a proposta em dar continuidade ao debate sobre o tema, o presente artigo tem como objetivo verificar os fatores determinantes no </w:t>
      </w:r>
      <w:proofErr w:type="spellStart"/>
      <w:r w:rsidRPr="009C05AE">
        <w:rPr>
          <w:i/>
        </w:rPr>
        <w:t>disclosure</w:t>
      </w:r>
      <w:proofErr w:type="spellEnd"/>
      <w:r w:rsidRPr="009C05AE">
        <w:t xml:space="preserve"> do Capital Intelectual de empresas brasileiras. A literatura aponta diversos fatores que influenciam a divulgação do CI pelas empresas, entre os quais são investigados neste estudo: tamanho, rentabilidade, endividamento, governança e setor (BRUGGEN; VERGAUWEN; DAO, 2009; REINA; ENSSLIN, 2011; CRUZ; ALVES, 2013).</w:t>
      </w:r>
    </w:p>
    <w:p w14:paraId="45636D4F" w14:textId="77777777" w:rsidR="009C05AE" w:rsidRPr="009C05AE" w:rsidRDefault="009C05AE" w:rsidP="009C05AE">
      <w:r w:rsidRPr="009C05AE">
        <w:t>A presente pesquisa justifica-se, uma vez que estudos sobre CI tem crescido desde os anos 1990, além das diferentes formas de classificação e avaliação desse tipo de ativo. Como também pelo fato de que pouco se sabe sobre os fatores determinantes nos níveis de evidenciação do capital intelectual nos relatórios anuais das organizações. Dessa forma, esta pesquisa buscou contribuir nos estudos sobre os fatores que influenciam na divulgação do CI de empresas</w:t>
      </w:r>
      <w:r w:rsidRPr="009C05AE">
        <w:rPr>
          <w:b/>
        </w:rPr>
        <w:t xml:space="preserve"> </w:t>
      </w:r>
      <w:r w:rsidRPr="009C05AE">
        <w:t>que fazem parte do Índice Brasil 50 (</w:t>
      </w:r>
      <w:proofErr w:type="spellStart"/>
      <w:r w:rsidRPr="009C05AE">
        <w:t>IBrX</w:t>
      </w:r>
      <w:proofErr w:type="spellEnd"/>
      <w:r w:rsidRPr="009C05AE">
        <w:t xml:space="preserve"> 50) da Brasil, Bolsa, Balcão – B3, índice este considerado importante já que nele constam os ativos de maior negociabilidade e representatividade do mercado de ações brasileiro.</w:t>
      </w:r>
    </w:p>
    <w:p w14:paraId="12655CA6" w14:textId="77777777" w:rsidR="009C05AE" w:rsidRPr="009C05AE" w:rsidRDefault="009C05AE" w:rsidP="009C05AE">
      <w:r w:rsidRPr="009C05AE">
        <w:t>Por questões didáticas, este estudo está constituído por cinco tópicos: este primeiro denominado introdução que fornece uma visão geral a respeito da pesquisa. O segundo compreende o embasamento do estudo, constituído do capital intelectual e seus componentes e teorias existentes sobre divulgação de Informações. O terceiro trata da metodologia que norteou a pesquisa. O quarto apresenta a descrição e análise dos dados da pesquisa. E, finalmente, o quinto traz as considerações finais.</w:t>
      </w:r>
    </w:p>
    <w:p w14:paraId="55A003D3" w14:textId="77777777" w:rsidR="009C05AE" w:rsidRPr="009C05AE" w:rsidRDefault="009C05AE" w:rsidP="009C05AE">
      <w:pPr>
        <w:ind w:firstLine="0"/>
      </w:pPr>
    </w:p>
    <w:p w14:paraId="76BFA657" w14:textId="77777777" w:rsidR="009C05AE" w:rsidRPr="009C05AE" w:rsidRDefault="009C05AE" w:rsidP="009C05AE">
      <w:pPr>
        <w:ind w:firstLine="0"/>
        <w:rPr>
          <w:b/>
        </w:rPr>
      </w:pPr>
      <w:r w:rsidRPr="009C05AE">
        <w:rPr>
          <w:b/>
        </w:rPr>
        <w:t>2 Fundamentação Teórica</w:t>
      </w:r>
    </w:p>
    <w:p w14:paraId="315D5F01" w14:textId="77777777" w:rsidR="009C05AE" w:rsidRPr="009C05AE" w:rsidRDefault="009C05AE" w:rsidP="009C05AE">
      <w:pPr>
        <w:ind w:firstLine="0"/>
        <w:rPr>
          <w:b/>
        </w:rPr>
      </w:pPr>
      <w:r w:rsidRPr="009C05AE">
        <w:rPr>
          <w:b/>
        </w:rPr>
        <w:t>2.1 Teoria da Divulgação Voluntária</w:t>
      </w:r>
    </w:p>
    <w:p w14:paraId="66126587" w14:textId="77777777" w:rsidR="009C05AE" w:rsidRPr="009C05AE" w:rsidRDefault="009C05AE" w:rsidP="009C05AE">
      <w:r w:rsidRPr="009C05AE">
        <w:t xml:space="preserve">Diante das complexidades envolvendo o CI, o que dificulta sua incorporação na estrutura contábil vigente, muitas discussões passaram a surgir (VAN DER MEER-KOOISTRA; ZIJLSTRA, 2001), dentre elas, que a divulgação da informação voluntária sobre capital intelectual é uma das alternativas encontradas pelas organizações para dar resposta às mudanças estruturais e à necessidade de manter a transparência com os seus </w:t>
      </w:r>
      <w:r w:rsidRPr="009C05AE">
        <w:rPr>
          <w:i/>
        </w:rPr>
        <w:t>stakeholders</w:t>
      </w:r>
      <w:r w:rsidRPr="009C05AE">
        <w:t xml:space="preserve">, além de ser mais flexível para poder acompanhar a rápida mudança sofrida pelo CI (MATEUS, 2018). </w:t>
      </w:r>
    </w:p>
    <w:p w14:paraId="6ACDE6C6" w14:textId="77777777" w:rsidR="009C05AE" w:rsidRPr="009C05AE" w:rsidRDefault="009C05AE" w:rsidP="009C05AE">
      <w:r w:rsidRPr="009C05AE">
        <w:lastRenderedPageBreak/>
        <w:t xml:space="preserve">Partindo do princípio de que o que é medido é gerido, um dos principais estímulos para a divulgação do CI é tornar visível o oculto (COOPER; SHERER, 1984). Nos anos 1990, aproximadamente 40% do valor de mercado das empresas de capital aberto dos Estados Unidos não estavam evidenciados no Balanço Patrimonial e, dependendo do setor de atividades, esse valor se aproximava de 100% (MACEDO et al, 2015). </w:t>
      </w:r>
    </w:p>
    <w:p w14:paraId="781B27FF" w14:textId="77777777" w:rsidR="009C05AE" w:rsidRPr="009C05AE" w:rsidRDefault="009C05AE" w:rsidP="009C05AE">
      <w:r w:rsidRPr="009C05AE">
        <w:t xml:space="preserve">Perez e </w:t>
      </w:r>
      <w:proofErr w:type="spellStart"/>
      <w:r w:rsidRPr="009C05AE">
        <w:t>Famá</w:t>
      </w:r>
      <w:proofErr w:type="spellEnd"/>
      <w:r w:rsidRPr="009C05AE">
        <w:t xml:space="preserve"> (2006) afirmam que o CI mesmo na atuação como agente agregador de valor nas organizações, traz consigo uma problemática devido ao seu tratamento contábil, o que acarreta, muitas vezes, na sua não contemplação nos balanços tradicionais, levando a um distanciamento entre o patrimônio dos acionistas a valor de mercado e o patrimônio dos acionistas refletido pela contabilidade tradicional.</w:t>
      </w:r>
    </w:p>
    <w:p w14:paraId="44DA5B65" w14:textId="77777777" w:rsidR="009C05AE" w:rsidRPr="009C05AE" w:rsidRDefault="009C05AE" w:rsidP="009C05AE">
      <w:r w:rsidRPr="009C05AE">
        <w:t xml:space="preserve">Diante disso, algumas empresas iniciaram um processo de evidenciação voluntária dessas informações internas e gerenciais, com o objetivo apresentar aos usuários das demonstrações contábeis a situação real tanto financeira como patrimonial de uma entidade (MACEDO et al., 2015). </w:t>
      </w:r>
    </w:p>
    <w:p w14:paraId="07F111FA" w14:textId="77777777" w:rsidR="009C05AE" w:rsidRPr="009C05AE" w:rsidRDefault="009C05AE" w:rsidP="009C05AE">
      <w:r w:rsidRPr="009C05AE">
        <w:t>Esse tipo de evidenciação consiste no processo de disseminação da informação, abordando três características essenciais. A primeira é a “evidenciação adequada”, que tem como pressuposto um volume mínimo de divulgação compatível com o objetivo de evitar que as demonstrações sejam enganadoras; a segunda característica trata da “evidenciação justa”, que faz referência ao objetivo ético de tratamento equitativo de todos os usuários em potencial; e, a terceira trata da “evidenciação completa”, pressupondo a divulgação de todas as informações relevantes, sem informações supérfluas (HENDRIKSEN; VAN BREDA, 1999).</w:t>
      </w:r>
    </w:p>
    <w:p w14:paraId="464B66F5" w14:textId="77777777" w:rsidR="009C05AE" w:rsidRPr="009C05AE" w:rsidRDefault="009C05AE" w:rsidP="009C05AE">
      <w:r w:rsidRPr="009C05AE">
        <w:t xml:space="preserve">Williams (2001) destaca que uma política de divulgação efetivamente gerenciada pode incorrer em diversos benefícios econômicos para as empresas. Como exemplo, aponta-se a evidenciação voluntária acerca de informações sobre o CI que permitem aos investidores e outras partes interessadas melhor avaliação acerca da capacidade de criação futura de riqueza da empresa, reduzindo a assimetria informacional e o custo de capital (LOPES; ALENCAR, 2010). </w:t>
      </w:r>
    </w:p>
    <w:p w14:paraId="55B99540" w14:textId="77777777" w:rsidR="009C05AE" w:rsidRPr="009C05AE" w:rsidRDefault="009C05AE" w:rsidP="009C05AE">
      <w:proofErr w:type="spellStart"/>
      <w:r w:rsidRPr="009C05AE">
        <w:t>Davey</w:t>
      </w:r>
      <w:proofErr w:type="spellEnd"/>
      <w:r w:rsidRPr="009C05AE">
        <w:t xml:space="preserve"> et al (2009) destacam que os gestores possuem incentivos para divulgar informações voluntárias, diante da pressão sofrida pelo mercado, buscando estarem melhores vistos pelos </w:t>
      </w:r>
      <w:r w:rsidRPr="009C05AE">
        <w:rPr>
          <w:i/>
        </w:rPr>
        <w:t>stakeholders</w:t>
      </w:r>
      <w:r w:rsidRPr="009C05AE">
        <w:t>. Macedo et al (2015) destacam alguns motivos que justificam a necessidade de divulgar informações sobre o CI:</w:t>
      </w:r>
    </w:p>
    <w:p w14:paraId="4B9FA6B2" w14:textId="77777777" w:rsidR="009C05AE" w:rsidRPr="009C05AE" w:rsidRDefault="009C05AE" w:rsidP="009C05AE">
      <w:pPr>
        <w:widowControl/>
        <w:numPr>
          <w:ilvl w:val="0"/>
          <w:numId w:val="2"/>
        </w:numPr>
        <w:pBdr>
          <w:top w:val="nil"/>
          <w:left w:val="nil"/>
          <w:bottom w:val="nil"/>
          <w:right w:val="nil"/>
          <w:between w:val="nil"/>
        </w:pBdr>
        <w:spacing w:line="259" w:lineRule="auto"/>
        <w:rPr>
          <w:color w:val="000000"/>
        </w:rPr>
      </w:pPr>
      <w:r w:rsidRPr="009C05AE">
        <w:rPr>
          <w:color w:val="000000"/>
        </w:rPr>
        <w:t>Se as informações não forem evidenciadas, poderá prejudicar os acionistas minoritários pelo fato de não terem livre acesso aos intangíveis da empresa;</w:t>
      </w:r>
    </w:p>
    <w:p w14:paraId="46CACA76" w14:textId="77777777" w:rsidR="009C05AE" w:rsidRPr="009C05AE" w:rsidRDefault="009C05AE" w:rsidP="009C05AE">
      <w:pPr>
        <w:widowControl/>
        <w:numPr>
          <w:ilvl w:val="0"/>
          <w:numId w:val="2"/>
        </w:numPr>
        <w:pBdr>
          <w:top w:val="nil"/>
          <w:left w:val="nil"/>
          <w:bottom w:val="nil"/>
          <w:right w:val="nil"/>
          <w:between w:val="nil"/>
        </w:pBdr>
        <w:spacing w:line="259" w:lineRule="auto"/>
        <w:rPr>
          <w:color w:val="000000"/>
        </w:rPr>
      </w:pPr>
      <w:proofErr w:type="spellStart"/>
      <w:r w:rsidRPr="009C05AE">
        <w:rPr>
          <w:i/>
          <w:color w:val="000000"/>
        </w:rPr>
        <w:t>Insider</w:t>
      </w:r>
      <w:proofErr w:type="spellEnd"/>
      <w:r w:rsidRPr="009C05AE">
        <w:rPr>
          <w:i/>
          <w:color w:val="000000"/>
        </w:rPr>
        <w:t xml:space="preserve"> Trading</w:t>
      </w:r>
      <w:r w:rsidRPr="009C05AE">
        <w:rPr>
          <w:color w:val="000000"/>
        </w:rPr>
        <w:t xml:space="preserve"> - comércio com intuito de explorar informações privilegiadas da empresa;</w:t>
      </w:r>
    </w:p>
    <w:p w14:paraId="6CC5FBDD" w14:textId="77777777" w:rsidR="009C05AE" w:rsidRPr="009C05AE" w:rsidRDefault="009C05AE" w:rsidP="009C05AE">
      <w:pPr>
        <w:widowControl/>
        <w:numPr>
          <w:ilvl w:val="0"/>
          <w:numId w:val="2"/>
        </w:numPr>
        <w:pBdr>
          <w:top w:val="nil"/>
          <w:left w:val="nil"/>
          <w:bottom w:val="nil"/>
          <w:right w:val="nil"/>
          <w:between w:val="nil"/>
        </w:pBdr>
        <w:spacing w:line="259" w:lineRule="auto"/>
        <w:rPr>
          <w:color w:val="000000"/>
        </w:rPr>
      </w:pPr>
      <w:r w:rsidRPr="009C05AE">
        <w:rPr>
          <w:color w:val="000000"/>
        </w:rPr>
        <w:t>Verificar a liquidez de mercado de ações e demanda crescente pelos títulos de crédito da empresa advindo de uma maior evidenciação dos intangíveis;</w:t>
      </w:r>
    </w:p>
    <w:p w14:paraId="025C35D0" w14:textId="77777777" w:rsidR="009C05AE" w:rsidRPr="009C05AE" w:rsidRDefault="009C05AE" w:rsidP="009C05AE">
      <w:pPr>
        <w:widowControl/>
        <w:numPr>
          <w:ilvl w:val="0"/>
          <w:numId w:val="2"/>
        </w:numPr>
        <w:pBdr>
          <w:top w:val="nil"/>
          <w:left w:val="nil"/>
          <w:bottom w:val="nil"/>
          <w:right w:val="nil"/>
          <w:between w:val="nil"/>
        </w:pBdr>
        <w:spacing w:line="259" w:lineRule="auto"/>
        <w:rPr>
          <w:color w:val="000000"/>
        </w:rPr>
      </w:pPr>
      <w:r w:rsidRPr="009C05AE">
        <w:rPr>
          <w:color w:val="000000"/>
        </w:rPr>
        <w:t>Risco para as instituições, pois não havendo evidenciação aumenta o perigo de estimações imprecisas para os investidores e bancos, representando assim um risco maior para as instituições.</w:t>
      </w:r>
    </w:p>
    <w:p w14:paraId="26892F07" w14:textId="77777777" w:rsidR="009C05AE" w:rsidRPr="009C05AE" w:rsidRDefault="009C05AE" w:rsidP="009C05AE">
      <w:r w:rsidRPr="009C05AE">
        <w:t>Uma avaliação mais confiável por parte dos usuários pode vir a surgir com a adequada divulgação adicional de informações não financeiras, o que pode desencadear na elevação da crença em futuras capacidades de criação de riqueza da empresa e, portanto, atrair mais investidores, aumentando a capitalização de mercado (SINGH; MITCHELL VAN DER ZAHN, 2008).</w:t>
      </w:r>
    </w:p>
    <w:p w14:paraId="77DDD770" w14:textId="77777777" w:rsidR="009C05AE" w:rsidRPr="009C05AE" w:rsidRDefault="009C05AE" w:rsidP="009C05AE">
      <w:r w:rsidRPr="009C05AE">
        <w:t xml:space="preserve">Diante do que foi apresentado, percebe-se que a divulgação de informação sobre o CI nos relatórios contábeis pode beneficiar a empresa de diversas maneiras, otimizando a relação com os </w:t>
      </w:r>
      <w:r w:rsidRPr="009C05AE">
        <w:rPr>
          <w:i/>
        </w:rPr>
        <w:t>stakeholders</w:t>
      </w:r>
      <w:r w:rsidRPr="009C05AE">
        <w:t xml:space="preserve">, representando informações mais fidedignas, o que eleva a confiança dos usuários </w:t>
      </w:r>
      <w:r w:rsidRPr="009C05AE">
        <w:lastRenderedPageBreak/>
        <w:t xml:space="preserve">aumentando a atração de potenciais investidores e diminuição de custos capitais. </w:t>
      </w:r>
    </w:p>
    <w:p w14:paraId="149EE7DD" w14:textId="77777777" w:rsidR="009C05AE" w:rsidRPr="009C05AE" w:rsidRDefault="009C05AE" w:rsidP="009C05AE">
      <w:pPr>
        <w:ind w:firstLine="0"/>
        <w:rPr>
          <w:b/>
        </w:rPr>
      </w:pPr>
    </w:p>
    <w:p w14:paraId="2F31CCA6" w14:textId="77777777" w:rsidR="009C05AE" w:rsidRPr="009C05AE" w:rsidRDefault="009C05AE" w:rsidP="009C05AE">
      <w:pPr>
        <w:ind w:firstLine="0"/>
      </w:pPr>
      <w:r w:rsidRPr="009C05AE">
        <w:rPr>
          <w:b/>
        </w:rPr>
        <w:t>2.2 Capital Intelectual e seus componentes</w:t>
      </w:r>
    </w:p>
    <w:p w14:paraId="2484BB19" w14:textId="77777777" w:rsidR="009C05AE" w:rsidRPr="009C05AE" w:rsidRDefault="009C05AE" w:rsidP="009C05AE">
      <w:r w:rsidRPr="009C05AE">
        <w:t xml:space="preserve">O capital intelectual pode ser definido como recursos intelectuais ou do conhecimento, experiências e habilidades profissionais, relacionamentos e capacidades tecnológicas que interagem entre si e com ativos tangíveis para o alcance dos objetivos empresariais, além de acarretar em vantagens competitivas e geração de valor para os </w:t>
      </w:r>
      <w:r w:rsidRPr="009C05AE">
        <w:rPr>
          <w:i/>
        </w:rPr>
        <w:t>stakeholders</w:t>
      </w:r>
      <w:r w:rsidRPr="009C05AE">
        <w:t xml:space="preserve"> (TOVSTIGA; TULUGUROVA, 2009). Pode ser ainda uma fonte de vantagem competitiva que orienta a geração de riqueza e proporciona valor adicional aos investidores, ou seja, o aprendizado, a habilidade e a capacidade que podem ser transformados em valor (SANTORO, 2018).</w:t>
      </w:r>
    </w:p>
    <w:p w14:paraId="130A69CE" w14:textId="77777777" w:rsidR="009C05AE" w:rsidRPr="009C05AE" w:rsidRDefault="009C05AE" w:rsidP="009C05AE">
      <w:r w:rsidRPr="009C05AE">
        <w:t xml:space="preserve">O CI compreende um entendimento quanto à natureza dos ativos intangíveis e sua capacidade de criação de valor para a entidade, cuja contribuição desses ativos na formação dos resultados é reconhecida pela contabilidade (BACKES; OTT; WIETHAEUPER, 2005). O CI é reconhecido ainda na literatura como um intangível que inclui habilidades dos empregados, inovação, marcas, bons relacionamentos com os </w:t>
      </w:r>
      <w:r w:rsidRPr="009C05AE">
        <w:rPr>
          <w:i/>
        </w:rPr>
        <w:t>stakeholders</w:t>
      </w:r>
      <w:r w:rsidRPr="009C05AE">
        <w:t xml:space="preserve"> e outros elementos que agregam valor ao produto ou serviço da organização (MACEDO et al., 2015).</w:t>
      </w:r>
    </w:p>
    <w:p w14:paraId="1189AE66" w14:textId="77777777" w:rsidR="009C05AE" w:rsidRPr="009C05AE" w:rsidRDefault="009C05AE" w:rsidP="009C05AE">
      <w:r w:rsidRPr="009C05AE">
        <w:t>O CI é considerado um recurso adequado de benefício ou vantagem competitiva sustentável, assim como o modo por meio do qual o desenvolvimento tecnológico e o crescimento econômico são geridos, presentemente identificado como um ativo intangível essencial nos negócios (SANTORO, 2018). Assim, é considerado um conjunto de conhecimentos e informações em uma empresa ou organização que ajuda a aumentar o valor de produtos e serviços através da inteligência, representando os ativos intangíveis conhecidos como ativos de conhecimento (ALLAMEH, 2018). </w:t>
      </w:r>
    </w:p>
    <w:p w14:paraId="69F4391F" w14:textId="77777777" w:rsidR="009C05AE" w:rsidRPr="009C05AE" w:rsidRDefault="009C05AE" w:rsidP="009C05AE">
      <w:r w:rsidRPr="009C05AE">
        <w:t>Existem várias explicações na literatura quanto à conceituação do CI, no entanto, apesar de não haver um conceito unificado, um aspecto comum pode ser observado nas definições existentes, a capacidade desse recurso em gerar valor para a organização (MOH-SALEH; RAHMAN; RIDHUAN, 2009).</w:t>
      </w:r>
    </w:p>
    <w:p w14:paraId="594051B2" w14:textId="77777777" w:rsidR="009C05AE" w:rsidRPr="009C05AE" w:rsidRDefault="009C05AE" w:rsidP="009C05AE">
      <w:r w:rsidRPr="009C05AE">
        <w:t xml:space="preserve">Outra caracterização divergente sobre o CI apontada nas pesquisas foi quanto as classes ou categorias que o compõe. </w:t>
      </w:r>
      <w:proofErr w:type="spellStart"/>
      <w:r w:rsidRPr="009C05AE">
        <w:t>Choong</w:t>
      </w:r>
      <w:proofErr w:type="spellEnd"/>
      <w:r w:rsidRPr="009C05AE">
        <w:t xml:space="preserve"> (2008) apresenta um amplo detalhamento das diversas classificações das categorias e subcategorias de capital intelectual explanadas por vários autores, mas embora haja divergência entre as definições, a maioria dos estudos analisados encontraram um consenso quanto ao CI ser um modelo constituído por três componentes: Capital Humano, Capital Relacional e Capital Estrutural.</w:t>
      </w:r>
    </w:p>
    <w:p w14:paraId="138B0809" w14:textId="77777777" w:rsidR="009C05AE" w:rsidRPr="009C05AE" w:rsidRDefault="009C05AE" w:rsidP="009C05AE"/>
    <w:p w14:paraId="57C00A19" w14:textId="3FDD13A6" w:rsidR="009C05AE" w:rsidRPr="009C05AE" w:rsidRDefault="009C05AE" w:rsidP="009C05AE">
      <w:pPr>
        <w:ind w:firstLine="0"/>
        <w:jc w:val="center"/>
        <w:rPr>
          <w:sz w:val="20"/>
          <w:szCs w:val="20"/>
        </w:rPr>
      </w:pPr>
      <w:r w:rsidRPr="006A4866">
        <w:rPr>
          <w:b/>
          <w:bCs/>
          <w:sz w:val="20"/>
          <w:szCs w:val="20"/>
        </w:rPr>
        <w:t>Quadro 1</w:t>
      </w:r>
      <w:r w:rsidR="006A4866">
        <w:rPr>
          <w:b/>
          <w:bCs/>
          <w:sz w:val="20"/>
          <w:szCs w:val="20"/>
        </w:rPr>
        <w:t xml:space="preserve"> -</w:t>
      </w:r>
      <w:r w:rsidRPr="009C05AE">
        <w:rPr>
          <w:sz w:val="20"/>
          <w:szCs w:val="20"/>
        </w:rPr>
        <w:t xml:space="preserve"> Componentes do CI</w:t>
      </w:r>
    </w:p>
    <w:tbl>
      <w:tblPr>
        <w:tblW w:w="9282" w:type="dxa"/>
        <w:jc w:val="center"/>
        <w:tblLayout w:type="fixed"/>
        <w:tblLook w:val="0400" w:firstRow="0" w:lastRow="0" w:firstColumn="0" w:lastColumn="0" w:noHBand="0" w:noVBand="1"/>
      </w:tblPr>
      <w:tblGrid>
        <w:gridCol w:w="1311"/>
        <w:gridCol w:w="6364"/>
        <w:gridCol w:w="1607"/>
      </w:tblGrid>
      <w:tr w:rsidR="009C05AE" w:rsidRPr="009C05AE" w14:paraId="3FF97B89" w14:textId="77777777" w:rsidTr="009C05AE">
        <w:trPr>
          <w:trHeight w:val="377"/>
          <w:jc w:val="center"/>
        </w:trPr>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05033" w14:textId="77777777" w:rsidR="009C05AE" w:rsidRPr="009C05AE" w:rsidRDefault="009C05AE" w:rsidP="009C05AE">
            <w:pPr>
              <w:widowControl/>
              <w:ind w:firstLine="0"/>
              <w:jc w:val="center"/>
              <w:rPr>
                <w:b/>
                <w:color w:val="000000"/>
                <w:sz w:val="20"/>
                <w:szCs w:val="20"/>
              </w:rPr>
            </w:pPr>
            <w:r w:rsidRPr="009C05AE">
              <w:rPr>
                <w:b/>
                <w:color w:val="000000"/>
                <w:sz w:val="20"/>
                <w:szCs w:val="20"/>
              </w:rPr>
              <w:t>Componentes</w:t>
            </w:r>
          </w:p>
        </w:tc>
        <w:tc>
          <w:tcPr>
            <w:tcW w:w="6364" w:type="dxa"/>
            <w:tcBorders>
              <w:top w:val="single" w:sz="4" w:space="0" w:color="000000"/>
              <w:left w:val="nil"/>
              <w:bottom w:val="single" w:sz="4" w:space="0" w:color="000000"/>
              <w:right w:val="single" w:sz="4" w:space="0" w:color="000000"/>
            </w:tcBorders>
            <w:shd w:val="clear" w:color="auto" w:fill="auto"/>
            <w:vAlign w:val="center"/>
          </w:tcPr>
          <w:p w14:paraId="0D219CAE" w14:textId="77777777" w:rsidR="009C05AE" w:rsidRPr="009C05AE" w:rsidRDefault="009C05AE" w:rsidP="009C05AE">
            <w:pPr>
              <w:widowControl/>
              <w:ind w:firstLine="0"/>
              <w:jc w:val="center"/>
              <w:rPr>
                <w:b/>
                <w:color w:val="000000"/>
                <w:sz w:val="20"/>
                <w:szCs w:val="20"/>
              </w:rPr>
            </w:pPr>
            <w:r w:rsidRPr="009C05AE">
              <w:rPr>
                <w:b/>
                <w:color w:val="000000"/>
                <w:sz w:val="20"/>
                <w:szCs w:val="20"/>
              </w:rPr>
              <w:t>Conceituação</w:t>
            </w:r>
          </w:p>
        </w:tc>
        <w:tc>
          <w:tcPr>
            <w:tcW w:w="1607" w:type="dxa"/>
            <w:tcBorders>
              <w:top w:val="single" w:sz="4" w:space="0" w:color="000000"/>
              <w:left w:val="nil"/>
              <w:bottom w:val="single" w:sz="4" w:space="0" w:color="000000"/>
              <w:right w:val="single" w:sz="4" w:space="0" w:color="000000"/>
            </w:tcBorders>
            <w:shd w:val="clear" w:color="auto" w:fill="auto"/>
            <w:vAlign w:val="center"/>
          </w:tcPr>
          <w:p w14:paraId="5D848544" w14:textId="77777777" w:rsidR="009C05AE" w:rsidRPr="009C05AE" w:rsidRDefault="009C05AE" w:rsidP="009C05AE">
            <w:pPr>
              <w:widowControl/>
              <w:ind w:firstLine="0"/>
              <w:jc w:val="center"/>
              <w:rPr>
                <w:b/>
                <w:color w:val="000000"/>
                <w:sz w:val="20"/>
                <w:szCs w:val="20"/>
              </w:rPr>
            </w:pPr>
            <w:r w:rsidRPr="009C05AE">
              <w:rPr>
                <w:b/>
                <w:color w:val="000000"/>
                <w:sz w:val="20"/>
                <w:szCs w:val="20"/>
              </w:rPr>
              <w:t>Fontes</w:t>
            </w:r>
          </w:p>
        </w:tc>
      </w:tr>
      <w:tr w:rsidR="009C05AE" w:rsidRPr="009C05AE" w14:paraId="7BE432BC" w14:textId="77777777" w:rsidTr="009C05AE">
        <w:trPr>
          <w:trHeight w:val="818"/>
          <w:jc w:val="center"/>
        </w:trPr>
        <w:tc>
          <w:tcPr>
            <w:tcW w:w="1311" w:type="dxa"/>
            <w:vMerge w:val="restart"/>
            <w:tcBorders>
              <w:top w:val="nil"/>
              <w:left w:val="single" w:sz="4" w:space="0" w:color="000000"/>
              <w:bottom w:val="single" w:sz="4" w:space="0" w:color="000000"/>
              <w:right w:val="single" w:sz="4" w:space="0" w:color="000000"/>
            </w:tcBorders>
            <w:shd w:val="clear" w:color="auto" w:fill="auto"/>
            <w:vAlign w:val="center"/>
          </w:tcPr>
          <w:p w14:paraId="61051DF2" w14:textId="77777777" w:rsidR="009C05AE" w:rsidRPr="009C05AE" w:rsidRDefault="009C05AE" w:rsidP="009C05AE">
            <w:pPr>
              <w:widowControl/>
              <w:ind w:firstLine="0"/>
              <w:jc w:val="center"/>
              <w:rPr>
                <w:color w:val="000000"/>
                <w:sz w:val="20"/>
                <w:szCs w:val="20"/>
              </w:rPr>
            </w:pPr>
            <w:r w:rsidRPr="009C05AE">
              <w:rPr>
                <w:color w:val="000000"/>
                <w:sz w:val="20"/>
                <w:szCs w:val="20"/>
              </w:rPr>
              <w:t>Capital Humano</w:t>
            </w:r>
          </w:p>
        </w:tc>
        <w:tc>
          <w:tcPr>
            <w:tcW w:w="6364" w:type="dxa"/>
            <w:tcBorders>
              <w:top w:val="nil"/>
              <w:left w:val="nil"/>
              <w:bottom w:val="single" w:sz="4" w:space="0" w:color="000000"/>
              <w:right w:val="single" w:sz="4" w:space="0" w:color="000000"/>
            </w:tcBorders>
            <w:shd w:val="clear" w:color="auto" w:fill="auto"/>
            <w:vAlign w:val="center"/>
          </w:tcPr>
          <w:p w14:paraId="1C5AAB54" w14:textId="77777777" w:rsidR="009C05AE" w:rsidRPr="009C05AE" w:rsidRDefault="009C05AE" w:rsidP="009C05AE">
            <w:pPr>
              <w:widowControl/>
              <w:ind w:firstLine="0"/>
              <w:rPr>
                <w:color w:val="000000"/>
                <w:sz w:val="20"/>
                <w:szCs w:val="20"/>
              </w:rPr>
            </w:pPr>
            <w:r w:rsidRPr="009C05AE">
              <w:rPr>
                <w:color w:val="000000"/>
                <w:sz w:val="20"/>
                <w:szCs w:val="20"/>
              </w:rPr>
              <w:t>Inclui habilidades, experiência e conhecimento dos empregados, ou seja, todo o saber prático que se encontra presente na organização, incluindo mudanças e inovação organizacional.</w:t>
            </w:r>
          </w:p>
        </w:tc>
        <w:tc>
          <w:tcPr>
            <w:tcW w:w="1607" w:type="dxa"/>
            <w:tcBorders>
              <w:top w:val="nil"/>
              <w:left w:val="nil"/>
              <w:bottom w:val="single" w:sz="4" w:space="0" w:color="000000"/>
              <w:right w:val="single" w:sz="4" w:space="0" w:color="000000"/>
            </w:tcBorders>
            <w:shd w:val="clear" w:color="auto" w:fill="auto"/>
            <w:vAlign w:val="center"/>
          </w:tcPr>
          <w:p w14:paraId="5D6B63E5" w14:textId="77777777" w:rsidR="009C05AE" w:rsidRPr="009C05AE" w:rsidRDefault="009C05AE" w:rsidP="009C05AE">
            <w:pPr>
              <w:widowControl/>
              <w:ind w:firstLine="0"/>
              <w:jc w:val="center"/>
              <w:rPr>
                <w:color w:val="000000"/>
                <w:sz w:val="20"/>
                <w:szCs w:val="20"/>
              </w:rPr>
            </w:pPr>
            <w:proofErr w:type="spellStart"/>
            <w:r w:rsidRPr="009C05AE">
              <w:rPr>
                <w:color w:val="000000"/>
                <w:sz w:val="20"/>
                <w:szCs w:val="20"/>
              </w:rPr>
              <w:t>Ozkan</w:t>
            </w:r>
            <w:proofErr w:type="spellEnd"/>
            <w:r w:rsidRPr="009C05AE">
              <w:rPr>
                <w:color w:val="000000"/>
                <w:sz w:val="20"/>
                <w:szCs w:val="20"/>
              </w:rPr>
              <w:t xml:space="preserve">, </w:t>
            </w:r>
            <w:proofErr w:type="spellStart"/>
            <w:r w:rsidRPr="009C05AE">
              <w:rPr>
                <w:color w:val="000000"/>
                <w:sz w:val="20"/>
                <w:szCs w:val="20"/>
              </w:rPr>
              <w:t>Cakan</w:t>
            </w:r>
            <w:proofErr w:type="spellEnd"/>
            <w:r w:rsidRPr="009C05AE">
              <w:rPr>
                <w:color w:val="000000"/>
                <w:sz w:val="20"/>
                <w:szCs w:val="20"/>
              </w:rPr>
              <w:t xml:space="preserve"> e </w:t>
            </w:r>
            <w:proofErr w:type="spellStart"/>
            <w:r w:rsidRPr="009C05AE">
              <w:rPr>
                <w:color w:val="000000"/>
                <w:sz w:val="20"/>
                <w:szCs w:val="20"/>
              </w:rPr>
              <w:t>Kayacan</w:t>
            </w:r>
            <w:proofErr w:type="spellEnd"/>
            <w:r w:rsidRPr="009C05AE">
              <w:rPr>
                <w:color w:val="000000"/>
                <w:sz w:val="20"/>
                <w:szCs w:val="20"/>
              </w:rPr>
              <w:t xml:space="preserve"> (2017)</w:t>
            </w:r>
          </w:p>
        </w:tc>
      </w:tr>
      <w:tr w:rsidR="009C05AE" w:rsidRPr="009C05AE" w14:paraId="48AA3447" w14:textId="77777777" w:rsidTr="009C05AE">
        <w:trPr>
          <w:trHeight w:val="791"/>
          <w:jc w:val="center"/>
        </w:trPr>
        <w:tc>
          <w:tcPr>
            <w:tcW w:w="1311" w:type="dxa"/>
            <w:vMerge/>
            <w:tcBorders>
              <w:top w:val="nil"/>
              <w:left w:val="single" w:sz="4" w:space="0" w:color="000000"/>
              <w:bottom w:val="single" w:sz="4" w:space="0" w:color="000000"/>
              <w:right w:val="single" w:sz="4" w:space="0" w:color="000000"/>
            </w:tcBorders>
            <w:shd w:val="clear" w:color="auto" w:fill="auto"/>
            <w:vAlign w:val="center"/>
          </w:tcPr>
          <w:p w14:paraId="7C7B61BC" w14:textId="77777777" w:rsidR="009C05AE" w:rsidRPr="009C05AE" w:rsidRDefault="009C05AE" w:rsidP="009C05AE">
            <w:pPr>
              <w:pBdr>
                <w:top w:val="nil"/>
                <w:left w:val="nil"/>
                <w:bottom w:val="nil"/>
                <w:right w:val="nil"/>
                <w:between w:val="nil"/>
              </w:pBdr>
              <w:spacing w:line="276" w:lineRule="auto"/>
              <w:ind w:firstLine="0"/>
              <w:jc w:val="left"/>
              <w:rPr>
                <w:color w:val="000000"/>
                <w:sz w:val="20"/>
                <w:szCs w:val="20"/>
              </w:rPr>
            </w:pPr>
          </w:p>
        </w:tc>
        <w:tc>
          <w:tcPr>
            <w:tcW w:w="6364" w:type="dxa"/>
            <w:tcBorders>
              <w:top w:val="nil"/>
              <w:left w:val="nil"/>
              <w:bottom w:val="single" w:sz="4" w:space="0" w:color="000000"/>
              <w:right w:val="single" w:sz="4" w:space="0" w:color="000000"/>
            </w:tcBorders>
            <w:shd w:val="clear" w:color="auto" w:fill="auto"/>
            <w:vAlign w:val="center"/>
          </w:tcPr>
          <w:p w14:paraId="24616ADA" w14:textId="77777777" w:rsidR="009C05AE" w:rsidRPr="009C05AE" w:rsidRDefault="009C05AE" w:rsidP="009C05AE">
            <w:pPr>
              <w:widowControl/>
              <w:ind w:firstLine="0"/>
              <w:rPr>
                <w:color w:val="000000"/>
                <w:sz w:val="20"/>
                <w:szCs w:val="20"/>
              </w:rPr>
            </w:pPr>
            <w:r w:rsidRPr="009C05AE">
              <w:rPr>
                <w:color w:val="000000"/>
                <w:sz w:val="20"/>
                <w:szCs w:val="20"/>
              </w:rPr>
              <w:t>Definido como os conhecimentos, habilidades e experiências que saem da empresa uma vez que o dia útil é encerrado, como capacidade de motivação, criatividade, aprendizado, lealdade e flexibilidade dos funcionários.</w:t>
            </w:r>
          </w:p>
        </w:tc>
        <w:tc>
          <w:tcPr>
            <w:tcW w:w="1607" w:type="dxa"/>
            <w:tcBorders>
              <w:top w:val="nil"/>
              <w:left w:val="nil"/>
              <w:bottom w:val="single" w:sz="4" w:space="0" w:color="000000"/>
              <w:right w:val="single" w:sz="4" w:space="0" w:color="000000"/>
            </w:tcBorders>
            <w:shd w:val="clear" w:color="auto" w:fill="auto"/>
            <w:vAlign w:val="center"/>
          </w:tcPr>
          <w:p w14:paraId="484CE2EB" w14:textId="77777777" w:rsidR="009C05AE" w:rsidRPr="009C05AE" w:rsidRDefault="009C05AE" w:rsidP="009C05AE">
            <w:pPr>
              <w:widowControl/>
              <w:ind w:firstLine="0"/>
              <w:jc w:val="center"/>
              <w:rPr>
                <w:color w:val="000000"/>
                <w:sz w:val="20"/>
                <w:szCs w:val="20"/>
              </w:rPr>
            </w:pPr>
            <w:r w:rsidRPr="009C05AE">
              <w:rPr>
                <w:color w:val="000000"/>
                <w:sz w:val="20"/>
                <w:szCs w:val="20"/>
              </w:rPr>
              <w:t>Ting e Lean (2009)</w:t>
            </w:r>
          </w:p>
        </w:tc>
      </w:tr>
      <w:tr w:rsidR="009C05AE" w:rsidRPr="009C05AE" w14:paraId="1E6A1B82" w14:textId="77777777" w:rsidTr="009C05AE">
        <w:trPr>
          <w:trHeight w:val="799"/>
          <w:jc w:val="center"/>
        </w:trPr>
        <w:tc>
          <w:tcPr>
            <w:tcW w:w="1311" w:type="dxa"/>
            <w:vMerge w:val="restart"/>
            <w:tcBorders>
              <w:top w:val="nil"/>
              <w:left w:val="single" w:sz="4" w:space="0" w:color="000000"/>
              <w:bottom w:val="single" w:sz="4" w:space="0" w:color="000000"/>
              <w:right w:val="single" w:sz="4" w:space="0" w:color="000000"/>
            </w:tcBorders>
            <w:shd w:val="clear" w:color="auto" w:fill="auto"/>
            <w:vAlign w:val="center"/>
          </w:tcPr>
          <w:p w14:paraId="44A458A4" w14:textId="77777777" w:rsidR="009C05AE" w:rsidRPr="009C05AE" w:rsidRDefault="009C05AE" w:rsidP="009C05AE">
            <w:pPr>
              <w:widowControl/>
              <w:ind w:firstLine="0"/>
              <w:jc w:val="center"/>
              <w:rPr>
                <w:color w:val="000000"/>
                <w:sz w:val="20"/>
                <w:szCs w:val="20"/>
              </w:rPr>
            </w:pPr>
            <w:r w:rsidRPr="009C05AE">
              <w:rPr>
                <w:color w:val="000000"/>
                <w:sz w:val="20"/>
                <w:szCs w:val="20"/>
              </w:rPr>
              <w:t>Capital Relacional</w:t>
            </w:r>
          </w:p>
        </w:tc>
        <w:tc>
          <w:tcPr>
            <w:tcW w:w="6364" w:type="dxa"/>
            <w:tcBorders>
              <w:top w:val="nil"/>
              <w:left w:val="nil"/>
              <w:bottom w:val="single" w:sz="4" w:space="0" w:color="000000"/>
              <w:right w:val="single" w:sz="4" w:space="0" w:color="000000"/>
            </w:tcBorders>
            <w:shd w:val="clear" w:color="auto" w:fill="auto"/>
            <w:vAlign w:val="center"/>
          </w:tcPr>
          <w:p w14:paraId="6FE9650A" w14:textId="77777777" w:rsidR="009C05AE" w:rsidRPr="009C05AE" w:rsidRDefault="009C05AE" w:rsidP="009C05AE">
            <w:pPr>
              <w:widowControl/>
              <w:ind w:firstLine="0"/>
              <w:rPr>
                <w:color w:val="000000"/>
                <w:sz w:val="20"/>
                <w:szCs w:val="20"/>
              </w:rPr>
            </w:pPr>
            <w:r w:rsidRPr="009C05AE">
              <w:rPr>
                <w:color w:val="000000"/>
                <w:sz w:val="20"/>
                <w:szCs w:val="20"/>
              </w:rPr>
              <w:t>Abrange as relações com o ambiente externo, incluindo assim todos os ativos intangíveis que ajustam e conduzem os relacionamentos com clientes, fornecedores e outras partes interessadas.</w:t>
            </w:r>
          </w:p>
        </w:tc>
        <w:tc>
          <w:tcPr>
            <w:tcW w:w="1607" w:type="dxa"/>
            <w:tcBorders>
              <w:top w:val="nil"/>
              <w:left w:val="nil"/>
              <w:bottom w:val="single" w:sz="4" w:space="0" w:color="000000"/>
              <w:right w:val="single" w:sz="4" w:space="0" w:color="000000"/>
            </w:tcBorders>
            <w:shd w:val="clear" w:color="auto" w:fill="auto"/>
            <w:vAlign w:val="center"/>
          </w:tcPr>
          <w:p w14:paraId="67D62C30" w14:textId="77777777" w:rsidR="009C05AE" w:rsidRPr="009C05AE" w:rsidRDefault="009C05AE" w:rsidP="009C05AE">
            <w:pPr>
              <w:widowControl/>
              <w:ind w:firstLine="0"/>
              <w:jc w:val="center"/>
              <w:rPr>
                <w:color w:val="000000"/>
                <w:sz w:val="20"/>
                <w:szCs w:val="20"/>
              </w:rPr>
            </w:pPr>
            <w:proofErr w:type="spellStart"/>
            <w:r w:rsidRPr="009C05AE">
              <w:rPr>
                <w:color w:val="000000"/>
                <w:sz w:val="20"/>
                <w:szCs w:val="20"/>
              </w:rPr>
              <w:t>Ozkan</w:t>
            </w:r>
            <w:proofErr w:type="spellEnd"/>
            <w:r w:rsidRPr="009C05AE">
              <w:rPr>
                <w:color w:val="000000"/>
                <w:sz w:val="20"/>
                <w:szCs w:val="20"/>
              </w:rPr>
              <w:t xml:space="preserve"> et al (2017)</w:t>
            </w:r>
          </w:p>
        </w:tc>
      </w:tr>
      <w:tr w:rsidR="009C05AE" w:rsidRPr="009C05AE" w14:paraId="4FD4F64A" w14:textId="77777777" w:rsidTr="009C05AE">
        <w:trPr>
          <w:trHeight w:val="569"/>
          <w:jc w:val="center"/>
        </w:trPr>
        <w:tc>
          <w:tcPr>
            <w:tcW w:w="1311" w:type="dxa"/>
            <w:vMerge/>
            <w:tcBorders>
              <w:top w:val="nil"/>
              <w:left w:val="single" w:sz="4" w:space="0" w:color="000000"/>
              <w:bottom w:val="single" w:sz="4" w:space="0" w:color="000000"/>
              <w:right w:val="single" w:sz="4" w:space="0" w:color="000000"/>
            </w:tcBorders>
            <w:shd w:val="clear" w:color="auto" w:fill="auto"/>
            <w:vAlign w:val="center"/>
          </w:tcPr>
          <w:p w14:paraId="67AE1D8B" w14:textId="77777777" w:rsidR="009C05AE" w:rsidRPr="009C05AE" w:rsidRDefault="009C05AE" w:rsidP="009C05AE">
            <w:pPr>
              <w:pBdr>
                <w:top w:val="nil"/>
                <w:left w:val="nil"/>
                <w:bottom w:val="nil"/>
                <w:right w:val="nil"/>
                <w:between w:val="nil"/>
              </w:pBdr>
              <w:spacing w:line="276" w:lineRule="auto"/>
              <w:ind w:firstLine="0"/>
              <w:jc w:val="left"/>
              <w:rPr>
                <w:color w:val="000000"/>
                <w:sz w:val="20"/>
                <w:szCs w:val="20"/>
              </w:rPr>
            </w:pPr>
          </w:p>
        </w:tc>
        <w:tc>
          <w:tcPr>
            <w:tcW w:w="6364" w:type="dxa"/>
            <w:tcBorders>
              <w:top w:val="nil"/>
              <w:left w:val="nil"/>
              <w:bottom w:val="single" w:sz="4" w:space="0" w:color="000000"/>
              <w:right w:val="single" w:sz="4" w:space="0" w:color="000000"/>
            </w:tcBorders>
            <w:shd w:val="clear" w:color="auto" w:fill="auto"/>
            <w:vAlign w:val="center"/>
          </w:tcPr>
          <w:p w14:paraId="1DB05D1A" w14:textId="77777777" w:rsidR="009C05AE" w:rsidRPr="009C05AE" w:rsidRDefault="009C05AE" w:rsidP="009C05AE">
            <w:pPr>
              <w:widowControl/>
              <w:ind w:firstLine="0"/>
              <w:rPr>
                <w:color w:val="000000"/>
                <w:sz w:val="20"/>
                <w:szCs w:val="20"/>
              </w:rPr>
            </w:pPr>
            <w:r w:rsidRPr="009C05AE">
              <w:rPr>
                <w:color w:val="000000"/>
                <w:sz w:val="20"/>
                <w:szCs w:val="20"/>
              </w:rPr>
              <w:t>É o movimento de conhecimento entre diferentes partes interessadas através da transferência de aprendizagem, interação em grupo e informações que fluem através de redes, ou seja, um ativo intangível que depende de criar e manter relacionamentos com indivíduos, grupos e organizações que afetam os negócios.</w:t>
            </w:r>
          </w:p>
        </w:tc>
        <w:tc>
          <w:tcPr>
            <w:tcW w:w="1607" w:type="dxa"/>
            <w:tcBorders>
              <w:top w:val="nil"/>
              <w:left w:val="nil"/>
              <w:bottom w:val="single" w:sz="4" w:space="0" w:color="000000"/>
              <w:right w:val="single" w:sz="4" w:space="0" w:color="000000"/>
            </w:tcBorders>
            <w:shd w:val="clear" w:color="auto" w:fill="auto"/>
            <w:vAlign w:val="center"/>
          </w:tcPr>
          <w:p w14:paraId="11F06EBD" w14:textId="77777777" w:rsidR="009C05AE" w:rsidRPr="009C05AE" w:rsidRDefault="009C05AE" w:rsidP="009C05AE">
            <w:pPr>
              <w:widowControl/>
              <w:ind w:firstLine="0"/>
              <w:jc w:val="center"/>
              <w:rPr>
                <w:color w:val="000000"/>
                <w:sz w:val="20"/>
                <w:szCs w:val="20"/>
              </w:rPr>
            </w:pPr>
            <w:proofErr w:type="spellStart"/>
            <w:r w:rsidRPr="009C05AE">
              <w:rPr>
                <w:color w:val="000000"/>
                <w:sz w:val="20"/>
                <w:szCs w:val="20"/>
              </w:rPr>
              <w:t>Obeidat</w:t>
            </w:r>
            <w:proofErr w:type="spellEnd"/>
            <w:r w:rsidRPr="009C05AE">
              <w:rPr>
                <w:color w:val="000000"/>
                <w:sz w:val="20"/>
                <w:szCs w:val="20"/>
              </w:rPr>
              <w:t xml:space="preserve"> et al (2017)</w:t>
            </w:r>
          </w:p>
        </w:tc>
      </w:tr>
      <w:tr w:rsidR="009C05AE" w:rsidRPr="009C05AE" w14:paraId="57869DA4" w14:textId="77777777" w:rsidTr="009C05AE">
        <w:trPr>
          <w:trHeight w:val="594"/>
          <w:jc w:val="center"/>
        </w:trPr>
        <w:tc>
          <w:tcPr>
            <w:tcW w:w="1311" w:type="dxa"/>
            <w:vMerge w:val="restart"/>
            <w:tcBorders>
              <w:top w:val="nil"/>
              <w:left w:val="single" w:sz="4" w:space="0" w:color="000000"/>
              <w:bottom w:val="single" w:sz="4" w:space="0" w:color="000000"/>
              <w:right w:val="single" w:sz="4" w:space="0" w:color="000000"/>
            </w:tcBorders>
            <w:shd w:val="clear" w:color="auto" w:fill="auto"/>
            <w:vAlign w:val="center"/>
          </w:tcPr>
          <w:p w14:paraId="37F9667A" w14:textId="77777777" w:rsidR="009C05AE" w:rsidRPr="009C05AE" w:rsidRDefault="009C05AE" w:rsidP="009C05AE">
            <w:pPr>
              <w:widowControl/>
              <w:ind w:firstLine="0"/>
              <w:jc w:val="center"/>
              <w:rPr>
                <w:color w:val="000000"/>
                <w:sz w:val="20"/>
                <w:szCs w:val="20"/>
              </w:rPr>
            </w:pPr>
            <w:r w:rsidRPr="009C05AE">
              <w:rPr>
                <w:color w:val="000000"/>
                <w:sz w:val="20"/>
                <w:szCs w:val="20"/>
              </w:rPr>
              <w:t>Capital Estrutural</w:t>
            </w:r>
          </w:p>
        </w:tc>
        <w:tc>
          <w:tcPr>
            <w:tcW w:w="6364" w:type="dxa"/>
            <w:tcBorders>
              <w:top w:val="nil"/>
              <w:left w:val="nil"/>
              <w:bottom w:val="single" w:sz="4" w:space="0" w:color="000000"/>
              <w:right w:val="single" w:sz="4" w:space="0" w:color="000000"/>
            </w:tcBorders>
            <w:shd w:val="clear" w:color="auto" w:fill="auto"/>
            <w:vAlign w:val="center"/>
          </w:tcPr>
          <w:p w14:paraId="75DD17E1" w14:textId="77777777" w:rsidR="009C05AE" w:rsidRPr="009C05AE" w:rsidRDefault="009C05AE" w:rsidP="009C05AE">
            <w:pPr>
              <w:widowControl/>
              <w:ind w:firstLine="0"/>
              <w:rPr>
                <w:color w:val="000000"/>
                <w:sz w:val="20"/>
                <w:szCs w:val="20"/>
              </w:rPr>
            </w:pPr>
            <w:r w:rsidRPr="009C05AE">
              <w:rPr>
                <w:color w:val="000000"/>
                <w:sz w:val="20"/>
                <w:szCs w:val="20"/>
              </w:rPr>
              <w:t>Conhecimento institucionalizado oriundo de sistemas, culturas e processos organizacionais que servem de suporte para o progresso do capital humano.</w:t>
            </w:r>
          </w:p>
        </w:tc>
        <w:tc>
          <w:tcPr>
            <w:tcW w:w="1607" w:type="dxa"/>
            <w:tcBorders>
              <w:top w:val="nil"/>
              <w:left w:val="nil"/>
              <w:bottom w:val="single" w:sz="4" w:space="0" w:color="000000"/>
              <w:right w:val="single" w:sz="4" w:space="0" w:color="000000"/>
            </w:tcBorders>
            <w:shd w:val="clear" w:color="auto" w:fill="auto"/>
            <w:vAlign w:val="center"/>
          </w:tcPr>
          <w:p w14:paraId="3DEA1078" w14:textId="77777777" w:rsidR="009C05AE" w:rsidRPr="009C05AE" w:rsidRDefault="009C05AE" w:rsidP="009C05AE">
            <w:pPr>
              <w:widowControl/>
              <w:ind w:firstLine="0"/>
              <w:jc w:val="center"/>
              <w:rPr>
                <w:color w:val="000000"/>
                <w:sz w:val="20"/>
                <w:szCs w:val="20"/>
              </w:rPr>
            </w:pPr>
            <w:r w:rsidRPr="009C05AE">
              <w:rPr>
                <w:color w:val="000000"/>
                <w:sz w:val="20"/>
                <w:szCs w:val="20"/>
              </w:rPr>
              <w:t>Chen, Wang e Sun (2012)</w:t>
            </w:r>
          </w:p>
        </w:tc>
      </w:tr>
      <w:tr w:rsidR="009C05AE" w:rsidRPr="009C05AE" w14:paraId="5DD988F1" w14:textId="77777777" w:rsidTr="009C05AE">
        <w:trPr>
          <w:trHeight w:val="883"/>
          <w:jc w:val="center"/>
        </w:trPr>
        <w:tc>
          <w:tcPr>
            <w:tcW w:w="1311" w:type="dxa"/>
            <w:vMerge/>
            <w:tcBorders>
              <w:top w:val="nil"/>
              <w:left w:val="single" w:sz="4" w:space="0" w:color="000000"/>
              <w:bottom w:val="single" w:sz="4" w:space="0" w:color="000000"/>
              <w:right w:val="single" w:sz="4" w:space="0" w:color="000000"/>
            </w:tcBorders>
            <w:shd w:val="clear" w:color="auto" w:fill="auto"/>
            <w:vAlign w:val="center"/>
          </w:tcPr>
          <w:p w14:paraId="625A7272" w14:textId="77777777" w:rsidR="009C05AE" w:rsidRPr="009C05AE" w:rsidRDefault="009C05AE" w:rsidP="009C05AE">
            <w:pPr>
              <w:pBdr>
                <w:top w:val="nil"/>
                <w:left w:val="nil"/>
                <w:bottom w:val="nil"/>
                <w:right w:val="nil"/>
                <w:between w:val="nil"/>
              </w:pBdr>
              <w:spacing w:line="276" w:lineRule="auto"/>
              <w:ind w:firstLine="0"/>
              <w:jc w:val="left"/>
              <w:rPr>
                <w:color w:val="000000"/>
                <w:sz w:val="20"/>
                <w:szCs w:val="20"/>
              </w:rPr>
            </w:pPr>
          </w:p>
        </w:tc>
        <w:tc>
          <w:tcPr>
            <w:tcW w:w="6364" w:type="dxa"/>
            <w:tcBorders>
              <w:top w:val="nil"/>
              <w:left w:val="nil"/>
              <w:bottom w:val="single" w:sz="4" w:space="0" w:color="000000"/>
              <w:right w:val="single" w:sz="4" w:space="0" w:color="000000"/>
            </w:tcBorders>
            <w:shd w:val="clear" w:color="auto" w:fill="auto"/>
            <w:vAlign w:val="center"/>
          </w:tcPr>
          <w:p w14:paraId="42E55F66" w14:textId="77777777" w:rsidR="009C05AE" w:rsidRPr="009C05AE" w:rsidRDefault="009C05AE" w:rsidP="009C05AE">
            <w:pPr>
              <w:widowControl/>
              <w:ind w:firstLine="0"/>
              <w:rPr>
                <w:color w:val="000000"/>
                <w:sz w:val="20"/>
                <w:szCs w:val="20"/>
              </w:rPr>
            </w:pPr>
            <w:r w:rsidRPr="009C05AE">
              <w:rPr>
                <w:color w:val="000000"/>
                <w:sz w:val="20"/>
                <w:szCs w:val="20"/>
              </w:rPr>
              <w:t>Compreende os valores organizacionais, os mecanismos de proteção da propriedade intelectual, os procedimentos de Pesquisa e Desenvolvimento (P&amp;D) e os sistemas de gestão da informação.</w:t>
            </w:r>
          </w:p>
        </w:tc>
        <w:tc>
          <w:tcPr>
            <w:tcW w:w="1607" w:type="dxa"/>
            <w:tcBorders>
              <w:top w:val="nil"/>
              <w:left w:val="nil"/>
              <w:bottom w:val="single" w:sz="4" w:space="0" w:color="000000"/>
              <w:right w:val="single" w:sz="4" w:space="0" w:color="000000"/>
            </w:tcBorders>
            <w:shd w:val="clear" w:color="auto" w:fill="auto"/>
            <w:vAlign w:val="center"/>
          </w:tcPr>
          <w:p w14:paraId="748999AD" w14:textId="77777777" w:rsidR="009C05AE" w:rsidRPr="009C05AE" w:rsidRDefault="009C05AE" w:rsidP="009C05AE">
            <w:pPr>
              <w:widowControl/>
              <w:ind w:firstLine="0"/>
              <w:jc w:val="center"/>
              <w:rPr>
                <w:color w:val="000000"/>
                <w:sz w:val="20"/>
                <w:szCs w:val="20"/>
              </w:rPr>
            </w:pPr>
            <w:proofErr w:type="spellStart"/>
            <w:r w:rsidRPr="009C05AE">
              <w:rPr>
                <w:color w:val="000000"/>
                <w:sz w:val="20"/>
                <w:szCs w:val="20"/>
              </w:rPr>
              <w:t>Petty</w:t>
            </w:r>
            <w:proofErr w:type="spellEnd"/>
            <w:r w:rsidRPr="009C05AE">
              <w:rPr>
                <w:color w:val="000000"/>
                <w:sz w:val="20"/>
                <w:szCs w:val="20"/>
              </w:rPr>
              <w:t xml:space="preserve"> e Guthrie (2000)</w:t>
            </w:r>
          </w:p>
        </w:tc>
      </w:tr>
    </w:tbl>
    <w:p w14:paraId="7D677291" w14:textId="77777777" w:rsidR="009C05AE" w:rsidRPr="009C05AE" w:rsidRDefault="009C05AE" w:rsidP="009C05AE">
      <w:pPr>
        <w:ind w:firstLine="0"/>
        <w:rPr>
          <w:sz w:val="20"/>
          <w:szCs w:val="20"/>
        </w:rPr>
      </w:pPr>
      <w:r w:rsidRPr="006A4866">
        <w:rPr>
          <w:b/>
          <w:bCs/>
          <w:sz w:val="20"/>
          <w:szCs w:val="20"/>
        </w:rPr>
        <w:t xml:space="preserve"> Fonte</w:t>
      </w:r>
      <w:r w:rsidRPr="009C05AE">
        <w:rPr>
          <w:sz w:val="20"/>
          <w:szCs w:val="20"/>
        </w:rPr>
        <w:t>: Elaboração própria, 2019.</w:t>
      </w:r>
    </w:p>
    <w:p w14:paraId="04A32FE6" w14:textId="77777777" w:rsidR="009C05AE" w:rsidRPr="009C05AE" w:rsidRDefault="009C05AE" w:rsidP="009C05AE">
      <w:pPr>
        <w:ind w:firstLine="0"/>
        <w:jc w:val="center"/>
        <w:rPr>
          <w:sz w:val="20"/>
          <w:szCs w:val="20"/>
        </w:rPr>
      </w:pPr>
    </w:p>
    <w:p w14:paraId="03712A8E" w14:textId="77777777" w:rsidR="009C05AE" w:rsidRPr="009C05AE" w:rsidRDefault="009C05AE" w:rsidP="009C05AE">
      <w:r w:rsidRPr="009C05AE">
        <w:t xml:space="preserve">Como demonstrando no quadro 1 os componentes do CI podem ser definidos separadamente, porém, apesar disso, </w:t>
      </w:r>
      <w:proofErr w:type="spellStart"/>
      <w:r w:rsidRPr="009C05AE">
        <w:t>Obeidat</w:t>
      </w:r>
      <w:proofErr w:type="spellEnd"/>
      <w:r w:rsidRPr="009C05AE">
        <w:t xml:space="preserve"> et al (2017) afirmam que ele deve ser considerado como um construto multidimensional, pois seus componentes atuam de forma interdependente para maximizar suas vantagens.</w:t>
      </w:r>
    </w:p>
    <w:p w14:paraId="277A2C34" w14:textId="77777777" w:rsidR="009C05AE" w:rsidRPr="009C05AE" w:rsidRDefault="009C05AE" w:rsidP="009C05AE"/>
    <w:p w14:paraId="14FE9D96" w14:textId="77777777" w:rsidR="009C05AE" w:rsidRPr="009C05AE" w:rsidRDefault="009C05AE" w:rsidP="009C05AE">
      <w:pPr>
        <w:ind w:firstLine="0"/>
        <w:rPr>
          <w:b/>
        </w:rPr>
      </w:pPr>
      <w:r w:rsidRPr="009C05AE">
        <w:rPr>
          <w:b/>
        </w:rPr>
        <w:t>2.3 Hipóteses de Pesquisa</w:t>
      </w:r>
    </w:p>
    <w:p w14:paraId="06F03D0A" w14:textId="77777777" w:rsidR="009C05AE" w:rsidRPr="009C05AE" w:rsidRDefault="009C05AE" w:rsidP="009C05AE">
      <w:pPr>
        <w:ind w:firstLine="0"/>
      </w:pPr>
      <w:r w:rsidRPr="009C05AE">
        <w:rPr>
          <w:b/>
        </w:rPr>
        <w:tab/>
      </w:r>
      <w:r w:rsidRPr="009C05AE">
        <w:t>Considerando-se que o CI é um componente importante para compreensão da natureza dos ativos sustentáveis, entende-se que pode ser compreendido como uma vantagem competitiva. Tal fato permite possível geração de riquezas para as empresas, pois tende a proporcionar valor adicional aos negócios para os investidores (SANTORO, 2018).</w:t>
      </w:r>
    </w:p>
    <w:p w14:paraId="49626F4A" w14:textId="77777777" w:rsidR="009C05AE" w:rsidRPr="009C05AE" w:rsidRDefault="009C05AE" w:rsidP="009C05AE">
      <w:pPr>
        <w:ind w:firstLine="0"/>
      </w:pPr>
      <w:r w:rsidRPr="009C05AE">
        <w:tab/>
        <w:t xml:space="preserve">Dessa forma, divulgar informações sobre o CI torna-se essencial, não só reduzindo a assimetria de informações e o custo de capital, mas também permitindo que os </w:t>
      </w:r>
      <w:r w:rsidRPr="009C05AE">
        <w:rPr>
          <w:i/>
        </w:rPr>
        <w:t xml:space="preserve">stakeholders </w:t>
      </w:r>
      <w:r w:rsidRPr="009C05AE">
        <w:t>melhor avaliem a capacidade empresarial de criação de valor (LOPES; ALENCAR, 2010). Evidenciar voluntariamente tais informações configurou-se como o melhor modo para manter a transparência e flexibilidade mediante investidores (MATEUS, 2018).</w:t>
      </w:r>
    </w:p>
    <w:p w14:paraId="60544EBC" w14:textId="77777777" w:rsidR="009C05AE" w:rsidRPr="009C05AE" w:rsidRDefault="009C05AE" w:rsidP="009C05AE">
      <w:pPr>
        <w:ind w:firstLine="0"/>
      </w:pPr>
      <w:r w:rsidRPr="009C05AE">
        <w:tab/>
        <w:t>Dentre os fatores que influenciam as empresas a divulgarem informações sobre o CI, destaca-se: o tamanho, a rentabilidade, o endividamento, a governança e o setor (BRUGGEN et al., 2009; REINA; ENSSLIN, 2011; CRUZ; ALVES, 2013).</w:t>
      </w:r>
    </w:p>
    <w:p w14:paraId="1D5D6EDF" w14:textId="77777777" w:rsidR="009C05AE" w:rsidRPr="009C05AE" w:rsidRDefault="009C05AE" w:rsidP="009C05AE">
      <w:r w:rsidRPr="009C05AE">
        <w:t xml:space="preserve"> O tamanho da empresa pode se associar ao grau de evidenciação do CI, pois as grandes empresas são frequentemente examinadas por grupos específicos de partes interessadas. Portanto, positivas práticas de divulgação, como a divulgação de CI, permitem ser previstas na tentativa de minimizar os custos políticos (WHITE; LEE; TOWER, 2007).</w:t>
      </w:r>
    </w:p>
    <w:p w14:paraId="24731C0F" w14:textId="77777777" w:rsidR="009C05AE" w:rsidRPr="009C05AE" w:rsidRDefault="009C05AE" w:rsidP="009C05AE">
      <w:r w:rsidRPr="009C05AE">
        <w:t>Oliveira, Rodrigues e Craig (2006) elencam em sua pesquisa vários motivos pautados em estudos anteriores, que são bases para a existência de significância entre o tamanho e a divulgação voluntária de intangíveis, como o CI, assim como empiricamente conseguiram comprovar essa significância. Romero e Cortés (2014) também encontraram uma relação significativa e positiva entre o tamanho e o nível de divulgação do CI. Assim, define-se a seguinte hipótese:</w:t>
      </w:r>
    </w:p>
    <w:p w14:paraId="6F082404" w14:textId="77777777" w:rsidR="009C05AE" w:rsidRPr="009C05AE" w:rsidRDefault="009C05AE" w:rsidP="009C05AE">
      <w:pPr>
        <w:ind w:firstLine="0"/>
      </w:pPr>
    </w:p>
    <w:p w14:paraId="265AB2FA" w14:textId="77777777" w:rsidR="009C05AE" w:rsidRPr="009C05AE" w:rsidRDefault="009C05AE" w:rsidP="009C05AE">
      <w:pPr>
        <w:ind w:firstLine="0"/>
      </w:pPr>
      <w:bookmarkStart w:id="0" w:name="_gjdgxs" w:colFirst="0" w:colLast="0"/>
      <w:bookmarkEnd w:id="0"/>
      <w:r w:rsidRPr="009C05AE">
        <w:rPr>
          <w:b/>
        </w:rPr>
        <w:t>H</w:t>
      </w:r>
      <w:r w:rsidRPr="009C05AE">
        <w:rPr>
          <w:b/>
          <w:vertAlign w:val="subscript"/>
        </w:rPr>
        <w:t>1</w:t>
      </w:r>
      <w:r w:rsidRPr="009C05AE">
        <w:rPr>
          <w:b/>
        </w:rPr>
        <w:t>:</w:t>
      </w:r>
      <w:r w:rsidRPr="009C05AE">
        <w:t xml:space="preserve"> O tamanho da empresa é positivamente determinante para a evidenciação do capital intelectual.</w:t>
      </w:r>
    </w:p>
    <w:p w14:paraId="0090EEAD" w14:textId="77777777" w:rsidR="009C05AE" w:rsidRPr="009C05AE" w:rsidRDefault="009C05AE" w:rsidP="009C05AE">
      <w:pPr>
        <w:ind w:firstLine="0"/>
      </w:pPr>
    </w:p>
    <w:p w14:paraId="53210BC2" w14:textId="77777777" w:rsidR="009C05AE" w:rsidRPr="009C05AE" w:rsidRDefault="009C05AE" w:rsidP="009C05AE">
      <w:r w:rsidRPr="009C05AE">
        <w:t xml:space="preserve">A relação entre rentabilidade e o nível de divulgação de informações acerca do CI tem sido defendida no âmbito de várias teorias, como a teoria da agência, teoria dos </w:t>
      </w:r>
      <w:r w:rsidRPr="009C05AE">
        <w:rPr>
          <w:i/>
        </w:rPr>
        <w:t>stakeholders </w:t>
      </w:r>
      <w:r w:rsidRPr="009C05AE">
        <w:t xml:space="preserve">e teoria dos recursos e capacidades. Para possivelmente reduzir o conflito de interesses entre os gerentes e acionistas, altas taxas de retorno incentivam o fornecimento de informações voluntárias sobre o CI, com o objetivo de comprovar o bom andamento da empresa e uma melhoria na sua remuneração </w:t>
      </w:r>
      <w:r w:rsidRPr="009C05AE">
        <w:lastRenderedPageBreak/>
        <w:t xml:space="preserve">(ALKHATIB, 2014). </w:t>
      </w:r>
    </w:p>
    <w:p w14:paraId="35CCF210" w14:textId="7E523481" w:rsidR="009C05AE" w:rsidRPr="009C05AE" w:rsidRDefault="009C05AE" w:rsidP="009C05AE">
      <w:r w:rsidRPr="009C05AE">
        <w:t>Além disso, empresas mais rentáveis tendem a divulgar mais informações sobre o CI, pois essa lucratividade pode ser o resultado de investimentos contínuos em intangíveis (R</w:t>
      </w:r>
      <w:r w:rsidR="006A4866">
        <w:t>OMERO; CORTÉS</w:t>
      </w:r>
      <w:r w:rsidRPr="009C05AE">
        <w:t xml:space="preserve">, 2014). Estudos como o de Chen, </w:t>
      </w:r>
      <w:proofErr w:type="spellStart"/>
      <w:r w:rsidRPr="009C05AE">
        <w:t>Cheng</w:t>
      </w:r>
      <w:proofErr w:type="spellEnd"/>
      <w:r w:rsidRPr="009C05AE">
        <w:t xml:space="preserve"> e </w:t>
      </w:r>
      <w:proofErr w:type="spellStart"/>
      <w:r w:rsidRPr="009C05AE">
        <w:t>Hwang</w:t>
      </w:r>
      <w:proofErr w:type="spellEnd"/>
      <w:r w:rsidRPr="009C05AE">
        <w:t xml:space="preserve"> (2005), </w:t>
      </w:r>
      <w:proofErr w:type="spellStart"/>
      <w:r w:rsidRPr="009C05AE">
        <w:t>Bhayani</w:t>
      </w:r>
      <w:proofErr w:type="spellEnd"/>
      <w:r w:rsidRPr="009C05AE">
        <w:t xml:space="preserve"> (2012) e </w:t>
      </w:r>
      <w:proofErr w:type="spellStart"/>
      <w:r w:rsidRPr="009C05AE">
        <w:t>Alkhatib</w:t>
      </w:r>
      <w:proofErr w:type="spellEnd"/>
      <w:r w:rsidRPr="009C05AE">
        <w:t xml:space="preserve"> (2014) também encontraram uma relação positiva entre a rentabilidade e a divulgação de informações sobre o CI, definindo então a hipótese:</w:t>
      </w:r>
    </w:p>
    <w:p w14:paraId="126F13ED" w14:textId="77777777" w:rsidR="009C05AE" w:rsidRPr="009C05AE" w:rsidRDefault="009C05AE" w:rsidP="009C05AE">
      <w:pPr>
        <w:ind w:firstLine="0"/>
        <w:rPr>
          <w:b/>
        </w:rPr>
      </w:pPr>
    </w:p>
    <w:p w14:paraId="4A5C22D8" w14:textId="77777777" w:rsidR="009C05AE" w:rsidRPr="009C05AE" w:rsidRDefault="009C05AE" w:rsidP="009C05AE">
      <w:pPr>
        <w:ind w:firstLine="0"/>
      </w:pPr>
      <w:r w:rsidRPr="009C05AE">
        <w:rPr>
          <w:b/>
        </w:rPr>
        <w:t>H</w:t>
      </w:r>
      <w:r w:rsidRPr="009C05AE">
        <w:rPr>
          <w:b/>
          <w:vertAlign w:val="subscript"/>
        </w:rPr>
        <w:t>2</w:t>
      </w:r>
      <w:r w:rsidRPr="009C05AE">
        <w:rPr>
          <w:b/>
        </w:rPr>
        <w:t>:</w:t>
      </w:r>
      <w:r w:rsidRPr="009C05AE">
        <w:t xml:space="preserve"> A rentabilidade da empresa é fator diretamente determinante para a evidenciação do capital intelectual.</w:t>
      </w:r>
    </w:p>
    <w:p w14:paraId="4BB197B4" w14:textId="77777777" w:rsidR="009C05AE" w:rsidRPr="009C05AE" w:rsidRDefault="009C05AE" w:rsidP="009C05AE">
      <w:pPr>
        <w:ind w:firstLine="0"/>
      </w:pPr>
    </w:p>
    <w:p w14:paraId="7715A90E" w14:textId="77777777" w:rsidR="009C05AE" w:rsidRPr="009C05AE" w:rsidRDefault="009C05AE" w:rsidP="009C05AE">
      <w:r w:rsidRPr="009C05AE">
        <w:t>Williams (2001) e White et al (2007) encontraram uma relação positiva significativa entre o nível de endividamento da empresa e o nível de divulgação de informação sobre CI.</w:t>
      </w:r>
    </w:p>
    <w:p w14:paraId="15038808" w14:textId="77777777" w:rsidR="009C05AE" w:rsidRPr="009C05AE" w:rsidRDefault="009C05AE" w:rsidP="009C05AE">
      <w:r w:rsidRPr="009C05AE">
        <w:t xml:space="preserve">Romero e Cortés (2014) afirmam que para reduzir custos de agência e o conflito de interesses existente, as empresas fornecerão mais informações sobre o CI. Tal tática objetiva garantir aos credores a capacidade do pagamento de dívidas, por possuírem recursos intangíveis que permitem obter vantagens competitivas. </w:t>
      </w:r>
    </w:p>
    <w:p w14:paraId="43865DD1" w14:textId="77777777" w:rsidR="009C05AE" w:rsidRPr="009C05AE" w:rsidRDefault="009C05AE" w:rsidP="009C05AE">
      <w:r w:rsidRPr="009C05AE">
        <w:t>Os autores supracitados também apontam a teoria da agência como uma explicação para a influência que o nível de endividamento tem no fornecimento de informações voluntárias sobre o CI, uma vez que quanto mais altos os níveis de dívida, mais altos serão os conflitos entre credores e acionistas. Diante do que foi apresentado, define-se:</w:t>
      </w:r>
    </w:p>
    <w:p w14:paraId="14C9FCA3" w14:textId="77777777" w:rsidR="009C05AE" w:rsidRPr="009C05AE" w:rsidRDefault="009C05AE" w:rsidP="009C05AE">
      <w:pPr>
        <w:ind w:firstLine="0"/>
      </w:pPr>
    </w:p>
    <w:p w14:paraId="23EDA74C" w14:textId="77777777" w:rsidR="009C05AE" w:rsidRPr="009C05AE" w:rsidRDefault="009C05AE" w:rsidP="009C05AE">
      <w:pPr>
        <w:ind w:firstLine="0"/>
      </w:pPr>
      <w:r w:rsidRPr="009C05AE">
        <w:rPr>
          <w:b/>
        </w:rPr>
        <w:t>H</w:t>
      </w:r>
      <w:r w:rsidRPr="009C05AE">
        <w:rPr>
          <w:b/>
          <w:vertAlign w:val="subscript"/>
        </w:rPr>
        <w:t>3</w:t>
      </w:r>
      <w:r w:rsidRPr="009C05AE">
        <w:rPr>
          <w:b/>
        </w:rPr>
        <w:t>:</w:t>
      </w:r>
      <w:r w:rsidRPr="009C05AE">
        <w:t xml:space="preserve"> O endividamento da empresa está diretamente relacionado com a evidenciação do capital intelectual.</w:t>
      </w:r>
    </w:p>
    <w:p w14:paraId="6F37DD48" w14:textId="77777777" w:rsidR="009C05AE" w:rsidRPr="009C05AE" w:rsidRDefault="009C05AE" w:rsidP="009C05AE">
      <w:pPr>
        <w:ind w:firstLine="0"/>
      </w:pPr>
    </w:p>
    <w:p w14:paraId="4D3108B8" w14:textId="77777777" w:rsidR="009C05AE" w:rsidRPr="009C05AE" w:rsidRDefault="009C05AE" w:rsidP="009C05AE">
      <w:r w:rsidRPr="009C05AE">
        <w:t xml:space="preserve">Estudos realizados por </w:t>
      </w:r>
      <w:proofErr w:type="spellStart"/>
      <w:r w:rsidRPr="009C05AE">
        <w:t>Keenan</w:t>
      </w:r>
      <w:proofErr w:type="spellEnd"/>
      <w:r w:rsidRPr="009C05AE">
        <w:t xml:space="preserve"> e </w:t>
      </w:r>
      <w:proofErr w:type="spellStart"/>
      <w:r w:rsidRPr="009C05AE">
        <w:t>Aggestam</w:t>
      </w:r>
      <w:proofErr w:type="spellEnd"/>
      <w:r w:rsidRPr="009C05AE">
        <w:t xml:space="preserve"> (2001); Li, </w:t>
      </w:r>
      <w:proofErr w:type="spellStart"/>
      <w:r w:rsidRPr="009C05AE">
        <w:t>Pike</w:t>
      </w:r>
      <w:proofErr w:type="spellEnd"/>
      <w:r w:rsidRPr="009C05AE">
        <w:t xml:space="preserve"> e </w:t>
      </w:r>
      <w:proofErr w:type="spellStart"/>
      <w:r w:rsidRPr="009C05AE">
        <w:t>Haniffa</w:t>
      </w:r>
      <w:proofErr w:type="spellEnd"/>
      <w:r w:rsidRPr="009C05AE">
        <w:t xml:space="preserve"> (2008) e </w:t>
      </w:r>
      <w:proofErr w:type="spellStart"/>
      <w:r w:rsidRPr="009C05AE">
        <w:t>Kaveski</w:t>
      </w:r>
      <w:proofErr w:type="spellEnd"/>
      <w:r w:rsidRPr="009C05AE">
        <w:t xml:space="preserve"> et al (2016) apontaram relações significativas entre governança corporativa e a divulgação voluntária do CI, permitindo observar que empresas que possuem uma governança estruturada podem estabelecer maior transparência em relação a tais informações.</w:t>
      </w:r>
    </w:p>
    <w:p w14:paraId="6D285488" w14:textId="77777777" w:rsidR="009C05AE" w:rsidRPr="009C05AE" w:rsidRDefault="009C05AE" w:rsidP="009C05AE">
      <w:r w:rsidRPr="009C05AE">
        <w:t xml:space="preserve">A literatura tem mostrado benefícios que incentivam a divulgação voluntária de informações, como o CI, por meio da governança corporativa. Uma vez que o </w:t>
      </w:r>
      <w:proofErr w:type="spellStart"/>
      <w:r w:rsidRPr="009C05AE">
        <w:rPr>
          <w:i/>
        </w:rPr>
        <w:t>disclosure</w:t>
      </w:r>
      <w:proofErr w:type="spellEnd"/>
      <w:r w:rsidRPr="009C05AE">
        <w:t xml:space="preserve"> é um dos princípios fundamentais da boa governança, investigando como as variáveis de tamanho do conselho administrativo, participação de diretores e gerentes, concentração de propriedade, entre outras, podem ter relação com esse tipo de evidenciação (HIDALGO; GARCÍA-MECA; MARTINEZ, 2011). Deste modo:</w:t>
      </w:r>
    </w:p>
    <w:p w14:paraId="3F3FCF81" w14:textId="77777777" w:rsidR="009C05AE" w:rsidRPr="009C05AE" w:rsidRDefault="009C05AE" w:rsidP="009C05AE">
      <w:pPr>
        <w:ind w:firstLine="0"/>
      </w:pPr>
    </w:p>
    <w:p w14:paraId="0E086980" w14:textId="77777777" w:rsidR="009C05AE" w:rsidRPr="009C05AE" w:rsidRDefault="009C05AE" w:rsidP="009C05AE">
      <w:pPr>
        <w:ind w:firstLine="0"/>
      </w:pPr>
      <w:r w:rsidRPr="009C05AE">
        <w:rPr>
          <w:b/>
        </w:rPr>
        <w:t>H</w:t>
      </w:r>
      <w:r w:rsidRPr="009C05AE">
        <w:rPr>
          <w:b/>
          <w:vertAlign w:val="subscript"/>
        </w:rPr>
        <w:t>4</w:t>
      </w:r>
      <w:r w:rsidRPr="009C05AE">
        <w:rPr>
          <w:b/>
        </w:rPr>
        <w:t>:</w:t>
      </w:r>
      <w:r w:rsidRPr="009C05AE">
        <w:t xml:space="preserve"> A governança corporativa está positivamente associada com o grau de divulgação de informação relativa ao capital intelectual.</w:t>
      </w:r>
    </w:p>
    <w:p w14:paraId="73C3FA9C" w14:textId="77777777" w:rsidR="009C05AE" w:rsidRPr="009C05AE" w:rsidRDefault="009C05AE" w:rsidP="009C05AE">
      <w:pPr>
        <w:ind w:firstLine="0"/>
      </w:pPr>
    </w:p>
    <w:p w14:paraId="40722BD5" w14:textId="77777777" w:rsidR="009C05AE" w:rsidRPr="009C05AE" w:rsidRDefault="009C05AE" w:rsidP="009C05AE">
      <w:r w:rsidRPr="009C05AE">
        <w:t xml:space="preserve">De acordo com </w:t>
      </w:r>
      <w:proofErr w:type="spellStart"/>
      <w:r w:rsidRPr="009C05AE">
        <w:t>Brüggen</w:t>
      </w:r>
      <w:proofErr w:type="spellEnd"/>
      <w:r w:rsidRPr="009C05AE">
        <w:t xml:space="preserve"> et al (2009), o tipo de setor desempenha um papel fundamental como determinante para a divulgação de CI em relatórios anuais, destacando que os setores que confiam mais no CI divulgam mais informações a seu respeito. Tal fato torna-se um sinal importante para investidores, indicando a relevância que o CI possui para diferentes setores.</w:t>
      </w:r>
    </w:p>
    <w:p w14:paraId="77085946" w14:textId="77777777" w:rsidR="009C05AE" w:rsidRPr="009C05AE" w:rsidRDefault="009C05AE" w:rsidP="009C05AE">
      <w:r w:rsidRPr="009C05AE">
        <w:t xml:space="preserve">Williams (2001) afirma que ainda não existe uma concordância na literatura sobre quais os setores de atividade intensivos em relação ao CI. Logo, se torna importante contribuir para a literatura sobre quais setores podem influenciar ou não a divulgação de informações sobre o CI, partindo da hipótese de que o setor é um fator de impacto nesse </w:t>
      </w:r>
      <w:proofErr w:type="spellStart"/>
      <w:r w:rsidRPr="009C05AE">
        <w:rPr>
          <w:i/>
        </w:rPr>
        <w:t>disclosure</w:t>
      </w:r>
      <w:proofErr w:type="spellEnd"/>
      <w:r w:rsidRPr="009C05AE">
        <w:t>. Desta forma define-se que:</w:t>
      </w:r>
    </w:p>
    <w:p w14:paraId="1655DCE6" w14:textId="77777777" w:rsidR="009C05AE" w:rsidRPr="009C05AE" w:rsidRDefault="009C05AE" w:rsidP="009C05AE">
      <w:pPr>
        <w:ind w:firstLine="0"/>
      </w:pPr>
    </w:p>
    <w:p w14:paraId="770830CD" w14:textId="77777777" w:rsidR="009C05AE" w:rsidRPr="009C05AE" w:rsidRDefault="009C05AE" w:rsidP="009C05AE">
      <w:pPr>
        <w:ind w:firstLine="0"/>
      </w:pPr>
      <w:r w:rsidRPr="009C05AE">
        <w:rPr>
          <w:b/>
        </w:rPr>
        <w:t>H</w:t>
      </w:r>
      <w:r w:rsidRPr="009C05AE">
        <w:rPr>
          <w:b/>
          <w:vertAlign w:val="subscript"/>
        </w:rPr>
        <w:t>5</w:t>
      </w:r>
      <w:r w:rsidRPr="009C05AE">
        <w:t>: O setor de atividade é um fator determinante da divulgação de informação sobre o capital intelectual.</w:t>
      </w:r>
    </w:p>
    <w:p w14:paraId="10453318" w14:textId="77777777" w:rsidR="009C05AE" w:rsidRPr="009C05AE" w:rsidRDefault="009C05AE" w:rsidP="009C05AE">
      <w:pPr>
        <w:ind w:firstLine="0"/>
      </w:pPr>
      <w:r w:rsidRPr="009C05AE">
        <w:tab/>
      </w:r>
    </w:p>
    <w:p w14:paraId="49C5D4B1" w14:textId="77777777" w:rsidR="009C05AE" w:rsidRPr="009C05AE" w:rsidRDefault="009C05AE" w:rsidP="009C05AE">
      <w:pPr>
        <w:ind w:firstLine="0"/>
      </w:pPr>
      <w:r w:rsidRPr="009C05AE">
        <w:tab/>
        <w:t>Desse modo, permite-se observar que o tamanho, a rentabilidade, o endividamento, a governança corporativa e o setor podem ser fatores determinantes para a divulgação de informações relacionadas ao CI.</w:t>
      </w:r>
    </w:p>
    <w:p w14:paraId="457D7440" w14:textId="77777777" w:rsidR="009C05AE" w:rsidRPr="009C05AE" w:rsidRDefault="009C05AE" w:rsidP="009C05AE">
      <w:pPr>
        <w:ind w:firstLine="0"/>
        <w:rPr>
          <w:vertAlign w:val="subscript"/>
        </w:rPr>
      </w:pPr>
    </w:p>
    <w:p w14:paraId="78E18EF1" w14:textId="77777777" w:rsidR="009C05AE" w:rsidRPr="009C05AE" w:rsidRDefault="009C05AE" w:rsidP="009C05AE">
      <w:pPr>
        <w:ind w:firstLine="0"/>
        <w:rPr>
          <w:b/>
        </w:rPr>
      </w:pPr>
      <w:r w:rsidRPr="009C05AE">
        <w:rPr>
          <w:b/>
        </w:rPr>
        <w:t>3 Metodologia</w:t>
      </w:r>
    </w:p>
    <w:p w14:paraId="0035AFA3" w14:textId="77777777" w:rsidR="009C05AE" w:rsidRPr="009C05AE" w:rsidRDefault="009C05AE" w:rsidP="009C05AE">
      <w:r w:rsidRPr="009C05AE">
        <w:t>Tendo por objetivo analisar a relação existente entre os possíveis fatores que determinam a evidenciação de informações relacionadas ao CI, a amostra desta pesquisa foi formada pelas empresas listadas na B</w:t>
      </w:r>
      <w:r w:rsidRPr="009C05AE">
        <w:rPr>
          <w:vertAlign w:val="subscript"/>
        </w:rPr>
        <w:t>3</w:t>
      </w:r>
      <w:r w:rsidRPr="009C05AE">
        <w:t xml:space="preserve"> que compuseram o Índice Brasil 50 (IBrX50) nos anos de 2016, 2017 e 2018. </w:t>
      </w:r>
    </w:p>
    <w:p w14:paraId="269FABE6" w14:textId="77777777" w:rsidR="009C05AE" w:rsidRPr="009C05AE" w:rsidRDefault="009C05AE" w:rsidP="009C05AE">
      <w:r w:rsidRPr="009C05AE">
        <w:t>Resultou-se em 37 companhias, sendo necessária a retirada de 5 empresas do setor financeiro, devido as especificidades de tal setor, como alavancagem diferenciada, o que poderia acarretar influência na análise dos dados. Por fim, 32 empresas compuseram a amostra, gerando 96 observações, demonstrada no Quadro 2. É importante destacar que as companhias que não fizeram parte do referido índice, em pelo menos um dos três anos, também foram retiradas da amostra.</w:t>
      </w:r>
    </w:p>
    <w:p w14:paraId="56926C6C" w14:textId="77777777" w:rsidR="009C05AE" w:rsidRPr="009C05AE" w:rsidRDefault="009C05AE" w:rsidP="009C05AE">
      <w:r w:rsidRPr="009C05AE">
        <w:t>A escolha do índice reflete a relevância da carteira no ambiente de negociação, além disso, se as empresas estão presentes nesse índice por três anos consecutivos, estima-se que elas possuem relevância perante os investidores. Apesar da escolha do Índice Brasil 50 (IBrX50) ser algo intencional para se estudar, infere-se que as companhias que fazem parte deste, tem uma ampla representatividade dentre todas as companhias listadas na B</w:t>
      </w:r>
      <w:r w:rsidRPr="009C05AE">
        <w:rPr>
          <w:vertAlign w:val="subscript"/>
        </w:rPr>
        <w:t>3</w:t>
      </w:r>
      <w:r w:rsidRPr="009C05AE">
        <w:t xml:space="preserve"> (MURCIA, 2009). </w:t>
      </w:r>
    </w:p>
    <w:p w14:paraId="4A56599A" w14:textId="77777777" w:rsidR="009C05AE" w:rsidRPr="009C05AE" w:rsidRDefault="009C05AE" w:rsidP="009C05AE">
      <w:pPr>
        <w:ind w:firstLine="0"/>
      </w:pPr>
    </w:p>
    <w:p w14:paraId="6DB85823" w14:textId="69C022BD" w:rsidR="009C05AE" w:rsidRPr="009C05AE" w:rsidRDefault="009C05AE" w:rsidP="009C05AE">
      <w:pPr>
        <w:ind w:firstLine="0"/>
        <w:jc w:val="center"/>
        <w:rPr>
          <w:sz w:val="20"/>
          <w:szCs w:val="20"/>
        </w:rPr>
      </w:pPr>
      <w:r w:rsidRPr="006A4866">
        <w:rPr>
          <w:b/>
          <w:bCs/>
          <w:sz w:val="20"/>
          <w:szCs w:val="20"/>
        </w:rPr>
        <w:t>Quadro 2</w:t>
      </w:r>
      <w:r w:rsidR="006A4866">
        <w:rPr>
          <w:b/>
          <w:bCs/>
          <w:sz w:val="20"/>
          <w:szCs w:val="20"/>
        </w:rPr>
        <w:t xml:space="preserve"> -</w:t>
      </w:r>
      <w:r w:rsidRPr="009C05AE">
        <w:rPr>
          <w:sz w:val="20"/>
          <w:szCs w:val="20"/>
        </w:rPr>
        <w:t xml:space="preserve"> Companhias que fizeram parte da amostra (2016, 2017 e 2018)</w:t>
      </w:r>
    </w:p>
    <w:tbl>
      <w:tblPr>
        <w:tblW w:w="9412" w:type="dxa"/>
        <w:jc w:val="center"/>
        <w:tblLayout w:type="fixed"/>
        <w:tblLook w:val="0400" w:firstRow="0" w:lastRow="0" w:firstColumn="0" w:lastColumn="0" w:noHBand="0" w:noVBand="1"/>
      </w:tblPr>
      <w:tblGrid>
        <w:gridCol w:w="2494"/>
        <w:gridCol w:w="2203"/>
        <w:gridCol w:w="2279"/>
        <w:gridCol w:w="2436"/>
      </w:tblGrid>
      <w:tr w:rsidR="009C05AE" w:rsidRPr="009C05AE" w14:paraId="4CC031A0" w14:textId="77777777" w:rsidTr="009C05AE">
        <w:trPr>
          <w:trHeight w:val="424"/>
          <w:jc w:val="center"/>
        </w:trPr>
        <w:tc>
          <w:tcPr>
            <w:tcW w:w="2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25D5" w14:textId="77777777" w:rsidR="009C05AE" w:rsidRPr="009C05AE" w:rsidRDefault="009C05AE" w:rsidP="009C05AE">
            <w:pPr>
              <w:ind w:firstLine="0"/>
              <w:jc w:val="center"/>
              <w:rPr>
                <w:sz w:val="20"/>
                <w:szCs w:val="20"/>
              </w:rPr>
            </w:pPr>
            <w:r w:rsidRPr="009C05AE">
              <w:rPr>
                <w:sz w:val="20"/>
                <w:szCs w:val="20"/>
              </w:rPr>
              <w:t>Ambev AS</w:t>
            </w:r>
          </w:p>
        </w:tc>
        <w:tc>
          <w:tcPr>
            <w:tcW w:w="2203" w:type="dxa"/>
            <w:tcBorders>
              <w:top w:val="single" w:sz="4" w:space="0" w:color="000000"/>
              <w:left w:val="nil"/>
              <w:bottom w:val="single" w:sz="4" w:space="0" w:color="000000"/>
              <w:right w:val="single" w:sz="4" w:space="0" w:color="000000"/>
            </w:tcBorders>
            <w:shd w:val="clear" w:color="auto" w:fill="auto"/>
            <w:vAlign w:val="center"/>
          </w:tcPr>
          <w:p w14:paraId="0A2A449C" w14:textId="77777777" w:rsidR="009C05AE" w:rsidRPr="009C05AE" w:rsidRDefault="009C05AE" w:rsidP="009C05AE">
            <w:pPr>
              <w:ind w:firstLine="0"/>
              <w:jc w:val="center"/>
              <w:rPr>
                <w:sz w:val="20"/>
                <w:szCs w:val="20"/>
              </w:rPr>
            </w:pPr>
            <w:proofErr w:type="spellStart"/>
            <w:r w:rsidRPr="009C05AE">
              <w:rPr>
                <w:sz w:val="20"/>
                <w:szCs w:val="20"/>
              </w:rPr>
              <w:t>Cosan</w:t>
            </w:r>
            <w:proofErr w:type="spellEnd"/>
          </w:p>
        </w:tc>
        <w:tc>
          <w:tcPr>
            <w:tcW w:w="2279" w:type="dxa"/>
            <w:tcBorders>
              <w:top w:val="single" w:sz="4" w:space="0" w:color="000000"/>
              <w:left w:val="nil"/>
              <w:bottom w:val="single" w:sz="4" w:space="0" w:color="000000"/>
              <w:right w:val="single" w:sz="4" w:space="0" w:color="000000"/>
            </w:tcBorders>
            <w:shd w:val="clear" w:color="auto" w:fill="auto"/>
            <w:vAlign w:val="center"/>
          </w:tcPr>
          <w:p w14:paraId="1296BB30" w14:textId="77777777" w:rsidR="009C05AE" w:rsidRPr="009C05AE" w:rsidRDefault="009C05AE" w:rsidP="009C05AE">
            <w:pPr>
              <w:ind w:firstLine="0"/>
              <w:jc w:val="center"/>
              <w:rPr>
                <w:sz w:val="20"/>
                <w:szCs w:val="20"/>
              </w:rPr>
            </w:pPr>
            <w:proofErr w:type="spellStart"/>
            <w:r w:rsidRPr="009C05AE">
              <w:rPr>
                <w:sz w:val="20"/>
                <w:szCs w:val="20"/>
              </w:rPr>
              <w:t>Kroton</w:t>
            </w:r>
            <w:proofErr w:type="spellEnd"/>
          </w:p>
        </w:tc>
        <w:tc>
          <w:tcPr>
            <w:tcW w:w="2436" w:type="dxa"/>
            <w:tcBorders>
              <w:top w:val="single" w:sz="4" w:space="0" w:color="000000"/>
              <w:left w:val="nil"/>
              <w:bottom w:val="single" w:sz="4" w:space="0" w:color="000000"/>
              <w:right w:val="single" w:sz="4" w:space="0" w:color="000000"/>
            </w:tcBorders>
            <w:shd w:val="clear" w:color="auto" w:fill="auto"/>
            <w:vAlign w:val="center"/>
          </w:tcPr>
          <w:p w14:paraId="3B97E1DA" w14:textId="77777777" w:rsidR="009C05AE" w:rsidRPr="009C05AE" w:rsidRDefault="009C05AE" w:rsidP="009C05AE">
            <w:pPr>
              <w:ind w:firstLine="0"/>
              <w:jc w:val="center"/>
              <w:rPr>
                <w:sz w:val="20"/>
                <w:szCs w:val="20"/>
              </w:rPr>
            </w:pPr>
            <w:r w:rsidRPr="009C05AE">
              <w:rPr>
                <w:sz w:val="20"/>
                <w:szCs w:val="20"/>
              </w:rPr>
              <w:t>Localiza</w:t>
            </w:r>
          </w:p>
        </w:tc>
      </w:tr>
      <w:tr w:rsidR="009C05AE" w:rsidRPr="009C05AE" w14:paraId="577A76D3"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043CA145" w14:textId="77777777" w:rsidR="009C05AE" w:rsidRPr="009C05AE" w:rsidRDefault="009C05AE" w:rsidP="009C05AE">
            <w:pPr>
              <w:ind w:firstLine="0"/>
              <w:jc w:val="center"/>
              <w:rPr>
                <w:sz w:val="20"/>
                <w:szCs w:val="20"/>
              </w:rPr>
            </w:pPr>
            <w:r w:rsidRPr="009C05AE">
              <w:rPr>
                <w:sz w:val="20"/>
                <w:szCs w:val="20"/>
              </w:rPr>
              <w:t>Bradespar</w:t>
            </w:r>
          </w:p>
        </w:tc>
        <w:tc>
          <w:tcPr>
            <w:tcW w:w="2203" w:type="dxa"/>
            <w:tcBorders>
              <w:top w:val="nil"/>
              <w:left w:val="nil"/>
              <w:bottom w:val="single" w:sz="4" w:space="0" w:color="000000"/>
              <w:right w:val="single" w:sz="4" w:space="0" w:color="000000"/>
            </w:tcBorders>
            <w:shd w:val="clear" w:color="auto" w:fill="auto"/>
            <w:vAlign w:val="center"/>
          </w:tcPr>
          <w:p w14:paraId="250374E3" w14:textId="77777777" w:rsidR="009C05AE" w:rsidRPr="009C05AE" w:rsidRDefault="009C05AE" w:rsidP="009C05AE">
            <w:pPr>
              <w:ind w:firstLine="0"/>
              <w:jc w:val="center"/>
              <w:rPr>
                <w:sz w:val="20"/>
                <w:szCs w:val="20"/>
              </w:rPr>
            </w:pPr>
            <w:r w:rsidRPr="009C05AE">
              <w:rPr>
                <w:sz w:val="20"/>
                <w:szCs w:val="20"/>
              </w:rPr>
              <w:t>CSN</w:t>
            </w:r>
          </w:p>
        </w:tc>
        <w:tc>
          <w:tcPr>
            <w:tcW w:w="2279" w:type="dxa"/>
            <w:tcBorders>
              <w:top w:val="nil"/>
              <w:left w:val="nil"/>
              <w:bottom w:val="single" w:sz="4" w:space="0" w:color="000000"/>
              <w:right w:val="single" w:sz="4" w:space="0" w:color="000000"/>
            </w:tcBorders>
            <w:shd w:val="clear" w:color="auto" w:fill="auto"/>
            <w:vAlign w:val="center"/>
          </w:tcPr>
          <w:p w14:paraId="10A7F160" w14:textId="77777777" w:rsidR="009C05AE" w:rsidRPr="009C05AE" w:rsidRDefault="009C05AE" w:rsidP="009C05AE">
            <w:pPr>
              <w:ind w:firstLine="0"/>
              <w:jc w:val="center"/>
              <w:rPr>
                <w:sz w:val="20"/>
                <w:szCs w:val="20"/>
              </w:rPr>
            </w:pPr>
            <w:r w:rsidRPr="009C05AE">
              <w:rPr>
                <w:sz w:val="20"/>
                <w:szCs w:val="20"/>
              </w:rPr>
              <w:t>Lojas Americanas</w:t>
            </w:r>
          </w:p>
        </w:tc>
        <w:tc>
          <w:tcPr>
            <w:tcW w:w="2436" w:type="dxa"/>
            <w:tcBorders>
              <w:top w:val="nil"/>
              <w:left w:val="nil"/>
              <w:bottom w:val="single" w:sz="4" w:space="0" w:color="000000"/>
              <w:right w:val="single" w:sz="4" w:space="0" w:color="000000"/>
            </w:tcBorders>
            <w:shd w:val="clear" w:color="auto" w:fill="auto"/>
            <w:vAlign w:val="center"/>
          </w:tcPr>
          <w:p w14:paraId="15E3993D" w14:textId="77777777" w:rsidR="009C05AE" w:rsidRPr="009C05AE" w:rsidRDefault="009C05AE" w:rsidP="009C05AE">
            <w:pPr>
              <w:ind w:firstLine="0"/>
              <w:jc w:val="center"/>
              <w:rPr>
                <w:sz w:val="20"/>
                <w:szCs w:val="20"/>
              </w:rPr>
            </w:pPr>
            <w:r w:rsidRPr="009C05AE">
              <w:rPr>
                <w:sz w:val="20"/>
                <w:szCs w:val="20"/>
              </w:rPr>
              <w:t>Suzano Papel</w:t>
            </w:r>
          </w:p>
        </w:tc>
      </w:tr>
      <w:tr w:rsidR="009C05AE" w:rsidRPr="009C05AE" w14:paraId="7197C72E"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102D694D" w14:textId="77777777" w:rsidR="009C05AE" w:rsidRPr="009C05AE" w:rsidRDefault="009C05AE" w:rsidP="009C05AE">
            <w:pPr>
              <w:ind w:firstLine="0"/>
              <w:jc w:val="center"/>
              <w:rPr>
                <w:sz w:val="20"/>
                <w:szCs w:val="20"/>
              </w:rPr>
            </w:pPr>
            <w:r w:rsidRPr="009C05AE">
              <w:rPr>
                <w:sz w:val="20"/>
                <w:szCs w:val="20"/>
              </w:rPr>
              <w:t>BRF AS</w:t>
            </w:r>
          </w:p>
        </w:tc>
        <w:tc>
          <w:tcPr>
            <w:tcW w:w="2203" w:type="dxa"/>
            <w:tcBorders>
              <w:top w:val="nil"/>
              <w:left w:val="nil"/>
              <w:bottom w:val="single" w:sz="4" w:space="0" w:color="000000"/>
              <w:right w:val="single" w:sz="4" w:space="0" w:color="000000"/>
            </w:tcBorders>
            <w:shd w:val="clear" w:color="auto" w:fill="auto"/>
            <w:vAlign w:val="center"/>
          </w:tcPr>
          <w:p w14:paraId="392D70FC" w14:textId="77777777" w:rsidR="009C05AE" w:rsidRPr="009C05AE" w:rsidRDefault="009C05AE" w:rsidP="009C05AE">
            <w:pPr>
              <w:ind w:firstLine="0"/>
              <w:jc w:val="center"/>
              <w:rPr>
                <w:sz w:val="20"/>
                <w:szCs w:val="20"/>
              </w:rPr>
            </w:pPr>
            <w:r w:rsidRPr="009C05AE">
              <w:rPr>
                <w:sz w:val="20"/>
                <w:szCs w:val="20"/>
              </w:rPr>
              <w:t>Embraer</w:t>
            </w:r>
          </w:p>
        </w:tc>
        <w:tc>
          <w:tcPr>
            <w:tcW w:w="2279" w:type="dxa"/>
            <w:tcBorders>
              <w:top w:val="nil"/>
              <w:left w:val="nil"/>
              <w:bottom w:val="single" w:sz="4" w:space="0" w:color="000000"/>
              <w:right w:val="single" w:sz="4" w:space="0" w:color="000000"/>
            </w:tcBorders>
            <w:shd w:val="clear" w:color="auto" w:fill="auto"/>
            <w:vAlign w:val="center"/>
          </w:tcPr>
          <w:p w14:paraId="1F544E5D" w14:textId="77777777" w:rsidR="009C05AE" w:rsidRPr="009C05AE" w:rsidRDefault="009C05AE" w:rsidP="009C05AE">
            <w:pPr>
              <w:ind w:firstLine="0"/>
              <w:jc w:val="center"/>
              <w:rPr>
                <w:sz w:val="20"/>
                <w:szCs w:val="20"/>
              </w:rPr>
            </w:pPr>
            <w:r w:rsidRPr="009C05AE">
              <w:rPr>
                <w:sz w:val="20"/>
                <w:szCs w:val="20"/>
              </w:rPr>
              <w:t>Lojas Renner</w:t>
            </w:r>
          </w:p>
        </w:tc>
        <w:tc>
          <w:tcPr>
            <w:tcW w:w="2436" w:type="dxa"/>
            <w:tcBorders>
              <w:top w:val="nil"/>
              <w:left w:val="nil"/>
              <w:bottom w:val="single" w:sz="4" w:space="0" w:color="000000"/>
              <w:right w:val="single" w:sz="4" w:space="0" w:color="000000"/>
            </w:tcBorders>
            <w:shd w:val="clear" w:color="auto" w:fill="auto"/>
            <w:vAlign w:val="center"/>
          </w:tcPr>
          <w:p w14:paraId="004EFEF6" w14:textId="77777777" w:rsidR="009C05AE" w:rsidRPr="009C05AE" w:rsidRDefault="009C05AE" w:rsidP="009C05AE">
            <w:pPr>
              <w:ind w:firstLine="0"/>
              <w:jc w:val="center"/>
              <w:rPr>
                <w:sz w:val="20"/>
                <w:szCs w:val="20"/>
              </w:rPr>
            </w:pPr>
            <w:r w:rsidRPr="009C05AE">
              <w:rPr>
                <w:sz w:val="20"/>
                <w:szCs w:val="20"/>
              </w:rPr>
              <w:t>TIM Participações</w:t>
            </w:r>
          </w:p>
        </w:tc>
      </w:tr>
      <w:tr w:rsidR="009C05AE" w:rsidRPr="009C05AE" w14:paraId="489052A9"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66C1292B" w14:textId="77777777" w:rsidR="009C05AE" w:rsidRPr="009C05AE" w:rsidRDefault="009C05AE" w:rsidP="009C05AE">
            <w:pPr>
              <w:ind w:firstLine="0"/>
              <w:jc w:val="center"/>
              <w:rPr>
                <w:sz w:val="20"/>
                <w:szCs w:val="20"/>
              </w:rPr>
            </w:pPr>
            <w:r w:rsidRPr="009C05AE">
              <w:rPr>
                <w:sz w:val="20"/>
                <w:szCs w:val="20"/>
              </w:rPr>
              <w:t>Braskem</w:t>
            </w:r>
          </w:p>
        </w:tc>
        <w:tc>
          <w:tcPr>
            <w:tcW w:w="2203" w:type="dxa"/>
            <w:tcBorders>
              <w:top w:val="nil"/>
              <w:left w:val="nil"/>
              <w:bottom w:val="single" w:sz="4" w:space="0" w:color="000000"/>
              <w:right w:val="single" w:sz="4" w:space="0" w:color="000000"/>
            </w:tcBorders>
            <w:shd w:val="clear" w:color="auto" w:fill="auto"/>
            <w:vAlign w:val="center"/>
          </w:tcPr>
          <w:p w14:paraId="1B554FC8" w14:textId="77777777" w:rsidR="009C05AE" w:rsidRPr="009C05AE" w:rsidRDefault="009C05AE" w:rsidP="009C05AE">
            <w:pPr>
              <w:ind w:firstLine="0"/>
              <w:jc w:val="center"/>
              <w:rPr>
                <w:sz w:val="20"/>
                <w:szCs w:val="20"/>
              </w:rPr>
            </w:pPr>
            <w:proofErr w:type="spellStart"/>
            <w:r w:rsidRPr="009C05AE">
              <w:rPr>
                <w:sz w:val="20"/>
                <w:szCs w:val="20"/>
              </w:rPr>
              <w:t>EstacioPart</w:t>
            </w:r>
            <w:proofErr w:type="spellEnd"/>
          </w:p>
        </w:tc>
        <w:tc>
          <w:tcPr>
            <w:tcW w:w="2279" w:type="dxa"/>
            <w:tcBorders>
              <w:top w:val="nil"/>
              <w:left w:val="nil"/>
              <w:bottom w:val="single" w:sz="4" w:space="0" w:color="000000"/>
              <w:right w:val="single" w:sz="4" w:space="0" w:color="000000"/>
            </w:tcBorders>
            <w:shd w:val="clear" w:color="auto" w:fill="auto"/>
            <w:vAlign w:val="center"/>
          </w:tcPr>
          <w:p w14:paraId="32E27A7B" w14:textId="77777777" w:rsidR="009C05AE" w:rsidRPr="009C05AE" w:rsidRDefault="009C05AE" w:rsidP="009C05AE">
            <w:pPr>
              <w:ind w:firstLine="0"/>
              <w:jc w:val="center"/>
              <w:rPr>
                <w:sz w:val="20"/>
                <w:szCs w:val="20"/>
              </w:rPr>
            </w:pPr>
            <w:r w:rsidRPr="009C05AE">
              <w:rPr>
                <w:sz w:val="20"/>
                <w:szCs w:val="20"/>
              </w:rPr>
              <w:t>Multiplan</w:t>
            </w:r>
          </w:p>
        </w:tc>
        <w:tc>
          <w:tcPr>
            <w:tcW w:w="2436" w:type="dxa"/>
            <w:tcBorders>
              <w:top w:val="nil"/>
              <w:left w:val="nil"/>
              <w:bottom w:val="single" w:sz="4" w:space="0" w:color="000000"/>
              <w:right w:val="single" w:sz="4" w:space="0" w:color="000000"/>
            </w:tcBorders>
            <w:shd w:val="clear" w:color="auto" w:fill="auto"/>
            <w:vAlign w:val="center"/>
          </w:tcPr>
          <w:p w14:paraId="35819DD2" w14:textId="77777777" w:rsidR="009C05AE" w:rsidRPr="009C05AE" w:rsidRDefault="009C05AE" w:rsidP="009C05AE">
            <w:pPr>
              <w:ind w:firstLine="0"/>
              <w:jc w:val="center"/>
              <w:rPr>
                <w:sz w:val="20"/>
                <w:szCs w:val="20"/>
              </w:rPr>
            </w:pPr>
            <w:r w:rsidRPr="009C05AE">
              <w:rPr>
                <w:sz w:val="20"/>
                <w:szCs w:val="20"/>
              </w:rPr>
              <w:t>Ultrapar</w:t>
            </w:r>
          </w:p>
        </w:tc>
      </w:tr>
      <w:tr w:rsidR="009C05AE" w:rsidRPr="009C05AE" w14:paraId="6A370620"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63C00146" w14:textId="77777777" w:rsidR="009C05AE" w:rsidRPr="009C05AE" w:rsidRDefault="009C05AE" w:rsidP="009C05AE">
            <w:pPr>
              <w:ind w:firstLine="0"/>
              <w:jc w:val="center"/>
              <w:rPr>
                <w:sz w:val="20"/>
                <w:szCs w:val="20"/>
              </w:rPr>
            </w:pPr>
            <w:r w:rsidRPr="009C05AE">
              <w:rPr>
                <w:sz w:val="20"/>
                <w:szCs w:val="20"/>
              </w:rPr>
              <w:t xml:space="preserve">BR </w:t>
            </w:r>
            <w:proofErr w:type="spellStart"/>
            <w:r w:rsidRPr="009C05AE">
              <w:rPr>
                <w:sz w:val="20"/>
                <w:szCs w:val="20"/>
              </w:rPr>
              <w:t>Malls</w:t>
            </w:r>
            <w:proofErr w:type="spellEnd"/>
          </w:p>
        </w:tc>
        <w:tc>
          <w:tcPr>
            <w:tcW w:w="2203" w:type="dxa"/>
            <w:tcBorders>
              <w:top w:val="nil"/>
              <w:left w:val="nil"/>
              <w:bottom w:val="single" w:sz="4" w:space="0" w:color="000000"/>
              <w:right w:val="single" w:sz="4" w:space="0" w:color="000000"/>
            </w:tcBorders>
            <w:shd w:val="clear" w:color="auto" w:fill="auto"/>
            <w:vAlign w:val="center"/>
          </w:tcPr>
          <w:p w14:paraId="57FDB923" w14:textId="77777777" w:rsidR="009C05AE" w:rsidRPr="009C05AE" w:rsidRDefault="009C05AE" w:rsidP="009C05AE">
            <w:pPr>
              <w:ind w:firstLine="0"/>
              <w:jc w:val="center"/>
              <w:rPr>
                <w:sz w:val="20"/>
                <w:szCs w:val="20"/>
              </w:rPr>
            </w:pPr>
            <w:r w:rsidRPr="009C05AE">
              <w:rPr>
                <w:sz w:val="20"/>
                <w:szCs w:val="20"/>
              </w:rPr>
              <w:t>Gerdau</w:t>
            </w:r>
          </w:p>
        </w:tc>
        <w:tc>
          <w:tcPr>
            <w:tcW w:w="2279" w:type="dxa"/>
            <w:tcBorders>
              <w:top w:val="nil"/>
              <w:left w:val="nil"/>
              <w:bottom w:val="single" w:sz="4" w:space="0" w:color="000000"/>
              <w:right w:val="single" w:sz="4" w:space="0" w:color="000000"/>
            </w:tcBorders>
            <w:shd w:val="clear" w:color="auto" w:fill="auto"/>
            <w:vAlign w:val="center"/>
          </w:tcPr>
          <w:p w14:paraId="3BB46455" w14:textId="77777777" w:rsidR="009C05AE" w:rsidRPr="009C05AE" w:rsidRDefault="009C05AE" w:rsidP="009C05AE">
            <w:pPr>
              <w:ind w:firstLine="0"/>
              <w:jc w:val="center"/>
              <w:rPr>
                <w:sz w:val="20"/>
                <w:szCs w:val="20"/>
              </w:rPr>
            </w:pPr>
            <w:r w:rsidRPr="009C05AE">
              <w:rPr>
                <w:sz w:val="20"/>
                <w:szCs w:val="20"/>
              </w:rPr>
              <w:t>Natura</w:t>
            </w:r>
          </w:p>
        </w:tc>
        <w:tc>
          <w:tcPr>
            <w:tcW w:w="2436" w:type="dxa"/>
            <w:tcBorders>
              <w:top w:val="nil"/>
              <w:left w:val="nil"/>
              <w:bottom w:val="single" w:sz="4" w:space="0" w:color="000000"/>
              <w:right w:val="single" w:sz="4" w:space="0" w:color="000000"/>
            </w:tcBorders>
            <w:shd w:val="clear" w:color="auto" w:fill="auto"/>
            <w:vAlign w:val="center"/>
          </w:tcPr>
          <w:p w14:paraId="1279EAF2" w14:textId="77777777" w:rsidR="009C05AE" w:rsidRPr="009C05AE" w:rsidRDefault="009C05AE" w:rsidP="009C05AE">
            <w:pPr>
              <w:ind w:firstLine="0"/>
              <w:jc w:val="center"/>
              <w:rPr>
                <w:sz w:val="20"/>
                <w:szCs w:val="20"/>
              </w:rPr>
            </w:pPr>
            <w:r w:rsidRPr="009C05AE">
              <w:rPr>
                <w:sz w:val="20"/>
                <w:szCs w:val="20"/>
              </w:rPr>
              <w:t>Usiminas</w:t>
            </w:r>
          </w:p>
        </w:tc>
      </w:tr>
      <w:tr w:rsidR="009C05AE" w:rsidRPr="009C05AE" w14:paraId="0B46B4AE"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5BF2ED03" w14:textId="77777777" w:rsidR="009C05AE" w:rsidRPr="009C05AE" w:rsidRDefault="009C05AE" w:rsidP="009C05AE">
            <w:pPr>
              <w:ind w:firstLine="0"/>
              <w:jc w:val="center"/>
              <w:rPr>
                <w:sz w:val="20"/>
                <w:szCs w:val="20"/>
              </w:rPr>
            </w:pPr>
            <w:r w:rsidRPr="009C05AE">
              <w:rPr>
                <w:sz w:val="20"/>
                <w:szCs w:val="20"/>
              </w:rPr>
              <w:t>CCR</w:t>
            </w:r>
          </w:p>
        </w:tc>
        <w:tc>
          <w:tcPr>
            <w:tcW w:w="2203" w:type="dxa"/>
            <w:tcBorders>
              <w:top w:val="nil"/>
              <w:left w:val="nil"/>
              <w:bottom w:val="single" w:sz="4" w:space="0" w:color="000000"/>
              <w:right w:val="single" w:sz="4" w:space="0" w:color="000000"/>
            </w:tcBorders>
            <w:shd w:val="clear" w:color="auto" w:fill="auto"/>
            <w:vAlign w:val="center"/>
          </w:tcPr>
          <w:p w14:paraId="117B81CE" w14:textId="77777777" w:rsidR="009C05AE" w:rsidRPr="009C05AE" w:rsidRDefault="009C05AE" w:rsidP="009C05AE">
            <w:pPr>
              <w:ind w:firstLine="0"/>
              <w:jc w:val="center"/>
              <w:rPr>
                <w:sz w:val="20"/>
                <w:szCs w:val="20"/>
              </w:rPr>
            </w:pPr>
            <w:r w:rsidRPr="009C05AE">
              <w:rPr>
                <w:sz w:val="20"/>
                <w:szCs w:val="20"/>
              </w:rPr>
              <w:t xml:space="preserve">Gerdau </w:t>
            </w:r>
            <w:proofErr w:type="spellStart"/>
            <w:r w:rsidRPr="009C05AE">
              <w:rPr>
                <w:sz w:val="20"/>
                <w:szCs w:val="20"/>
              </w:rPr>
              <w:t>Met</w:t>
            </w:r>
            <w:proofErr w:type="spellEnd"/>
          </w:p>
        </w:tc>
        <w:tc>
          <w:tcPr>
            <w:tcW w:w="2279" w:type="dxa"/>
            <w:tcBorders>
              <w:top w:val="nil"/>
              <w:left w:val="nil"/>
              <w:bottom w:val="single" w:sz="4" w:space="0" w:color="000000"/>
              <w:right w:val="single" w:sz="4" w:space="0" w:color="000000"/>
            </w:tcBorders>
            <w:shd w:val="clear" w:color="auto" w:fill="auto"/>
            <w:vAlign w:val="center"/>
          </w:tcPr>
          <w:p w14:paraId="4A2F7D06" w14:textId="77777777" w:rsidR="009C05AE" w:rsidRPr="009C05AE" w:rsidRDefault="009C05AE" w:rsidP="009C05AE">
            <w:pPr>
              <w:ind w:firstLine="0"/>
              <w:jc w:val="center"/>
              <w:rPr>
                <w:sz w:val="20"/>
                <w:szCs w:val="20"/>
              </w:rPr>
            </w:pPr>
            <w:r w:rsidRPr="009C05AE">
              <w:rPr>
                <w:sz w:val="20"/>
                <w:szCs w:val="20"/>
              </w:rPr>
              <w:t>Pão de Açúcar</w:t>
            </w:r>
          </w:p>
        </w:tc>
        <w:tc>
          <w:tcPr>
            <w:tcW w:w="2436" w:type="dxa"/>
            <w:tcBorders>
              <w:top w:val="nil"/>
              <w:left w:val="nil"/>
              <w:bottom w:val="single" w:sz="4" w:space="0" w:color="000000"/>
              <w:right w:val="single" w:sz="4" w:space="0" w:color="000000"/>
            </w:tcBorders>
            <w:shd w:val="clear" w:color="auto" w:fill="auto"/>
            <w:vAlign w:val="center"/>
          </w:tcPr>
          <w:p w14:paraId="1ADC2A12" w14:textId="77777777" w:rsidR="009C05AE" w:rsidRPr="009C05AE" w:rsidRDefault="009C05AE" w:rsidP="009C05AE">
            <w:pPr>
              <w:ind w:firstLine="0"/>
              <w:jc w:val="center"/>
              <w:rPr>
                <w:sz w:val="20"/>
                <w:szCs w:val="20"/>
              </w:rPr>
            </w:pPr>
            <w:r w:rsidRPr="009C05AE">
              <w:rPr>
                <w:sz w:val="20"/>
                <w:szCs w:val="20"/>
              </w:rPr>
              <w:t>Vale</w:t>
            </w:r>
          </w:p>
        </w:tc>
      </w:tr>
      <w:tr w:rsidR="009C05AE" w:rsidRPr="009C05AE" w14:paraId="33629BE6"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328E3D45" w14:textId="77777777" w:rsidR="009C05AE" w:rsidRPr="009C05AE" w:rsidRDefault="009C05AE" w:rsidP="009C05AE">
            <w:pPr>
              <w:ind w:firstLine="0"/>
              <w:jc w:val="center"/>
              <w:rPr>
                <w:sz w:val="20"/>
                <w:szCs w:val="20"/>
              </w:rPr>
            </w:pPr>
            <w:r w:rsidRPr="009C05AE">
              <w:rPr>
                <w:sz w:val="20"/>
                <w:szCs w:val="20"/>
              </w:rPr>
              <w:t>Cielo</w:t>
            </w:r>
          </w:p>
        </w:tc>
        <w:tc>
          <w:tcPr>
            <w:tcW w:w="2203" w:type="dxa"/>
            <w:tcBorders>
              <w:top w:val="nil"/>
              <w:left w:val="nil"/>
              <w:bottom w:val="single" w:sz="4" w:space="0" w:color="000000"/>
              <w:right w:val="single" w:sz="4" w:space="0" w:color="000000"/>
            </w:tcBorders>
            <w:shd w:val="clear" w:color="auto" w:fill="auto"/>
            <w:vAlign w:val="center"/>
          </w:tcPr>
          <w:p w14:paraId="15D1538A" w14:textId="77777777" w:rsidR="009C05AE" w:rsidRPr="009C05AE" w:rsidRDefault="009C05AE" w:rsidP="009C05AE">
            <w:pPr>
              <w:ind w:firstLine="0"/>
              <w:jc w:val="center"/>
              <w:rPr>
                <w:sz w:val="20"/>
                <w:szCs w:val="20"/>
              </w:rPr>
            </w:pPr>
            <w:r w:rsidRPr="009C05AE">
              <w:rPr>
                <w:sz w:val="20"/>
                <w:szCs w:val="20"/>
              </w:rPr>
              <w:t>JBS Friboi</w:t>
            </w:r>
          </w:p>
        </w:tc>
        <w:tc>
          <w:tcPr>
            <w:tcW w:w="2279" w:type="dxa"/>
            <w:tcBorders>
              <w:top w:val="nil"/>
              <w:left w:val="nil"/>
              <w:bottom w:val="single" w:sz="4" w:space="0" w:color="000000"/>
              <w:right w:val="single" w:sz="4" w:space="0" w:color="000000"/>
            </w:tcBorders>
            <w:shd w:val="clear" w:color="auto" w:fill="auto"/>
            <w:vAlign w:val="center"/>
          </w:tcPr>
          <w:p w14:paraId="1A7E95F3" w14:textId="77777777" w:rsidR="009C05AE" w:rsidRPr="009C05AE" w:rsidRDefault="009C05AE" w:rsidP="009C05AE">
            <w:pPr>
              <w:ind w:firstLine="0"/>
              <w:jc w:val="center"/>
              <w:rPr>
                <w:sz w:val="20"/>
                <w:szCs w:val="20"/>
              </w:rPr>
            </w:pPr>
            <w:r w:rsidRPr="009C05AE">
              <w:rPr>
                <w:sz w:val="20"/>
                <w:szCs w:val="20"/>
              </w:rPr>
              <w:t>Petrobras</w:t>
            </w:r>
          </w:p>
        </w:tc>
        <w:tc>
          <w:tcPr>
            <w:tcW w:w="2436" w:type="dxa"/>
            <w:tcBorders>
              <w:top w:val="nil"/>
              <w:left w:val="nil"/>
              <w:bottom w:val="single" w:sz="4" w:space="0" w:color="000000"/>
              <w:right w:val="single" w:sz="4" w:space="0" w:color="000000"/>
            </w:tcBorders>
            <w:shd w:val="clear" w:color="auto" w:fill="auto"/>
            <w:vAlign w:val="center"/>
          </w:tcPr>
          <w:p w14:paraId="054B4354" w14:textId="77777777" w:rsidR="009C05AE" w:rsidRPr="009C05AE" w:rsidRDefault="009C05AE" w:rsidP="009C05AE">
            <w:pPr>
              <w:ind w:firstLine="0"/>
              <w:jc w:val="center"/>
              <w:rPr>
                <w:sz w:val="20"/>
                <w:szCs w:val="20"/>
              </w:rPr>
            </w:pPr>
            <w:r w:rsidRPr="009C05AE">
              <w:rPr>
                <w:sz w:val="20"/>
                <w:szCs w:val="20"/>
              </w:rPr>
              <w:t>Telefônica Brasil</w:t>
            </w:r>
          </w:p>
        </w:tc>
      </w:tr>
      <w:tr w:rsidR="009C05AE" w:rsidRPr="009C05AE" w14:paraId="0D5FC285" w14:textId="77777777" w:rsidTr="009C05AE">
        <w:trPr>
          <w:trHeight w:val="424"/>
          <w:jc w:val="center"/>
        </w:trPr>
        <w:tc>
          <w:tcPr>
            <w:tcW w:w="2494" w:type="dxa"/>
            <w:tcBorders>
              <w:top w:val="nil"/>
              <w:left w:val="single" w:sz="4" w:space="0" w:color="000000"/>
              <w:bottom w:val="single" w:sz="4" w:space="0" w:color="000000"/>
              <w:right w:val="single" w:sz="4" w:space="0" w:color="000000"/>
            </w:tcBorders>
            <w:shd w:val="clear" w:color="auto" w:fill="auto"/>
            <w:vAlign w:val="center"/>
          </w:tcPr>
          <w:p w14:paraId="69038ABD" w14:textId="77777777" w:rsidR="009C05AE" w:rsidRPr="009C05AE" w:rsidRDefault="009C05AE" w:rsidP="009C05AE">
            <w:pPr>
              <w:ind w:firstLine="0"/>
              <w:jc w:val="center"/>
              <w:rPr>
                <w:sz w:val="20"/>
                <w:szCs w:val="20"/>
              </w:rPr>
            </w:pPr>
            <w:r w:rsidRPr="009C05AE">
              <w:rPr>
                <w:sz w:val="20"/>
                <w:szCs w:val="20"/>
              </w:rPr>
              <w:t>Cemig</w:t>
            </w:r>
          </w:p>
        </w:tc>
        <w:tc>
          <w:tcPr>
            <w:tcW w:w="2203" w:type="dxa"/>
            <w:tcBorders>
              <w:top w:val="nil"/>
              <w:left w:val="nil"/>
              <w:bottom w:val="single" w:sz="4" w:space="0" w:color="000000"/>
              <w:right w:val="single" w:sz="4" w:space="0" w:color="000000"/>
            </w:tcBorders>
            <w:shd w:val="clear" w:color="auto" w:fill="auto"/>
            <w:vAlign w:val="center"/>
          </w:tcPr>
          <w:p w14:paraId="47EE59BD" w14:textId="77777777" w:rsidR="009C05AE" w:rsidRPr="009C05AE" w:rsidRDefault="009C05AE" w:rsidP="009C05AE">
            <w:pPr>
              <w:ind w:firstLine="0"/>
              <w:jc w:val="center"/>
              <w:rPr>
                <w:sz w:val="20"/>
                <w:szCs w:val="20"/>
              </w:rPr>
            </w:pPr>
            <w:r w:rsidRPr="009C05AE">
              <w:rPr>
                <w:sz w:val="20"/>
                <w:szCs w:val="20"/>
              </w:rPr>
              <w:t>Klabin AS</w:t>
            </w:r>
          </w:p>
        </w:tc>
        <w:tc>
          <w:tcPr>
            <w:tcW w:w="2279" w:type="dxa"/>
            <w:tcBorders>
              <w:top w:val="nil"/>
              <w:left w:val="nil"/>
              <w:bottom w:val="single" w:sz="4" w:space="0" w:color="000000"/>
              <w:right w:val="single" w:sz="4" w:space="0" w:color="000000"/>
            </w:tcBorders>
            <w:shd w:val="clear" w:color="auto" w:fill="auto"/>
            <w:vAlign w:val="center"/>
          </w:tcPr>
          <w:p w14:paraId="1DF582C6" w14:textId="77777777" w:rsidR="009C05AE" w:rsidRPr="009C05AE" w:rsidRDefault="009C05AE" w:rsidP="009C05AE">
            <w:pPr>
              <w:ind w:firstLine="0"/>
              <w:jc w:val="center"/>
              <w:rPr>
                <w:sz w:val="20"/>
                <w:szCs w:val="20"/>
              </w:rPr>
            </w:pPr>
            <w:r w:rsidRPr="009C05AE">
              <w:rPr>
                <w:sz w:val="20"/>
                <w:szCs w:val="20"/>
              </w:rPr>
              <w:t>Raia Drogasil</w:t>
            </w:r>
          </w:p>
        </w:tc>
        <w:tc>
          <w:tcPr>
            <w:tcW w:w="2436" w:type="dxa"/>
            <w:tcBorders>
              <w:top w:val="nil"/>
              <w:left w:val="nil"/>
              <w:bottom w:val="single" w:sz="4" w:space="0" w:color="000000"/>
              <w:right w:val="single" w:sz="4" w:space="0" w:color="000000"/>
            </w:tcBorders>
            <w:shd w:val="clear" w:color="auto" w:fill="auto"/>
            <w:vAlign w:val="center"/>
          </w:tcPr>
          <w:p w14:paraId="6EA6BAF9" w14:textId="77777777" w:rsidR="009C05AE" w:rsidRPr="009C05AE" w:rsidRDefault="009C05AE" w:rsidP="009C05AE">
            <w:pPr>
              <w:ind w:firstLine="0"/>
              <w:jc w:val="center"/>
              <w:rPr>
                <w:sz w:val="20"/>
                <w:szCs w:val="20"/>
              </w:rPr>
            </w:pPr>
            <w:r w:rsidRPr="009C05AE">
              <w:rPr>
                <w:sz w:val="20"/>
                <w:szCs w:val="20"/>
              </w:rPr>
              <w:t>Weg</w:t>
            </w:r>
          </w:p>
        </w:tc>
      </w:tr>
    </w:tbl>
    <w:p w14:paraId="2DB616B3" w14:textId="77777777" w:rsidR="009C05AE" w:rsidRPr="009C05AE" w:rsidRDefault="009C05AE" w:rsidP="009C05AE">
      <w:pPr>
        <w:ind w:firstLine="0"/>
        <w:rPr>
          <w:sz w:val="20"/>
          <w:szCs w:val="20"/>
        </w:rPr>
      </w:pPr>
      <w:r w:rsidRPr="006A4866">
        <w:rPr>
          <w:b/>
          <w:bCs/>
          <w:sz w:val="20"/>
          <w:szCs w:val="20"/>
        </w:rPr>
        <w:t>Fonte:</w:t>
      </w:r>
      <w:r w:rsidRPr="009C05AE">
        <w:rPr>
          <w:sz w:val="20"/>
          <w:szCs w:val="20"/>
        </w:rPr>
        <w:t xml:space="preserve"> Dados da pesquisa, 2019.</w:t>
      </w:r>
    </w:p>
    <w:p w14:paraId="3D919536" w14:textId="77777777" w:rsidR="009C05AE" w:rsidRPr="009C05AE" w:rsidRDefault="009C05AE" w:rsidP="009C05AE">
      <w:pPr>
        <w:ind w:firstLine="0"/>
      </w:pPr>
    </w:p>
    <w:p w14:paraId="15161DB3" w14:textId="77777777" w:rsidR="009C05AE" w:rsidRPr="009C05AE" w:rsidRDefault="009C05AE" w:rsidP="009C05AE">
      <w:r w:rsidRPr="009C05AE">
        <w:t xml:space="preserve">No que se refere às variáveis da pesquisa, utilizou-se o nível de </w:t>
      </w:r>
      <w:proofErr w:type="spellStart"/>
      <w:r w:rsidRPr="009C05AE">
        <w:rPr>
          <w:i/>
        </w:rPr>
        <w:t>disclosure</w:t>
      </w:r>
      <w:proofErr w:type="spellEnd"/>
      <w:r w:rsidRPr="009C05AE">
        <w:rPr>
          <w:i/>
        </w:rPr>
        <w:t xml:space="preserve"> </w:t>
      </w:r>
      <w:r w:rsidRPr="009C05AE">
        <w:t xml:space="preserve">do CI, mensurado por meio de métricas adaptadas dos trabalhos de </w:t>
      </w:r>
      <w:proofErr w:type="spellStart"/>
      <w:r w:rsidRPr="009C05AE">
        <w:t>Backes</w:t>
      </w:r>
      <w:proofErr w:type="spellEnd"/>
      <w:r w:rsidRPr="009C05AE">
        <w:t xml:space="preserve">, </w:t>
      </w:r>
      <w:proofErr w:type="spellStart"/>
      <w:r w:rsidRPr="009C05AE">
        <w:t>Ott</w:t>
      </w:r>
      <w:proofErr w:type="spellEnd"/>
      <w:r w:rsidRPr="009C05AE">
        <w:t xml:space="preserve">, </w:t>
      </w:r>
      <w:proofErr w:type="spellStart"/>
      <w:r w:rsidRPr="009C05AE">
        <w:t>Wiethaeuper</w:t>
      </w:r>
      <w:proofErr w:type="spellEnd"/>
      <w:r w:rsidRPr="009C05AE">
        <w:t xml:space="preserve"> (2005) e Reina, </w:t>
      </w:r>
      <w:proofErr w:type="spellStart"/>
      <w:r w:rsidRPr="009C05AE">
        <w:t>Ensslin</w:t>
      </w:r>
      <w:proofErr w:type="spellEnd"/>
      <w:r w:rsidRPr="009C05AE">
        <w:t xml:space="preserve"> e Borba (2009), sendo dividido em 3 categorias e 27 subcategorias. </w:t>
      </w:r>
    </w:p>
    <w:p w14:paraId="0C7E10C8" w14:textId="77777777" w:rsidR="009C05AE" w:rsidRPr="009C05AE" w:rsidRDefault="009C05AE" w:rsidP="009C05AE">
      <w:r w:rsidRPr="009C05AE">
        <w:t xml:space="preserve">Cada subcategoria é avaliada por uma sentença positiva: </w:t>
      </w:r>
    </w:p>
    <w:p w14:paraId="5B567756" w14:textId="77777777" w:rsidR="009C05AE" w:rsidRPr="009C05AE" w:rsidRDefault="009C05AE" w:rsidP="009C05AE"/>
    <w:p w14:paraId="1F2CFE4D" w14:textId="77777777" w:rsidR="009C05AE" w:rsidRPr="009C05AE" w:rsidRDefault="009C05AE" w:rsidP="009C05AE">
      <w:pPr>
        <w:widowControl/>
        <w:numPr>
          <w:ilvl w:val="0"/>
          <w:numId w:val="6"/>
        </w:numPr>
        <w:pBdr>
          <w:top w:val="nil"/>
          <w:left w:val="nil"/>
          <w:bottom w:val="nil"/>
          <w:right w:val="nil"/>
          <w:between w:val="nil"/>
        </w:pBdr>
        <w:spacing w:line="259" w:lineRule="auto"/>
        <w:contextualSpacing/>
        <w:jc w:val="left"/>
        <w:rPr>
          <w:color w:val="000000"/>
        </w:rPr>
      </w:pPr>
      <w:r w:rsidRPr="009C05AE">
        <w:rPr>
          <w:color w:val="000000"/>
        </w:rPr>
        <w:t>“1”, quando a informação procurada na empresa é localizada; e</w:t>
      </w:r>
    </w:p>
    <w:p w14:paraId="1C24A492" w14:textId="77777777" w:rsidR="009C05AE" w:rsidRPr="009C05AE" w:rsidRDefault="009C05AE" w:rsidP="009C05AE">
      <w:pPr>
        <w:widowControl/>
        <w:numPr>
          <w:ilvl w:val="0"/>
          <w:numId w:val="6"/>
        </w:numPr>
        <w:pBdr>
          <w:top w:val="nil"/>
          <w:left w:val="nil"/>
          <w:bottom w:val="nil"/>
          <w:right w:val="nil"/>
          <w:between w:val="nil"/>
        </w:pBdr>
        <w:spacing w:line="259" w:lineRule="auto"/>
        <w:contextualSpacing/>
        <w:jc w:val="left"/>
        <w:rPr>
          <w:color w:val="000000"/>
        </w:rPr>
      </w:pPr>
      <w:r w:rsidRPr="009C05AE">
        <w:rPr>
          <w:color w:val="000000"/>
        </w:rPr>
        <w:t xml:space="preserve">“0”, caso contrário. </w:t>
      </w:r>
    </w:p>
    <w:p w14:paraId="44CA2B4A" w14:textId="77777777" w:rsidR="009C05AE" w:rsidRPr="009C05AE" w:rsidRDefault="009C05AE" w:rsidP="009C05AE">
      <w:pPr>
        <w:widowControl/>
        <w:pBdr>
          <w:top w:val="nil"/>
          <w:left w:val="nil"/>
          <w:bottom w:val="nil"/>
          <w:right w:val="nil"/>
          <w:between w:val="nil"/>
        </w:pBdr>
        <w:ind w:left="1072" w:firstLine="0"/>
        <w:jc w:val="left"/>
        <w:rPr>
          <w:color w:val="000000"/>
        </w:rPr>
      </w:pPr>
    </w:p>
    <w:p w14:paraId="1AEB7CD8" w14:textId="77777777" w:rsidR="009C05AE" w:rsidRPr="009C05AE" w:rsidRDefault="009C05AE" w:rsidP="009C05AE">
      <w:r w:rsidRPr="009C05AE">
        <w:t xml:space="preserve">Os indicadores utilizados para a análise de conteúdo e cálculo do Nível de </w:t>
      </w:r>
      <w:proofErr w:type="spellStart"/>
      <w:r w:rsidRPr="009C05AE">
        <w:rPr>
          <w:i/>
        </w:rPr>
        <w:t>Disclosure</w:t>
      </w:r>
      <w:proofErr w:type="spellEnd"/>
      <w:r w:rsidRPr="009C05AE">
        <w:rPr>
          <w:i/>
        </w:rPr>
        <w:t xml:space="preserve"> </w:t>
      </w:r>
      <w:r w:rsidRPr="009C05AE">
        <w:t>do Capital Intelectual (NDCI), estão demonstrados no Quadro 3.</w:t>
      </w:r>
    </w:p>
    <w:p w14:paraId="57211E78" w14:textId="77777777" w:rsidR="009C05AE" w:rsidRPr="009C05AE" w:rsidRDefault="009C05AE" w:rsidP="009C05AE">
      <w:pPr>
        <w:ind w:firstLine="0"/>
      </w:pPr>
    </w:p>
    <w:p w14:paraId="2C9ABDAF" w14:textId="1AB74467" w:rsidR="009C05AE" w:rsidRPr="009C05AE" w:rsidRDefault="009C05AE" w:rsidP="009C05AE">
      <w:pPr>
        <w:ind w:firstLine="0"/>
        <w:jc w:val="center"/>
        <w:rPr>
          <w:sz w:val="20"/>
          <w:szCs w:val="20"/>
        </w:rPr>
      </w:pPr>
      <w:r w:rsidRPr="006A4866">
        <w:rPr>
          <w:b/>
          <w:bCs/>
          <w:sz w:val="20"/>
          <w:szCs w:val="20"/>
        </w:rPr>
        <w:t>Quadro 3</w:t>
      </w:r>
      <w:r w:rsidR="006A4866">
        <w:rPr>
          <w:sz w:val="20"/>
          <w:szCs w:val="20"/>
        </w:rPr>
        <w:t xml:space="preserve"> -</w:t>
      </w:r>
      <w:r w:rsidRPr="009C05AE">
        <w:rPr>
          <w:sz w:val="20"/>
          <w:szCs w:val="20"/>
        </w:rPr>
        <w:t xml:space="preserve"> Indicadores Utilizados para Mensuração do Nível de </w:t>
      </w:r>
      <w:proofErr w:type="spellStart"/>
      <w:r w:rsidRPr="009C05AE">
        <w:rPr>
          <w:i/>
          <w:sz w:val="20"/>
          <w:szCs w:val="20"/>
        </w:rPr>
        <w:t>Disclosure</w:t>
      </w:r>
      <w:proofErr w:type="spellEnd"/>
      <w:r w:rsidRPr="009C05AE">
        <w:rPr>
          <w:i/>
          <w:sz w:val="20"/>
          <w:szCs w:val="20"/>
        </w:rPr>
        <w:t xml:space="preserve"> </w:t>
      </w:r>
      <w:r w:rsidRPr="009C05AE">
        <w:rPr>
          <w:sz w:val="20"/>
          <w:szCs w:val="20"/>
        </w:rPr>
        <w:t>do CI</w:t>
      </w:r>
    </w:p>
    <w:tbl>
      <w:tblPr>
        <w:tblW w:w="9425" w:type="dxa"/>
        <w:jc w:val="center"/>
        <w:tblLayout w:type="fixed"/>
        <w:tblLook w:val="0400" w:firstRow="0" w:lastRow="0" w:firstColumn="0" w:lastColumn="0" w:noHBand="0" w:noVBand="1"/>
      </w:tblPr>
      <w:tblGrid>
        <w:gridCol w:w="3238"/>
        <w:gridCol w:w="3097"/>
        <w:gridCol w:w="3090"/>
      </w:tblGrid>
      <w:tr w:rsidR="009C05AE" w:rsidRPr="009C05AE" w14:paraId="204A3A64" w14:textId="77777777" w:rsidTr="009C05AE">
        <w:trPr>
          <w:trHeight w:val="511"/>
          <w:jc w:val="center"/>
        </w:trPr>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B9F1E" w14:textId="77777777" w:rsidR="009C05AE" w:rsidRPr="009C05AE" w:rsidRDefault="009C05AE" w:rsidP="009C05AE">
            <w:pPr>
              <w:ind w:firstLine="0"/>
              <w:jc w:val="center"/>
              <w:rPr>
                <w:b/>
                <w:sz w:val="20"/>
                <w:szCs w:val="20"/>
              </w:rPr>
            </w:pPr>
            <w:r w:rsidRPr="009C05AE">
              <w:rPr>
                <w:b/>
                <w:sz w:val="20"/>
                <w:szCs w:val="20"/>
              </w:rPr>
              <w:t>Capital Estrutural</w:t>
            </w:r>
          </w:p>
        </w:tc>
        <w:tc>
          <w:tcPr>
            <w:tcW w:w="3097" w:type="dxa"/>
            <w:tcBorders>
              <w:top w:val="single" w:sz="4" w:space="0" w:color="000000"/>
              <w:left w:val="nil"/>
              <w:bottom w:val="single" w:sz="4" w:space="0" w:color="000000"/>
              <w:right w:val="single" w:sz="4" w:space="0" w:color="000000"/>
            </w:tcBorders>
            <w:shd w:val="clear" w:color="auto" w:fill="auto"/>
            <w:vAlign w:val="center"/>
          </w:tcPr>
          <w:p w14:paraId="06C412C0" w14:textId="77777777" w:rsidR="009C05AE" w:rsidRPr="009C05AE" w:rsidRDefault="009C05AE" w:rsidP="009C05AE">
            <w:pPr>
              <w:ind w:firstLine="0"/>
              <w:jc w:val="center"/>
              <w:rPr>
                <w:b/>
                <w:sz w:val="20"/>
                <w:szCs w:val="20"/>
              </w:rPr>
            </w:pPr>
            <w:r w:rsidRPr="009C05AE">
              <w:rPr>
                <w:b/>
                <w:sz w:val="20"/>
                <w:szCs w:val="20"/>
              </w:rPr>
              <w:t>Capital Relacional</w:t>
            </w:r>
          </w:p>
        </w:tc>
        <w:tc>
          <w:tcPr>
            <w:tcW w:w="3090" w:type="dxa"/>
            <w:tcBorders>
              <w:top w:val="single" w:sz="4" w:space="0" w:color="000000"/>
              <w:left w:val="nil"/>
              <w:bottom w:val="single" w:sz="4" w:space="0" w:color="000000"/>
              <w:right w:val="single" w:sz="4" w:space="0" w:color="000000"/>
            </w:tcBorders>
            <w:shd w:val="clear" w:color="auto" w:fill="auto"/>
            <w:vAlign w:val="center"/>
          </w:tcPr>
          <w:p w14:paraId="2B1002DA" w14:textId="77777777" w:rsidR="009C05AE" w:rsidRPr="009C05AE" w:rsidRDefault="009C05AE" w:rsidP="009C05AE">
            <w:pPr>
              <w:ind w:firstLine="0"/>
              <w:jc w:val="center"/>
              <w:rPr>
                <w:b/>
                <w:sz w:val="20"/>
                <w:szCs w:val="20"/>
              </w:rPr>
            </w:pPr>
            <w:r w:rsidRPr="009C05AE">
              <w:rPr>
                <w:b/>
                <w:sz w:val="20"/>
                <w:szCs w:val="20"/>
              </w:rPr>
              <w:t>Capital Humano</w:t>
            </w:r>
          </w:p>
        </w:tc>
      </w:tr>
      <w:tr w:rsidR="009C05AE" w:rsidRPr="009C05AE" w14:paraId="7EFA3B2A" w14:textId="77777777" w:rsidTr="009C05AE">
        <w:trPr>
          <w:trHeight w:val="511"/>
          <w:jc w:val="center"/>
        </w:trPr>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D5F5" w14:textId="77777777" w:rsidR="009C05AE" w:rsidRPr="009C05AE" w:rsidRDefault="009C05AE" w:rsidP="009C05AE">
            <w:pPr>
              <w:ind w:firstLine="0"/>
              <w:jc w:val="center"/>
              <w:rPr>
                <w:b/>
                <w:sz w:val="20"/>
                <w:szCs w:val="20"/>
              </w:rPr>
            </w:pPr>
            <w:r w:rsidRPr="009C05AE">
              <w:rPr>
                <w:b/>
                <w:sz w:val="20"/>
                <w:szCs w:val="20"/>
              </w:rPr>
              <w:t>Subcategorias</w:t>
            </w:r>
          </w:p>
        </w:tc>
        <w:tc>
          <w:tcPr>
            <w:tcW w:w="3097" w:type="dxa"/>
            <w:tcBorders>
              <w:top w:val="single" w:sz="4" w:space="0" w:color="000000"/>
              <w:left w:val="nil"/>
              <w:bottom w:val="single" w:sz="4" w:space="0" w:color="000000"/>
              <w:right w:val="single" w:sz="4" w:space="0" w:color="000000"/>
            </w:tcBorders>
            <w:shd w:val="clear" w:color="auto" w:fill="auto"/>
            <w:vAlign w:val="center"/>
          </w:tcPr>
          <w:p w14:paraId="00530AB9" w14:textId="77777777" w:rsidR="009C05AE" w:rsidRPr="009C05AE" w:rsidRDefault="009C05AE" w:rsidP="009C05AE">
            <w:pPr>
              <w:ind w:firstLine="0"/>
              <w:jc w:val="center"/>
              <w:rPr>
                <w:b/>
                <w:sz w:val="20"/>
                <w:szCs w:val="20"/>
              </w:rPr>
            </w:pPr>
            <w:r w:rsidRPr="009C05AE">
              <w:rPr>
                <w:b/>
                <w:sz w:val="20"/>
                <w:szCs w:val="20"/>
              </w:rPr>
              <w:t>Subcategorias</w:t>
            </w:r>
          </w:p>
        </w:tc>
        <w:tc>
          <w:tcPr>
            <w:tcW w:w="3090" w:type="dxa"/>
            <w:tcBorders>
              <w:top w:val="single" w:sz="4" w:space="0" w:color="000000"/>
              <w:left w:val="nil"/>
              <w:bottom w:val="single" w:sz="4" w:space="0" w:color="000000"/>
              <w:right w:val="single" w:sz="4" w:space="0" w:color="000000"/>
            </w:tcBorders>
            <w:shd w:val="clear" w:color="auto" w:fill="auto"/>
            <w:vAlign w:val="center"/>
          </w:tcPr>
          <w:p w14:paraId="0CCF1235" w14:textId="77777777" w:rsidR="009C05AE" w:rsidRPr="009C05AE" w:rsidRDefault="009C05AE" w:rsidP="009C05AE">
            <w:pPr>
              <w:ind w:firstLine="0"/>
              <w:jc w:val="center"/>
              <w:rPr>
                <w:b/>
                <w:sz w:val="20"/>
                <w:szCs w:val="20"/>
              </w:rPr>
            </w:pPr>
            <w:r w:rsidRPr="009C05AE">
              <w:rPr>
                <w:b/>
                <w:sz w:val="20"/>
                <w:szCs w:val="20"/>
              </w:rPr>
              <w:t>Subcategorias</w:t>
            </w:r>
          </w:p>
        </w:tc>
      </w:tr>
      <w:tr w:rsidR="009C05AE" w:rsidRPr="009C05AE" w14:paraId="58926299" w14:textId="77777777" w:rsidTr="009C05AE">
        <w:trPr>
          <w:trHeight w:val="412"/>
          <w:jc w:val="center"/>
        </w:trPr>
        <w:tc>
          <w:tcPr>
            <w:tcW w:w="3238" w:type="dxa"/>
            <w:tcBorders>
              <w:top w:val="single" w:sz="4" w:space="0" w:color="000000"/>
              <w:left w:val="single" w:sz="4" w:space="0" w:color="000000"/>
              <w:bottom w:val="nil"/>
              <w:right w:val="single" w:sz="4" w:space="0" w:color="000000"/>
            </w:tcBorders>
            <w:shd w:val="clear" w:color="auto" w:fill="auto"/>
            <w:vAlign w:val="center"/>
          </w:tcPr>
          <w:p w14:paraId="60BCC683" w14:textId="77777777" w:rsidR="009C05AE" w:rsidRPr="009C05AE" w:rsidRDefault="009C05AE" w:rsidP="009C05AE">
            <w:pPr>
              <w:ind w:firstLine="0"/>
              <w:rPr>
                <w:sz w:val="20"/>
                <w:szCs w:val="20"/>
              </w:rPr>
            </w:pPr>
            <w:r w:rsidRPr="009C05AE">
              <w:rPr>
                <w:sz w:val="20"/>
                <w:szCs w:val="20"/>
              </w:rPr>
              <w:t>1 Propriedade intelectual</w:t>
            </w:r>
          </w:p>
        </w:tc>
        <w:tc>
          <w:tcPr>
            <w:tcW w:w="3097" w:type="dxa"/>
            <w:tcBorders>
              <w:top w:val="single" w:sz="4" w:space="0" w:color="000000"/>
              <w:left w:val="nil"/>
              <w:bottom w:val="nil"/>
              <w:right w:val="single" w:sz="4" w:space="0" w:color="000000"/>
            </w:tcBorders>
            <w:shd w:val="clear" w:color="auto" w:fill="auto"/>
            <w:vAlign w:val="center"/>
          </w:tcPr>
          <w:p w14:paraId="451881DB" w14:textId="77777777" w:rsidR="009C05AE" w:rsidRPr="009C05AE" w:rsidRDefault="009C05AE" w:rsidP="009C05AE">
            <w:pPr>
              <w:ind w:firstLine="0"/>
              <w:rPr>
                <w:sz w:val="20"/>
                <w:szCs w:val="20"/>
              </w:rPr>
            </w:pPr>
            <w:r w:rsidRPr="009C05AE">
              <w:rPr>
                <w:sz w:val="20"/>
                <w:szCs w:val="20"/>
              </w:rPr>
              <w:t>10 Franchising</w:t>
            </w:r>
          </w:p>
        </w:tc>
        <w:tc>
          <w:tcPr>
            <w:tcW w:w="3090" w:type="dxa"/>
            <w:tcBorders>
              <w:top w:val="single" w:sz="4" w:space="0" w:color="000000"/>
              <w:left w:val="nil"/>
              <w:bottom w:val="nil"/>
              <w:right w:val="single" w:sz="4" w:space="0" w:color="000000"/>
            </w:tcBorders>
            <w:shd w:val="clear" w:color="auto" w:fill="auto"/>
            <w:vAlign w:val="center"/>
          </w:tcPr>
          <w:p w14:paraId="583A8879" w14:textId="77777777" w:rsidR="009C05AE" w:rsidRPr="009C05AE" w:rsidRDefault="009C05AE" w:rsidP="009C05AE">
            <w:pPr>
              <w:ind w:firstLine="0"/>
              <w:rPr>
                <w:sz w:val="20"/>
                <w:szCs w:val="20"/>
              </w:rPr>
            </w:pPr>
            <w:r w:rsidRPr="009C05AE">
              <w:rPr>
                <w:sz w:val="20"/>
                <w:szCs w:val="20"/>
              </w:rPr>
              <w:t>21 Know-how</w:t>
            </w:r>
          </w:p>
        </w:tc>
      </w:tr>
      <w:tr w:rsidR="009C05AE" w:rsidRPr="009C05AE" w14:paraId="6B717D56"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02DD5CDB" w14:textId="77777777" w:rsidR="009C05AE" w:rsidRPr="009C05AE" w:rsidRDefault="009C05AE" w:rsidP="009C05AE">
            <w:pPr>
              <w:ind w:firstLine="0"/>
              <w:rPr>
                <w:sz w:val="20"/>
                <w:szCs w:val="20"/>
              </w:rPr>
            </w:pPr>
            <w:r w:rsidRPr="009C05AE">
              <w:rPr>
                <w:sz w:val="20"/>
                <w:szCs w:val="20"/>
              </w:rPr>
              <w:t>2 Patentes, marcas registradas</w:t>
            </w:r>
          </w:p>
        </w:tc>
        <w:tc>
          <w:tcPr>
            <w:tcW w:w="3097" w:type="dxa"/>
            <w:tcBorders>
              <w:top w:val="nil"/>
              <w:left w:val="nil"/>
              <w:bottom w:val="nil"/>
              <w:right w:val="single" w:sz="4" w:space="0" w:color="000000"/>
            </w:tcBorders>
            <w:shd w:val="clear" w:color="auto" w:fill="auto"/>
            <w:vAlign w:val="center"/>
          </w:tcPr>
          <w:p w14:paraId="013FE5CD" w14:textId="77777777" w:rsidR="009C05AE" w:rsidRPr="009C05AE" w:rsidRDefault="009C05AE" w:rsidP="009C05AE">
            <w:pPr>
              <w:ind w:firstLine="0"/>
              <w:rPr>
                <w:sz w:val="20"/>
                <w:szCs w:val="20"/>
              </w:rPr>
            </w:pPr>
            <w:r w:rsidRPr="009C05AE">
              <w:rPr>
                <w:sz w:val="20"/>
                <w:szCs w:val="20"/>
              </w:rPr>
              <w:t>11 Marcas</w:t>
            </w:r>
          </w:p>
        </w:tc>
        <w:tc>
          <w:tcPr>
            <w:tcW w:w="3090" w:type="dxa"/>
            <w:tcBorders>
              <w:top w:val="nil"/>
              <w:left w:val="nil"/>
              <w:bottom w:val="nil"/>
              <w:right w:val="single" w:sz="4" w:space="0" w:color="000000"/>
            </w:tcBorders>
            <w:shd w:val="clear" w:color="auto" w:fill="auto"/>
            <w:vAlign w:val="center"/>
          </w:tcPr>
          <w:p w14:paraId="0B5F8B59" w14:textId="77777777" w:rsidR="009C05AE" w:rsidRPr="009C05AE" w:rsidRDefault="009C05AE" w:rsidP="009C05AE">
            <w:pPr>
              <w:ind w:firstLine="0"/>
              <w:rPr>
                <w:sz w:val="20"/>
                <w:szCs w:val="20"/>
              </w:rPr>
            </w:pPr>
            <w:r w:rsidRPr="009C05AE">
              <w:rPr>
                <w:sz w:val="20"/>
                <w:szCs w:val="20"/>
              </w:rPr>
              <w:t xml:space="preserve">22 Nível e/ou Incentivos </w:t>
            </w:r>
            <w:proofErr w:type="spellStart"/>
            <w:r w:rsidRPr="009C05AE">
              <w:rPr>
                <w:sz w:val="20"/>
                <w:szCs w:val="20"/>
              </w:rPr>
              <w:t>a</w:t>
            </w:r>
            <w:proofErr w:type="spellEnd"/>
            <w:r w:rsidRPr="009C05AE">
              <w:rPr>
                <w:sz w:val="20"/>
                <w:szCs w:val="20"/>
              </w:rPr>
              <w:t xml:space="preserve"> Educação</w:t>
            </w:r>
          </w:p>
        </w:tc>
      </w:tr>
      <w:tr w:rsidR="009C05AE" w:rsidRPr="009C05AE" w14:paraId="00B315E7"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7BE2392A" w14:textId="77777777" w:rsidR="009C05AE" w:rsidRPr="009C05AE" w:rsidRDefault="009C05AE" w:rsidP="009C05AE">
            <w:pPr>
              <w:ind w:firstLine="0"/>
              <w:rPr>
                <w:sz w:val="20"/>
                <w:szCs w:val="20"/>
              </w:rPr>
            </w:pPr>
            <w:r w:rsidRPr="009C05AE">
              <w:rPr>
                <w:sz w:val="20"/>
                <w:szCs w:val="20"/>
              </w:rPr>
              <w:t>3 Direito autoral</w:t>
            </w:r>
          </w:p>
        </w:tc>
        <w:tc>
          <w:tcPr>
            <w:tcW w:w="3097" w:type="dxa"/>
            <w:tcBorders>
              <w:top w:val="nil"/>
              <w:left w:val="nil"/>
              <w:bottom w:val="nil"/>
              <w:right w:val="single" w:sz="4" w:space="0" w:color="000000"/>
            </w:tcBorders>
            <w:shd w:val="clear" w:color="auto" w:fill="auto"/>
            <w:vAlign w:val="center"/>
          </w:tcPr>
          <w:p w14:paraId="30B80C73" w14:textId="77777777" w:rsidR="009C05AE" w:rsidRPr="009C05AE" w:rsidRDefault="009C05AE" w:rsidP="009C05AE">
            <w:pPr>
              <w:ind w:firstLine="0"/>
              <w:rPr>
                <w:sz w:val="20"/>
                <w:szCs w:val="20"/>
              </w:rPr>
            </w:pPr>
            <w:r w:rsidRPr="009C05AE">
              <w:rPr>
                <w:sz w:val="20"/>
                <w:szCs w:val="20"/>
              </w:rPr>
              <w:t>12Responsabilidade Social/Ambiental</w:t>
            </w:r>
          </w:p>
        </w:tc>
        <w:tc>
          <w:tcPr>
            <w:tcW w:w="3090" w:type="dxa"/>
            <w:tcBorders>
              <w:top w:val="nil"/>
              <w:left w:val="nil"/>
              <w:bottom w:val="nil"/>
              <w:right w:val="single" w:sz="4" w:space="0" w:color="000000"/>
            </w:tcBorders>
            <w:shd w:val="clear" w:color="auto" w:fill="auto"/>
            <w:vAlign w:val="center"/>
          </w:tcPr>
          <w:p w14:paraId="1FC26BED" w14:textId="77777777" w:rsidR="009C05AE" w:rsidRPr="009C05AE" w:rsidRDefault="009C05AE" w:rsidP="009C05AE">
            <w:pPr>
              <w:ind w:firstLine="0"/>
              <w:rPr>
                <w:sz w:val="20"/>
                <w:szCs w:val="20"/>
              </w:rPr>
            </w:pPr>
            <w:r w:rsidRPr="009C05AE">
              <w:rPr>
                <w:sz w:val="20"/>
                <w:szCs w:val="20"/>
              </w:rPr>
              <w:t>23 Qualidade vocacional</w:t>
            </w:r>
          </w:p>
        </w:tc>
      </w:tr>
      <w:tr w:rsidR="009C05AE" w:rsidRPr="009C05AE" w14:paraId="6A91FB8C"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715BF83C" w14:textId="77777777" w:rsidR="009C05AE" w:rsidRPr="009C05AE" w:rsidRDefault="009C05AE" w:rsidP="009C05AE">
            <w:pPr>
              <w:ind w:firstLine="0"/>
              <w:rPr>
                <w:sz w:val="20"/>
                <w:szCs w:val="20"/>
              </w:rPr>
            </w:pPr>
            <w:r w:rsidRPr="009C05AE">
              <w:rPr>
                <w:sz w:val="20"/>
                <w:szCs w:val="20"/>
              </w:rPr>
              <w:t>4 Cultura organizacional</w:t>
            </w:r>
          </w:p>
        </w:tc>
        <w:tc>
          <w:tcPr>
            <w:tcW w:w="3097" w:type="dxa"/>
            <w:tcBorders>
              <w:top w:val="nil"/>
              <w:left w:val="nil"/>
              <w:bottom w:val="nil"/>
              <w:right w:val="single" w:sz="4" w:space="0" w:color="000000"/>
            </w:tcBorders>
            <w:shd w:val="clear" w:color="auto" w:fill="auto"/>
            <w:vAlign w:val="center"/>
          </w:tcPr>
          <w:p w14:paraId="704F1446" w14:textId="77777777" w:rsidR="009C05AE" w:rsidRPr="009C05AE" w:rsidRDefault="009C05AE" w:rsidP="009C05AE">
            <w:pPr>
              <w:ind w:firstLine="0"/>
              <w:rPr>
                <w:sz w:val="20"/>
                <w:szCs w:val="20"/>
              </w:rPr>
            </w:pPr>
            <w:r w:rsidRPr="009C05AE">
              <w:rPr>
                <w:sz w:val="20"/>
                <w:szCs w:val="20"/>
              </w:rPr>
              <w:t>13 Carteira de Clientes</w:t>
            </w:r>
          </w:p>
        </w:tc>
        <w:tc>
          <w:tcPr>
            <w:tcW w:w="3090" w:type="dxa"/>
            <w:tcBorders>
              <w:top w:val="nil"/>
              <w:left w:val="nil"/>
              <w:bottom w:val="nil"/>
              <w:right w:val="single" w:sz="4" w:space="0" w:color="000000"/>
            </w:tcBorders>
            <w:shd w:val="clear" w:color="auto" w:fill="auto"/>
            <w:vAlign w:val="center"/>
          </w:tcPr>
          <w:p w14:paraId="24C9BE30" w14:textId="77777777" w:rsidR="009C05AE" w:rsidRPr="009C05AE" w:rsidRDefault="009C05AE" w:rsidP="009C05AE">
            <w:pPr>
              <w:ind w:firstLine="0"/>
              <w:rPr>
                <w:sz w:val="20"/>
                <w:szCs w:val="20"/>
              </w:rPr>
            </w:pPr>
            <w:r w:rsidRPr="009C05AE">
              <w:rPr>
                <w:sz w:val="20"/>
                <w:szCs w:val="20"/>
              </w:rPr>
              <w:t>24 Incentivo a Novas Ideias</w:t>
            </w:r>
          </w:p>
        </w:tc>
      </w:tr>
      <w:tr w:rsidR="009C05AE" w:rsidRPr="009C05AE" w14:paraId="58B6E186"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7D6C07F7" w14:textId="77777777" w:rsidR="009C05AE" w:rsidRPr="009C05AE" w:rsidRDefault="009C05AE" w:rsidP="009C05AE">
            <w:pPr>
              <w:ind w:firstLine="0"/>
              <w:rPr>
                <w:sz w:val="20"/>
                <w:szCs w:val="20"/>
              </w:rPr>
            </w:pPr>
            <w:r w:rsidRPr="009C05AE">
              <w:rPr>
                <w:sz w:val="20"/>
                <w:szCs w:val="20"/>
              </w:rPr>
              <w:t>5 Processos gerenciais</w:t>
            </w:r>
          </w:p>
        </w:tc>
        <w:tc>
          <w:tcPr>
            <w:tcW w:w="3097" w:type="dxa"/>
            <w:tcBorders>
              <w:top w:val="nil"/>
              <w:left w:val="nil"/>
              <w:bottom w:val="nil"/>
              <w:right w:val="single" w:sz="4" w:space="0" w:color="000000"/>
            </w:tcBorders>
            <w:shd w:val="clear" w:color="auto" w:fill="auto"/>
            <w:vAlign w:val="center"/>
          </w:tcPr>
          <w:p w14:paraId="347A9454" w14:textId="77777777" w:rsidR="009C05AE" w:rsidRPr="009C05AE" w:rsidRDefault="009C05AE" w:rsidP="009C05AE">
            <w:pPr>
              <w:ind w:firstLine="0"/>
              <w:rPr>
                <w:sz w:val="20"/>
                <w:szCs w:val="20"/>
              </w:rPr>
            </w:pPr>
            <w:r w:rsidRPr="009C05AE">
              <w:rPr>
                <w:sz w:val="20"/>
                <w:szCs w:val="20"/>
              </w:rPr>
              <w:t>14 Fidelidade de clientes</w:t>
            </w:r>
          </w:p>
        </w:tc>
        <w:tc>
          <w:tcPr>
            <w:tcW w:w="3090" w:type="dxa"/>
            <w:tcBorders>
              <w:top w:val="nil"/>
              <w:left w:val="nil"/>
              <w:bottom w:val="nil"/>
              <w:right w:val="single" w:sz="4" w:space="0" w:color="000000"/>
            </w:tcBorders>
            <w:shd w:val="clear" w:color="auto" w:fill="auto"/>
            <w:vAlign w:val="center"/>
          </w:tcPr>
          <w:p w14:paraId="5D992F42" w14:textId="77777777" w:rsidR="009C05AE" w:rsidRPr="009C05AE" w:rsidRDefault="009C05AE" w:rsidP="009C05AE">
            <w:pPr>
              <w:ind w:firstLine="0"/>
              <w:rPr>
                <w:sz w:val="20"/>
                <w:szCs w:val="20"/>
              </w:rPr>
            </w:pPr>
            <w:r w:rsidRPr="009C05AE">
              <w:rPr>
                <w:sz w:val="20"/>
                <w:szCs w:val="20"/>
              </w:rPr>
              <w:t>25 Treinamento/ Desenvolvimento/ Capacidade</w:t>
            </w:r>
          </w:p>
        </w:tc>
      </w:tr>
      <w:tr w:rsidR="009C05AE" w:rsidRPr="009C05AE" w14:paraId="7C547B9C"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7AF6B6C1" w14:textId="77777777" w:rsidR="009C05AE" w:rsidRPr="009C05AE" w:rsidRDefault="009C05AE" w:rsidP="009C05AE">
            <w:pPr>
              <w:ind w:firstLine="0"/>
              <w:rPr>
                <w:sz w:val="20"/>
                <w:szCs w:val="20"/>
              </w:rPr>
            </w:pPr>
            <w:r w:rsidRPr="009C05AE">
              <w:rPr>
                <w:sz w:val="20"/>
                <w:szCs w:val="20"/>
              </w:rPr>
              <w:t>6 Filosofia de Gestão</w:t>
            </w:r>
          </w:p>
        </w:tc>
        <w:tc>
          <w:tcPr>
            <w:tcW w:w="3097" w:type="dxa"/>
            <w:tcBorders>
              <w:top w:val="nil"/>
              <w:left w:val="nil"/>
              <w:bottom w:val="nil"/>
              <w:right w:val="single" w:sz="4" w:space="0" w:color="000000"/>
            </w:tcBorders>
            <w:shd w:val="clear" w:color="auto" w:fill="auto"/>
            <w:vAlign w:val="center"/>
          </w:tcPr>
          <w:p w14:paraId="65CE0B96" w14:textId="77777777" w:rsidR="009C05AE" w:rsidRPr="009C05AE" w:rsidRDefault="009C05AE" w:rsidP="009C05AE">
            <w:pPr>
              <w:ind w:firstLine="0"/>
              <w:rPr>
                <w:sz w:val="20"/>
                <w:szCs w:val="20"/>
              </w:rPr>
            </w:pPr>
            <w:r w:rsidRPr="009C05AE">
              <w:rPr>
                <w:sz w:val="20"/>
                <w:szCs w:val="20"/>
              </w:rPr>
              <w:t>15 Suporte ao Cliente</w:t>
            </w:r>
          </w:p>
        </w:tc>
        <w:tc>
          <w:tcPr>
            <w:tcW w:w="3090" w:type="dxa"/>
            <w:tcBorders>
              <w:top w:val="nil"/>
              <w:left w:val="nil"/>
              <w:bottom w:val="nil"/>
              <w:right w:val="single" w:sz="4" w:space="0" w:color="000000"/>
            </w:tcBorders>
            <w:shd w:val="clear" w:color="auto" w:fill="auto"/>
            <w:vAlign w:val="center"/>
          </w:tcPr>
          <w:p w14:paraId="2C9F74E7" w14:textId="77777777" w:rsidR="009C05AE" w:rsidRPr="009C05AE" w:rsidRDefault="009C05AE" w:rsidP="009C05AE">
            <w:pPr>
              <w:ind w:firstLine="0"/>
              <w:rPr>
                <w:sz w:val="20"/>
                <w:szCs w:val="20"/>
              </w:rPr>
            </w:pPr>
            <w:r w:rsidRPr="009C05AE">
              <w:rPr>
                <w:sz w:val="20"/>
                <w:szCs w:val="20"/>
              </w:rPr>
              <w:t>26 Espírito empreendedor</w:t>
            </w:r>
          </w:p>
        </w:tc>
      </w:tr>
      <w:tr w:rsidR="009C05AE" w:rsidRPr="009C05AE" w14:paraId="081006AD"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50170AA1" w14:textId="77777777" w:rsidR="009C05AE" w:rsidRPr="009C05AE" w:rsidRDefault="009C05AE" w:rsidP="009C05AE">
            <w:pPr>
              <w:ind w:firstLine="0"/>
              <w:rPr>
                <w:sz w:val="20"/>
                <w:szCs w:val="20"/>
              </w:rPr>
            </w:pPr>
            <w:r w:rsidRPr="009C05AE">
              <w:rPr>
                <w:sz w:val="20"/>
                <w:szCs w:val="20"/>
              </w:rPr>
              <w:t>7 Sistemas de informações</w:t>
            </w:r>
          </w:p>
        </w:tc>
        <w:tc>
          <w:tcPr>
            <w:tcW w:w="3097" w:type="dxa"/>
            <w:tcBorders>
              <w:top w:val="nil"/>
              <w:left w:val="nil"/>
              <w:bottom w:val="nil"/>
              <w:right w:val="single" w:sz="4" w:space="0" w:color="000000"/>
            </w:tcBorders>
            <w:shd w:val="clear" w:color="auto" w:fill="auto"/>
            <w:vAlign w:val="center"/>
          </w:tcPr>
          <w:p w14:paraId="1EFF9F2D" w14:textId="77777777" w:rsidR="009C05AE" w:rsidRPr="009C05AE" w:rsidRDefault="009C05AE" w:rsidP="009C05AE">
            <w:pPr>
              <w:ind w:firstLine="0"/>
              <w:rPr>
                <w:sz w:val="20"/>
                <w:szCs w:val="20"/>
              </w:rPr>
            </w:pPr>
            <w:r w:rsidRPr="009C05AE">
              <w:rPr>
                <w:sz w:val="20"/>
                <w:szCs w:val="20"/>
              </w:rPr>
              <w:t>16 Canal de distribuição</w:t>
            </w:r>
          </w:p>
        </w:tc>
        <w:tc>
          <w:tcPr>
            <w:tcW w:w="3090" w:type="dxa"/>
            <w:tcBorders>
              <w:top w:val="nil"/>
              <w:left w:val="nil"/>
              <w:bottom w:val="nil"/>
              <w:right w:val="single" w:sz="4" w:space="0" w:color="000000"/>
            </w:tcBorders>
            <w:shd w:val="clear" w:color="auto" w:fill="auto"/>
            <w:vAlign w:val="center"/>
          </w:tcPr>
          <w:p w14:paraId="4F8A4F46" w14:textId="77777777" w:rsidR="009C05AE" w:rsidRPr="009C05AE" w:rsidRDefault="009C05AE" w:rsidP="009C05AE">
            <w:pPr>
              <w:ind w:firstLine="0"/>
              <w:rPr>
                <w:sz w:val="20"/>
                <w:szCs w:val="20"/>
              </w:rPr>
            </w:pPr>
            <w:r w:rsidRPr="009C05AE">
              <w:rPr>
                <w:sz w:val="20"/>
                <w:szCs w:val="20"/>
              </w:rPr>
              <w:t>27 Captação e retenção de Talentos</w:t>
            </w:r>
          </w:p>
        </w:tc>
      </w:tr>
      <w:tr w:rsidR="009C05AE" w:rsidRPr="009C05AE" w14:paraId="4E861251"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center"/>
          </w:tcPr>
          <w:p w14:paraId="69DCD0F2" w14:textId="77777777" w:rsidR="009C05AE" w:rsidRPr="009C05AE" w:rsidRDefault="009C05AE" w:rsidP="009C05AE">
            <w:pPr>
              <w:ind w:firstLine="0"/>
              <w:rPr>
                <w:sz w:val="20"/>
                <w:szCs w:val="20"/>
              </w:rPr>
            </w:pPr>
            <w:r w:rsidRPr="009C05AE">
              <w:rPr>
                <w:sz w:val="20"/>
                <w:szCs w:val="20"/>
              </w:rPr>
              <w:t>8 Sistemas de relacionamentos</w:t>
            </w:r>
          </w:p>
        </w:tc>
        <w:tc>
          <w:tcPr>
            <w:tcW w:w="3097" w:type="dxa"/>
            <w:tcBorders>
              <w:top w:val="nil"/>
              <w:left w:val="nil"/>
              <w:bottom w:val="nil"/>
              <w:right w:val="single" w:sz="4" w:space="0" w:color="000000"/>
            </w:tcBorders>
            <w:shd w:val="clear" w:color="auto" w:fill="auto"/>
            <w:vAlign w:val="center"/>
          </w:tcPr>
          <w:p w14:paraId="5748B34C" w14:textId="77777777" w:rsidR="009C05AE" w:rsidRPr="009C05AE" w:rsidRDefault="009C05AE" w:rsidP="009C05AE">
            <w:pPr>
              <w:ind w:firstLine="0"/>
              <w:rPr>
                <w:sz w:val="20"/>
                <w:szCs w:val="20"/>
              </w:rPr>
            </w:pPr>
            <w:r w:rsidRPr="009C05AE">
              <w:rPr>
                <w:sz w:val="20"/>
                <w:szCs w:val="20"/>
              </w:rPr>
              <w:t>17 Relações com fornecedores</w:t>
            </w:r>
          </w:p>
        </w:tc>
        <w:tc>
          <w:tcPr>
            <w:tcW w:w="3090" w:type="dxa"/>
            <w:tcBorders>
              <w:top w:val="nil"/>
              <w:left w:val="nil"/>
              <w:bottom w:val="nil"/>
              <w:right w:val="single" w:sz="4" w:space="0" w:color="000000"/>
            </w:tcBorders>
            <w:shd w:val="clear" w:color="auto" w:fill="auto"/>
            <w:vAlign w:val="bottom"/>
          </w:tcPr>
          <w:p w14:paraId="1B134D38" w14:textId="77777777" w:rsidR="009C05AE" w:rsidRPr="009C05AE" w:rsidRDefault="009C05AE" w:rsidP="009C05AE">
            <w:pPr>
              <w:ind w:firstLine="0"/>
              <w:rPr>
                <w:sz w:val="20"/>
                <w:szCs w:val="20"/>
              </w:rPr>
            </w:pPr>
          </w:p>
        </w:tc>
      </w:tr>
      <w:tr w:rsidR="009C05AE" w:rsidRPr="009C05AE" w14:paraId="645D5B85" w14:textId="77777777" w:rsidTr="009C05AE">
        <w:trPr>
          <w:trHeight w:val="104"/>
          <w:jc w:val="center"/>
        </w:trPr>
        <w:tc>
          <w:tcPr>
            <w:tcW w:w="3238" w:type="dxa"/>
            <w:tcBorders>
              <w:top w:val="nil"/>
              <w:left w:val="single" w:sz="4" w:space="0" w:color="000000"/>
              <w:bottom w:val="nil"/>
              <w:right w:val="single" w:sz="4" w:space="0" w:color="000000"/>
            </w:tcBorders>
            <w:shd w:val="clear" w:color="auto" w:fill="auto"/>
            <w:vAlign w:val="center"/>
          </w:tcPr>
          <w:p w14:paraId="08799761" w14:textId="77777777" w:rsidR="009C05AE" w:rsidRPr="009C05AE" w:rsidRDefault="009C05AE" w:rsidP="009C05AE">
            <w:pPr>
              <w:ind w:firstLine="0"/>
              <w:rPr>
                <w:sz w:val="20"/>
                <w:szCs w:val="20"/>
              </w:rPr>
            </w:pPr>
            <w:r w:rsidRPr="009C05AE">
              <w:rPr>
                <w:sz w:val="20"/>
                <w:szCs w:val="20"/>
              </w:rPr>
              <w:t>9 Inovação/P&amp;D</w:t>
            </w:r>
          </w:p>
        </w:tc>
        <w:tc>
          <w:tcPr>
            <w:tcW w:w="3097" w:type="dxa"/>
            <w:tcBorders>
              <w:top w:val="nil"/>
              <w:left w:val="nil"/>
              <w:bottom w:val="nil"/>
              <w:right w:val="single" w:sz="4" w:space="0" w:color="000000"/>
            </w:tcBorders>
            <w:shd w:val="clear" w:color="auto" w:fill="auto"/>
            <w:vAlign w:val="center"/>
          </w:tcPr>
          <w:p w14:paraId="3BB11192" w14:textId="77777777" w:rsidR="009C05AE" w:rsidRPr="009C05AE" w:rsidRDefault="009C05AE" w:rsidP="009C05AE">
            <w:pPr>
              <w:ind w:firstLine="0"/>
              <w:rPr>
                <w:sz w:val="20"/>
                <w:szCs w:val="20"/>
              </w:rPr>
            </w:pPr>
            <w:r w:rsidRPr="009C05AE">
              <w:rPr>
                <w:sz w:val="20"/>
                <w:szCs w:val="20"/>
              </w:rPr>
              <w:t>18 Parcerias</w:t>
            </w:r>
          </w:p>
        </w:tc>
        <w:tc>
          <w:tcPr>
            <w:tcW w:w="3090" w:type="dxa"/>
            <w:tcBorders>
              <w:top w:val="nil"/>
              <w:left w:val="nil"/>
              <w:bottom w:val="nil"/>
              <w:right w:val="single" w:sz="4" w:space="0" w:color="000000"/>
            </w:tcBorders>
            <w:shd w:val="clear" w:color="auto" w:fill="auto"/>
            <w:vAlign w:val="bottom"/>
          </w:tcPr>
          <w:p w14:paraId="12FBE3C3" w14:textId="77777777" w:rsidR="009C05AE" w:rsidRPr="009C05AE" w:rsidRDefault="009C05AE" w:rsidP="009C05AE">
            <w:pPr>
              <w:ind w:firstLine="0"/>
              <w:rPr>
                <w:sz w:val="20"/>
                <w:szCs w:val="20"/>
              </w:rPr>
            </w:pPr>
          </w:p>
        </w:tc>
      </w:tr>
      <w:tr w:rsidR="009C05AE" w:rsidRPr="009C05AE" w14:paraId="1CD35C66" w14:textId="77777777" w:rsidTr="009C05AE">
        <w:trPr>
          <w:trHeight w:val="412"/>
          <w:jc w:val="center"/>
        </w:trPr>
        <w:tc>
          <w:tcPr>
            <w:tcW w:w="3238" w:type="dxa"/>
            <w:tcBorders>
              <w:top w:val="nil"/>
              <w:left w:val="single" w:sz="4" w:space="0" w:color="000000"/>
              <w:bottom w:val="nil"/>
              <w:right w:val="single" w:sz="4" w:space="0" w:color="000000"/>
            </w:tcBorders>
            <w:shd w:val="clear" w:color="auto" w:fill="auto"/>
            <w:vAlign w:val="bottom"/>
          </w:tcPr>
          <w:p w14:paraId="6C8CF98C" w14:textId="77777777" w:rsidR="009C05AE" w:rsidRPr="009C05AE" w:rsidRDefault="009C05AE" w:rsidP="009C05AE">
            <w:pPr>
              <w:ind w:firstLine="0"/>
              <w:rPr>
                <w:sz w:val="20"/>
                <w:szCs w:val="20"/>
              </w:rPr>
            </w:pPr>
          </w:p>
        </w:tc>
        <w:tc>
          <w:tcPr>
            <w:tcW w:w="3097" w:type="dxa"/>
            <w:tcBorders>
              <w:top w:val="nil"/>
              <w:left w:val="nil"/>
              <w:bottom w:val="nil"/>
              <w:right w:val="single" w:sz="4" w:space="0" w:color="000000"/>
            </w:tcBorders>
            <w:shd w:val="clear" w:color="auto" w:fill="auto"/>
            <w:vAlign w:val="center"/>
          </w:tcPr>
          <w:p w14:paraId="774E4FD7" w14:textId="77777777" w:rsidR="009C05AE" w:rsidRPr="009C05AE" w:rsidRDefault="009C05AE" w:rsidP="009C05AE">
            <w:pPr>
              <w:ind w:firstLine="0"/>
              <w:rPr>
                <w:sz w:val="20"/>
                <w:szCs w:val="20"/>
              </w:rPr>
            </w:pPr>
            <w:r w:rsidRPr="009C05AE">
              <w:rPr>
                <w:sz w:val="20"/>
                <w:szCs w:val="20"/>
              </w:rPr>
              <w:t>19 Acordo licenciado</w:t>
            </w:r>
          </w:p>
        </w:tc>
        <w:tc>
          <w:tcPr>
            <w:tcW w:w="3090" w:type="dxa"/>
            <w:tcBorders>
              <w:top w:val="nil"/>
              <w:left w:val="nil"/>
              <w:bottom w:val="nil"/>
              <w:right w:val="single" w:sz="4" w:space="0" w:color="000000"/>
            </w:tcBorders>
            <w:shd w:val="clear" w:color="auto" w:fill="auto"/>
            <w:vAlign w:val="bottom"/>
          </w:tcPr>
          <w:p w14:paraId="1259DF2C" w14:textId="77777777" w:rsidR="009C05AE" w:rsidRPr="009C05AE" w:rsidRDefault="009C05AE" w:rsidP="009C05AE">
            <w:pPr>
              <w:ind w:firstLine="0"/>
              <w:rPr>
                <w:sz w:val="20"/>
                <w:szCs w:val="20"/>
              </w:rPr>
            </w:pPr>
          </w:p>
        </w:tc>
      </w:tr>
      <w:tr w:rsidR="009C05AE" w:rsidRPr="009C05AE" w14:paraId="1808319E" w14:textId="77777777" w:rsidTr="009C05AE">
        <w:trPr>
          <w:trHeight w:val="412"/>
          <w:jc w:val="center"/>
        </w:trPr>
        <w:tc>
          <w:tcPr>
            <w:tcW w:w="3238" w:type="dxa"/>
            <w:tcBorders>
              <w:top w:val="nil"/>
              <w:left w:val="single" w:sz="4" w:space="0" w:color="000000"/>
              <w:bottom w:val="single" w:sz="4" w:space="0" w:color="000000"/>
              <w:right w:val="single" w:sz="4" w:space="0" w:color="000000"/>
            </w:tcBorders>
            <w:shd w:val="clear" w:color="auto" w:fill="auto"/>
            <w:vAlign w:val="bottom"/>
          </w:tcPr>
          <w:p w14:paraId="738C7E7B" w14:textId="77777777" w:rsidR="009C05AE" w:rsidRPr="009C05AE" w:rsidRDefault="009C05AE" w:rsidP="009C05AE">
            <w:pPr>
              <w:ind w:firstLine="0"/>
              <w:rPr>
                <w:sz w:val="20"/>
                <w:szCs w:val="20"/>
              </w:rPr>
            </w:pPr>
          </w:p>
        </w:tc>
        <w:tc>
          <w:tcPr>
            <w:tcW w:w="3097" w:type="dxa"/>
            <w:tcBorders>
              <w:top w:val="nil"/>
              <w:left w:val="nil"/>
              <w:bottom w:val="single" w:sz="4" w:space="0" w:color="000000"/>
              <w:right w:val="single" w:sz="4" w:space="0" w:color="000000"/>
            </w:tcBorders>
            <w:shd w:val="clear" w:color="auto" w:fill="auto"/>
            <w:vAlign w:val="center"/>
          </w:tcPr>
          <w:p w14:paraId="6FDD352F" w14:textId="77777777" w:rsidR="009C05AE" w:rsidRPr="009C05AE" w:rsidRDefault="009C05AE" w:rsidP="009C05AE">
            <w:pPr>
              <w:ind w:firstLine="0"/>
              <w:rPr>
                <w:sz w:val="20"/>
                <w:szCs w:val="20"/>
              </w:rPr>
            </w:pPr>
            <w:r w:rsidRPr="009C05AE">
              <w:rPr>
                <w:sz w:val="20"/>
                <w:szCs w:val="20"/>
              </w:rPr>
              <w:t>20 Contrato favorável</w:t>
            </w:r>
          </w:p>
        </w:tc>
        <w:tc>
          <w:tcPr>
            <w:tcW w:w="3090" w:type="dxa"/>
            <w:tcBorders>
              <w:top w:val="nil"/>
              <w:left w:val="nil"/>
              <w:bottom w:val="single" w:sz="4" w:space="0" w:color="000000"/>
              <w:right w:val="single" w:sz="4" w:space="0" w:color="000000"/>
            </w:tcBorders>
            <w:shd w:val="clear" w:color="auto" w:fill="auto"/>
            <w:vAlign w:val="bottom"/>
          </w:tcPr>
          <w:p w14:paraId="144E39B3" w14:textId="77777777" w:rsidR="009C05AE" w:rsidRPr="009C05AE" w:rsidRDefault="009C05AE" w:rsidP="009C05AE">
            <w:pPr>
              <w:ind w:firstLine="0"/>
              <w:rPr>
                <w:sz w:val="20"/>
                <w:szCs w:val="20"/>
              </w:rPr>
            </w:pPr>
          </w:p>
        </w:tc>
      </w:tr>
    </w:tbl>
    <w:p w14:paraId="0D64269C" w14:textId="77777777" w:rsidR="009C05AE" w:rsidRPr="009C05AE" w:rsidRDefault="009C05AE" w:rsidP="009C05AE">
      <w:pPr>
        <w:ind w:firstLine="0"/>
        <w:jc w:val="left"/>
        <w:rPr>
          <w:b/>
          <w:sz w:val="20"/>
          <w:szCs w:val="20"/>
        </w:rPr>
      </w:pPr>
      <w:r w:rsidRPr="006A4866">
        <w:rPr>
          <w:b/>
          <w:bCs/>
          <w:sz w:val="20"/>
          <w:szCs w:val="20"/>
        </w:rPr>
        <w:t>Fonte:</w:t>
      </w:r>
      <w:r w:rsidRPr="009C05AE">
        <w:rPr>
          <w:b/>
          <w:sz w:val="20"/>
          <w:szCs w:val="20"/>
        </w:rPr>
        <w:t xml:space="preserve"> </w:t>
      </w:r>
      <w:r w:rsidRPr="009C05AE">
        <w:rPr>
          <w:sz w:val="20"/>
          <w:szCs w:val="20"/>
        </w:rPr>
        <w:t>Adaptado de</w:t>
      </w:r>
      <w:r w:rsidRPr="009C05AE">
        <w:rPr>
          <w:b/>
          <w:sz w:val="20"/>
          <w:szCs w:val="20"/>
        </w:rPr>
        <w:t xml:space="preserve"> </w:t>
      </w:r>
      <w:proofErr w:type="spellStart"/>
      <w:r w:rsidRPr="009C05AE">
        <w:rPr>
          <w:sz w:val="20"/>
          <w:szCs w:val="20"/>
        </w:rPr>
        <w:t>Backes</w:t>
      </w:r>
      <w:proofErr w:type="spellEnd"/>
      <w:r w:rsidRPr="009C05AE">
        <w:t xml:space="preserve">, </w:t>
      </w:r>
      <w:proofErr w:type="spellStart"/>
      <w:r w:rsidRPr="009C05AE">
        <w:rPr>
          <w:sz w:val="20"/>
          <w:szCs w:val="20"/>
        </w:rPr>
        <w:t>Ott</w:t>
      </w:r>
      <w:proofErr w:type="spellEnd"/>
      <w:r w:rsidRPr="009C05AE">
        <w:rPr>
          <w:sz w:val="20"/>
          <w:szCs w:val="20"/>
        </w:rPr>
        <w:t xml:space="preserve">, </w:t>
      </w:r>
      <w:proofErr w:type="spellStart"/>
      <w:r w:rsidRPr="009C05AE">
        <w:rPr>
          <w:sz w:val="20"/>
          <w:szCs w:val="20"/>
        </w:rPr>
        <w:t>Wiethaeuper</w:t>
      </w:r>
      <w:proofErr w:type="spellEnd"/>
      <w:r w:rsidRPr="009C05AE">
        <w:t xml:space="preserve"> </w:t>
      </w:r>
      <w:r w:rsidRPr="009C05AE">
        <w:rPr>
          <w:sz w:val="20"/>
          <w:szCs w:val="20"/>
        </w:rPr>
        <w:t>(2005); Reina et al (2009)</w:t>
      </w:r>
    </w:p>
    <w:p w14:paraId="5629E897" w14:textId="77777777" w:rsidR="009C05AE" w:rsidRPr="009C05AE" w:rsidRDefault="009C05AE" w:rsidP="009C05AE">
      <w:pPr>
        <w:ind w:firstLine="0"/>
      </w:pPr>
    </w:p>
    <w:p w14:paraId="20CCD25B" w14:textId="77777777" w:rsidR="009C05AE" w:rsidRPr="009C05AE" w:rsidRDefault="009C05AE" w:rsidP="009C05AE">
      <w:r w:rsidRPr="009C05AE">
        <w:t xml:space="preserve">Com base nos itens de divulgação do CI, demonstrados no quadro 3, o nível de </w:t>
      </w:r>
      <w:proofErr w:type="spellStart"/>
      <w:r w:rsidRPr="009C05AE">
        <w:rPr>
          <w:i/>
        </w:rPr>
        <w:t>disclosure</w:t>
      </w:r>
      <w:proofErr w:type="spellEnd"/>
      <w:r w:rsidRPr="009C05AE">
        <w:rPr>
          <w:i/>
        </w:rPr>
        <w:t xml:space="preserve"> </w:t>
      </w:r>
      <w:r w:rsidRPr="009C05AE">
        <w:t>foi calculado de acordo com a fórmula a seguir:</w:t>
      </w:r>
    </w:p>
    <w:p w14:paraId="6CAEBD4E" w14:textId="77777777" w:rsidR="009C05AE" w:rsidRPr="009C05AE" w:rsidRDefault="009C05AE" w:rsidP="009C05AE">
      <w:pPr>
        <w:ind w:firstLine="0"/>
      </w:pPr>
    </w:p>
    <w:p w14:paraId="06A147C9" w14:textId="77777777" w:rsidR="009C05AE" w:rsidRPr="009C05AE" w:rsidRDefault="009C05AE" w:rsidP="009C05AE">
      <w:pPr>
        <w:ind w:firstLine="0"/>
        <w:jc w:val="right"/>
        <w:rPr>
          <w:u w:val="single"/>
        </w:rPr>
      </w:pPr>
      <w:proofErr w:type="spellStart"/>
      <w:r w:rsidRPr="009C05AE">
        <w:t>NDCI</w:t>
      </w:r>
      <w:r w:rsidRPr="009C05AE">
        <w:rPr>
          <w:vertAlign w:val="subscript"/>
        </w:rPr>
        <w:t>it</w:t>
      </w:r>
      <w:proofErr w:type="spellEnd"/>
      <w:r w:rsidRPr="009C05AE">
        <w:t xml:space="preserve"> = ∑</w:t>
      </w:r>
      <w:proofErr w:type="spellStart"/>
      <w:r w:rsidRPr="009C05AE">
        <w:rPr>
          <w:i/>
        </w:rPr>
        <w:t>ID</w:t>
      </w:r>
      <w:r w:rsidRPr="009C05AE">
        <w:rPr>
          <w:vertAlign w:val="subscript"/>
        </w:rPr>
        <w:t>it</w:t>
      </w:r>
      <w:proofErr w:type="spellEnd"/>
      <w:r w:rsidRPr="009C05AE">
        <w:t xml:space="preserve"> / </w:t>
      </w:r>
      <w:proofErr w:type="spellStart"/>
      <w:r w:rsidRPr="009C05AE">
        <w:rPr>
          <w:i/>
        </w:rPr>
        <w:t>IA</w:t>
      </w:r>
      <w:r w:rsidRPr="009C05AE">
        <w:rPr>
          <w:vertAlign w:val="subscript"/>
        </w:rPr>
        <w:t>it</w:t>
      </w:r>
      <w:proofErr w:type="spellEnd"/>
      <w:r w:rsidRPr="009C05AE">
        <w:rPr>
          <w:vertAlign w:val="subscript"/>
        </w:rPr>
        <w:t xml:space="preserve">                                                                                          </w:t>
      </w:r>
      <w:r w:rsidRPr="009C05AE">
        <w:t>(1)</w:t>
      </w:r>
    </w:p>
    <w:p w14:paraId="744B939A" w14:textId="77777777" w:rsidR="009C05AE" w:rsidRPr="009C05AE" w:rsidRDefault="009C05AE" w:rsidP="009C05AE">
      <w:pPr>
        <w:ind w:firstLine="0"/>
      </w:pPr>
      <w:r w:rsidRPr="009C05AE">
        <w:t xml:space="preserve">  </w:t>
      </w:r>
    </w:p>
    <w:p w14:paraId="126A73E2" w14:textId="77777777" w:rsidR="009C05AE" w:rsidRPr="009C05AE" w:rsidRDefault="009C05AE" w:rsidP="009C05AE">
      <w:pPr>
        <w:ind w:firstLine="0"/>
      </w:pPr>
      <w:r w:rsidRPr="009C05AE">
        <w:tab/>
        <w:t>Onde:</w:t>
      </w:r>
    </w:p>
    <w:p w14:paraId="18EC5F2C" w14:textId="77777777" w:rsidR="009C05AE" w:rsidRPr="009C05AE" w:rsidRDefault="009C05AE" w:rsidP="009C05AE">
      <w:pPr>
        <w:widowControl/>
        <w:numPr>
          <w:ilvl w:val="0"/>
          <w:numId w:val="7"/>
        </w:numPr>
        <w:pBdr>
          <w:top w:val="nil"/>
          <w:left w:val="nil"/>
          <w:bottom w:val="nil"/>
          <w:right w:val="nil"/>
          <w:between w:val="nil"/>
        </w:pBdr>
        <w:spacing w:line="259" w:lineRule="auto"/>
        <w:contextualSpacing/>
        <w:jc w:val="left"/>
        <w:rPr>
          <w:color w:val="000000"/>
        </w:rPr>
      </w:pPr>
      <w:proofErr w:type="spellStart"/>
      <w:r w:rsidRPr="009C05AE">
        <w:rPr>
          <w:color w:val="000000"/>
        </w:rPr>
        <w:t>NDCI</w:t>
      </w:r>
      <w:r w:rsidRPr="009C05AE">
        <w:rPr>
          <w:color w:val="000000"/>
          <w:vertAlign w:val="subscript"/>
        </w:rPr>
        <w:t>it</w:t>
      </w:r>
      <w:proofErr w:type="spellEnd"/>
      <w:r w:rsidRPr="009C05AE">
        <w:rPr>
          <w:color w:val="000000"/>
        </w:rPr>
        <w:t xml:space="preserve">: Nível de </w:t>
      </w:r>
      <w:proofErr w:type="spellStart"/>
      <w:r w:rsidRPr="009C05AE">
        <w:rPr>
          <w:i/>
          <w:color w:val="000000"/>
        </w:rPr>
        <w:t>disclosure</w:t>
      </w:r>
      <w:proofErr w:type="spellEnd"/>
      <w:r w:rsidRPr="009C05AE">
        <w:rPr>
          <w:color w:val="000000"/>
        </w:rPr>
        <w:t xml:space="preserve"> do capital intelectual da companhia i no período t;</w:t>
      </w:r>
    </w:p>
    <w:p w14:paraId="3F0BEC0F" w14:textId="77777777" w:rsidR="009C05AE" w:rsidRPr="006A4866" w:rsidRDefault="009C05AE" w:rsidP="006A4866">
      <w:pPr>
        <w:pStyle w:val="PargrafodaLista"/>
        <w:widowControl/>
        <w:numPr>
          <w:ilvl w:val="0"/>
          <w:numId w:val="7"/>
        </w:numPr>
        <w:pBdr>
          <w:top w:val="nil"/>
          <w:left w:val="nil"/>
          <w:bottom w:val="nil"/>
          <w:right w:val="nil"/>
          <w:between w:val="nil"/>
        </w:pBdr>
        <w:spacing w:line="259" w:lineRule="auto"/>
        <w:jc w:val="left"/>
        <w:rPr>
          <w:color w:val="000000"/>
        </w:rPr>
      </w:pPr>
      <w:r w:rsidRPr="006A4866">
        <w:rPr>
          <w:color w:val="000000"/>
        </w:rPr>
        <w:t>∑</w:t>
      </w:r>
      <w:proofErr w:type="spellStart"/>
      <w:r w:rsidRPr="006A4866">
        <w:rPr>
          <w:color w:val="000000"/>
        </w:rPr>
        <w:t>ID</w:t>
      </w:r>
      <w:r w:rsidRPr="006A4866">
        <w:rPr>
          <w:color w:val="000000"/>
          <w:vertAlign w:val="subscript"/>
        </w:rPr>
        <w:t>it</w:t>
      </w:r>
      <w:proofErr w:type="spellEnd"/>
      <w:r w:rsidRPr="006A4866">
        <w:rPr>
          <w:color w:val="000000"/>
        </w:rPr>
        <w:t>: Somatório total de itens divulgados pela companhia i no período t;</w:t>
      </w:r>
    </w:p>
    <w:p w14:paraId="476BC375" w14:textId="77777777" w:rsidR="009C05AE" w:rsidRPr="006A4866" w:rsidRDefault="009C05AE" w:rsidP="006A4866">
      <w:pPr>
        <w:pStyle w:val="PargrafodaLista"/>
        <w:widowControl/>
        <w:numPr>
          <w:ilvl w:val="0"/>
          <w:numId w:val="7"/>
        </w:numPr>
        <w:pBdr>
          <w:top w:val="nil"/>
          <w:left w:val="nil"/>
          <w:bottom w:val="nil"/>
          <w:right w:val="nil"/>
          <w:between w:val="nil"/>
        </w:pBdr>
        <w:jc w:val="left"/>
        <w:rPr>
          <w:color w:val="000000"/>
        </w:rPr>
      </w:pPr>
      <w:proofErr w:type="spellStart"/>
      <w:r w:rsidRPr="006A4866">
        <w:rPr>
          <w:color w:val="000000"/>
        </w:rPr>
        <w:t>IA</w:t>
      </w:r>
      <w:r w:rsidRPr="006A4866">
        <w:rPr>
          <w:color w:val="000000"/>
          <w:vertAlign w:val="subscript"/>
        </w:rPr>
        <w:t>it</w:t>
      </w:r>
      <w:proofErr w:type="spellEnd"/>
      <w:r w:rsidRPr="006A4866">
        <w:rPr>
          <w:color w:val="000000"/>
        </w:rPr>
        <w:t>: Valor máximo de itens de divulgação aplicáveis à empresa (27).</w:t>
      </w:r>
    </w:p>
    <w:p w14:paraId="0C362856" w14:textId="77777777" w:rsidR="009C05AE" w:rsidRPr="009C05AE" w:rsidRDefault="009C05AE" w:rsidP="009C05AE">
      <w:pPr>
        <w:ind w:firstLine="0"/>
      </w:pPr>
    </w:p>
    <w:p w14:paraId="14B63400" w14:textId="77777777" w:rsidR="009C05AE" w:rsidRPr="009C05AE" w:rsidRDefault="009C05AE" w:rsidP="009C05AE">
      <w:r w:rsidRPr="009C05AE">
        <w:t xml:space="preserve">Atribuindo a </w:t>
      </w:r>
      <w:proofErr w:type="spellStart"/>
      <w:r w:rsidRPr="009C05AE">
        <w:t>NDCI</w:t>
      </w:r>
      <w:r w:rsidRPr="009C05AE">
        <w:rPr>
          <w:vertAlign w:val="subscript"/>
        </w:rPr>
        <w:t>it</w:t>
      </w:r>
      <w:proofErr w:type="spellEnd"/>
      <w:r w:rsidRPr="009C05AE">
        <w:rPr>
          <w:vertAlign w:val="subscript"/>
        </w:rPr>
        <w:t xml:space="preserve"> </w:t>
      </w:r>
      <w:r w:rsidRPr="009C05AE">
        <w:t>como a variável dependente, e baseando-se nas hipóteses de pesquisa apresentadas, definiu-se o modelo estatístico:</w:t>
      </w:r>
    </w:p>
    <w:p w14:paraId="2CF5A5CA" w14:textId="77777777" w:rsidR="009C05AE" w:rsidRPr="009C05AE" w:rsidRDefault="009C05AE" w:rsidP="009C05AE"/>
    <w:p w14:paraId="66E5FC4A" w14:textId="77777777" w:rsidR="009C05AE" w:rsidRPr="009C05AE" w:rsidRDefault="009C05AE" w:rsidP="009C05AE">
      <w:pPr>
        <w:ind w:firstLine="0"/>
        <w:jc w:val="right"/>
      </w:pPr>
      <w:proofErr w:type="spellStart"/>
      <w:r w:rsidRPr="009C05AE">
        <w:t>NDCI</w:t>
      </w:r>
      <w:r w:rsidRPr="009C05AE">
        <w:rPr>
          <w:vertAlign w:val="subscript"/>
        </w:rPr>
        <w:t>it</w:t>
      </w:r>
      <w:proofErr w:type="spellEnd"/>
      <w:r w:rsidRPr="009C05AE">
        <w:t xml:space="preserve"> = β</w:t>
      </w:r>
      <w:r w:rsidRPr="009C05AE">
        <w:rPr>
          <w:vertAlign w:val="subscript"/>
        </w:rPr>
        <w:t>0</w:t>
      </w:r>
      <w:r w:rsidRPr="009C05AE">
        <w:t xml:space="preserve"> + β</w:t>
      </w:r>
      <w:r w:rsidRPr="009C05AE">
        <w:rPr>
          <w:vertAlign w:val="subscript"/>
        </w:rPr>
        <w:t>1</w:t>
      </w:r>
      <w:r w:rsidRPr="009C05AE">
        <w:rPr>
          <w:i/>
        </w:rPr>
        <w:t>TAM</w:t>
      </w:r>
      <w:r w:rsidRPr="009C05AE">
        <w:rPr>
          <w:vertAlign w:val="subscript"/>
        </w:rPr>
        <w:t xml:space="preserve">it </w:t>
      </w:r>
      <w:r w:rsidRPr="009C05AE">
        <w:rPr>
          <w:i/>
        </w:rPr>
        <w:t xml:space="preserve">+ </w:t>
      </w:r>
      <w:r w:rsidRPr="009C05AE">
        <w:t>β</w:t>
      </w:r>
      <w:r w:rsidRPr="009C05AE">
        <w:rPr>
          <w:vertAlign w:val="subscript"/>
        </w:rPr>
        <w:t>2</w:t>
      </w:r>
      <w:r w:rsidRPr="009C05AE">
        <w:rPr>
          <w:i/>
        </w:rPr>
        <w:t>RENT</w:t>
      </w:r>
      <w:r w:rsidRPr="009C05AE">
        <w:rPr>
          <w:vertAlign w:val="subscript"/>
        </w:rPr>
        <w:t>it</w:t>
      </w:r>
      <w:r w:rsidRPr="009C05AE">
        <w:t xml:space="preserve"> </w:t>
      </w:r>
      <w:r w:rsidRPr="009C05AE">
        <w:rPr>
          <w:i/>
        </w:rPr>
        <w:t xml:space="preserve">+ </w:t>
      </w:r>
      <w:r w:rsidRPr="009C05AE">
        <w:t>β</w:t>
      </w:r>
      <w:r w:rsidRPr="009C05AE">
        <w:rPr>
          <w:vertAlign w:val="subscript"/>
        </w:rPr>
        <w:t>3</w:t>
      </w:r>
      <w:r w:rsidRPr="009C05AE">
        <w:rPr>
          <w:i/>
        </w:rPr>
        <w:t>END</w:t>
      </w:r>
      <w:r w:rsidRPr="009C05AE">
        <w:rPr>
          <w:vertAlign w:val="subscript"/>
        </w:rPr>
        <w:t>it</w:t>
      </w:r>
      <w:r w:rsidRPr="009C05AE">
        <w:rPr>
          <w:i/>
        </w:rPr>
        <w:t xml:space="preserve">+ </w:t>
      </w:r>
      <w:r w:rsidRPr="009C05AE">
        <w:t>β</w:t>
      </w:r>
      <w:r w:rsidRPr="009C05AE">
        <w:rPr>
          <w:vertAlign w:val="subscript"/>
        </w:rPr>
        <w:t>4</w:t>
      </w:r>
      <w:r w:rsidRPr="009C05AE">
        <w:rPr>
          <w:i/>
        </w:rPr>
        <w:t>GOV</w:t>
      </w:r>
      <w:r w:rsidRPr="009C05AE">
        <w:rPr>
          <w:vertAlign w:val="subscript"/>
        </w:rPr>
        <w:t>it</w:t>
      </w:r>
      <w:r w:rsidRPr="009C05AE">
        <w:rPr>
          <w:i/>
        </w:rPr>
        <w:t xml:space="preserve"> + </w:t>
      </w:r>
      <w:r w:rsidRPr="009C05AE">
        <w:t>β</w:t>
      </w:r>
      <w:r w:rsidRPr="009C05AE">
        <w:rPr>
          <w:vertAlign w:val="subscript"/>
        </w:rPr>
        <w:t>5</w:t>
      </w:r>
      <w:r w:rsidRPr="009C05AE">
        <w:rPr>
          <w:i/>
        </w:rPr>
        <w:t>∑SET</w:t>
      </w:r>
      <w:r w:rsidRPr="009C05AE">
        <w:rPr>
          <w:vertAlign w:val="subscript"/>
        </w:rPr>
        <w:t xml:space="preserve">it </w:t>
      </w:r>
      <w:r w:rsidRPr="009C05AE">
        <w:rPr>
          <w:i/>
        </w:rPr>
        <w:t xml:space="preserve">+ </w:t>
      </w:r>
      <w:proofErr w:type="spellStart"/>
      <w:r w:rsidRPr="009C05AE">
        <w:t>ε</w:t>
      </w:r>
      <w:r w:rsidRPr="009C05AE">
        <w:rPr>
          <w:vertAlign w:val="subscript"/>
        </w:rPr>
        <w:t>it</w:t>
      </w:r>
      <w:proofErr w:type="spellEnd"/>
      <w:r w:rsidRPr="009C05AE">
        <w:rPr>
          <w:vertAlign w:val="subscript"/>
        </w:rPr>
        <w:t xml:space="preserve">                      </w:t>
      </w:r>
      <w:r w:rsidRPr="009C05AE">
        <w:t>(2)</w:t>
      </w:r>
    </w:p>
    <w:p w14:paraId="200C8EC8" w14:textId="77777777" w:rsidR="009C05AE" w:rsidRPr="009C05AE" w:rsidRDefault="009C05AE" w:rsidP="009C05AE"/>
    <w:p w14:paraId="1CCE57B7" w14:textId="77777777" w:rsidR="009C05AE" w:rsidRPr="009C05AE" w:rsidRDefault="009C05AE" w:rsidP="009C05AE">
      <w:r w:rsidRPr="009C05AE">
        <w:t xml:space="preserve">Considera-se que o Nível de </w:t>
      </w:r>
      <w:proofErr w:type="spellStart"/>
      <w:r w:rsidRPr="009C05AE">
        <w:rPr>
          <w:i/>
        </w:rPr>
        <w:t>Disclosure</w:t>
      </w:r>
      <w:proofErr w:type="spellEnd"/>
      <w:r w:rsidRPr="009C05AE">
        <w:rPr>
          <w:i/>
        </w:rPr>
        <w:t xml:space="preserve"> </w:t>
      </w:r>
      <w:r w:rsidRPr="009C05AE">
        <w:t>do Capital Intelectual (</w:t>
      </w:r>
      <w:proofErr w:type="spellStart"/>
      <w:r w:rsidRPr="009C05AE">
        <w:t>NDCI</w:t>
      </w:r>
      <w:r w:rsidRPr="009C05AE">
        <w:rPr>
          <w:vertAlign w:val="subscript"/>
        </w:rPr>
        <w:t>it</w:t>
      </w:r>
      <w:proofErr w:type="spellEnd"/>
      <w:r w:rsidRPr="009C05AE">
        <w:t>) seja determinado pelas variáveis independentes relacionadas ao Tamanho (</w:t>
      </w:r>
      <w:proofErr w:type="spellStart"/>
      <w:r w:rsidRPr="009C05AE">
        <w:rPr>
          <w:i/>
        </w:rPr>
        <w:t>TAM</w:t>
      </w:r>
      <w:r w:rsidRPr="009C05AE">
        <w:rPr>
          <w:vertAlign w:val="subscript"/>
        </w:rPr>
        <w:t>it</w:t>
      </w:r>
      <w:proofErr w:type="spellEnd"/>
      <w:r w:rsidRPr="009C05AE">
        <w:t>), a Rentabilidade (</w:t>
      </w:r>
      <w:proofErr w:type="spellStart"/>
      <w:r w:rsidRPr="009C05AE">
        <w:rPr>
          <w:i/>
        </w:rPr>
        <w:t>RENT</w:t>
      </w:r>
      <w:r w:rsidRPr="009C05AE">
        <w:rPr>
          <w:vertAlign w:val="subscript"/>
        </w:rPr>
        <w:t>it</w:t>
      </w:r>
      <w:proofErr w:type="spellEnd"/>
      <w:r w:rsidRPr="009C05AE">
        <w:t>), o Endividamento (</w:t>
      </w:r>
      <w:proofErr w:type="spellStart"/>
      <w:r w:rsidRPr="009C05AE">
        <w:rPr>
          <w:i/>
        </w:rPr>
        <w:t>END</w:t>
      </w:r>
      <w:r w:rsidRPr="009C05AE">
        <w:rPr>
          <w:vertAlign w:val="subscript"/>
        </w:rPr>
        <w:t>it</w:t>
      </w:r>
      <w:proofErr w:type="spellEnd"/>
      <w:r w:rsidRPr="009C05AE">
        <w:t>), a Governança (</w:t>
      </w:r>
      <w:proofErr w:type="spellStart"/>
      <w:r w:rsidRPr="009C05AE">
        <w:rPr>
          <w:i/>
        </w:rPr>
        <w:t>GOV</w:t>
      </w:r>
      <w:r w:rsidRPr="009C05AE">
        <w:rPr>
          <w:vertAlign w:val="subscript"/>
        </w:rPr>
        <w:t>it</w:t>
      </w:r>
      <w:proofErr w:type="spellEnd"/>
      <w:r w:rsidRPr="009C05AE">
        <w:t>) e o Setor (∑</w:t>
      </w:r>
      <w:proofErr w:type="spellStart"/>
      <w:r w:rsidRPr="009C05AE">
        <w:rPr>
          <w:i/>
        </w:rPr>
        <w:t>SET</w:t>
      </w:r>
      <w:r w:rsidRPr="009C05AE">
        <w:rPr>
          <w:vertAlign w:val="subscript"/>
        </w:rPr>
        <w:t>it</w:t>
      </w:r>
      <w:proofErr w:type="spellEnd"/>
      <w:r w:rsidRPr="009C05AE">
        <w:t>).</w:t>
      </w:r>
    </w:p>
    <w:p w14:paraId="3307BEC7" w14:textId="77777777" w:rsidR="009C05AE" w:rsidRPr="009C05AE" w:rsidRDefault="009C05AE" w:rsidP="009C05AE">
      <w:r w:rsidRPr="009C05AE">
        <w:t xml:space="preserve">Dessa forma, as </w:t>
      </w:r>
      <w:r w:rsidRPr="009C05AE">
        <w:rPr>
          <w:i/>
        </w:rPr>
        <w:t>proxies</w:t>
      </w:r>
      <w:r w:rsidRPr="009C05AE">
        <w:t xml:space="preserve"> formuladas possuíram dados financeiros advindos da base de dados </w:t>
      </w:r>
      <w:r w:rsidRPr="009C05AE">
        <w:lastRenderedPageBreak/>
        <w:t xml:space="preserve">da </w:t>
      </w:r>
      <w:bookmarkStart w:id="1" w:name="30j0zll" w:colFirst="0" w:colLast="0"/>
      <w:bookmarkStart w:id="2" w:name="1fob9te" w:colFirst="0" w:colLast="0"/>
      <w:bookmarkEnd w:id="1"/>
      <w:bookmarkEnd w:id="2"/>
      <w:r w:rsidRPr="009C05AE">
        <w:rPr>
          <w:i/>
        </w:rPr>
        <w:t xml:space="preserve">Thomson Reuters </w:t>
      </w:r>
      <w:proofErr w:type="spellStart"/>
      <w:r w:rsidRPr="009C05AE">
        <w:rPr>
          <w:i/>
        </w:rPr>
        <w:t>Eikon</w:t>
      </w:r>
      <w:proofErr w:type="spellEnd"/>
      <w:r w:rsidRPr="009C05AE">
        <w:rPr>
          <w:i/>
        </w:rPr>
        <w:t>®</w:t>
      </w:r>
      <w:r w:rsidRPr="009C05AE">
        <w:t>. O quadro 4 apresenta o resumo de todas as variáveis utilizadas no estudo, assim como suas fórmulas e fontes.</w:t>
      </w:r>
    </w:p>
    <w:p w14:paraId="4B2EB414" w14:textId="77777777" w:rsidR="009C05AE" w:rsidRPr="009C05AE" w:rsidRDefault="009C05AE" w:rsidP="009C05AE"/>
    <w:p w14:paraId="59BF50A9" w14:textId="77777777" w:rsidR="009C05AE" w:rsidRPr="009C05AE" w:rsidRDefault="009C05AE" w:rsidP="009C05AE">
      <w:pPr>
        <w:ind w:firstLine="0"/>
      </w:pPr>
    </w:p>
    <w:p w14:paraId="1B8644BB" w14:textId="53D5C1C9" w:rsidR="009C05AE" w:rsidRPr="009C05AE" w:rsidRDefault="009C05AE" w:rsidP="009C05AE">
      <w:pPr>
        <w:ind w:firstLine="0"/>
        <w:jc w:val="center"/>
        <w:rPr>
          <w:sz w:val="20"/>
          <w:szCs w:val="20"/>
        </w:rPr>
      </w:pPr>
      <w:r w:rsidRPr="006A4866">
        <w:rPr>
          <w:b/>
          <w:bCs/>
          <w:sz w:val="20"/>
          <w:szCs w:val="20"/>
        </w:rPr>
        <w:t>Quadro 4</w:t>
      </w:r>
      <w:r w:rsidR="006A4866">
        <w:rPr>
          <w:sz w:val="20"/>
          <w:szCs w:val="20"/>
        </w:rPr>
        <w:t xml:space="preserve"> -</w:t>
      </w:r>
      <w:r w:rsidRPr="009C05AE">
        <w:rPr>
          <w:sz w:val="20"/>
          <w:szCs w:val="20"/>
        </w:rPr>
        <w:t xml:space="preserve"> Variáveis consideradas como fatores de influência no nível de divulgação</w:t>
      </w:r>
    </w:p>
    <w:tbl>
      <w:tblPr>
        <w:tblW w:w="9407" w:type="dxa"/>
        <w:jc w:val="center"/>
        <w:tblLayout w:type="fixed"/>
        <w:tblLook w:val="0400" w:firstRow="0" w:lastRow="0" w:firstColumn="0" w:lastColumn="0" w:noHBand="0" w:noVBand="1"/>
      </w:tblPr>
      <w:tblGrid>
        <w:gridCol w:w="1967"/>
        <w:gridCol w:w="4911"/>
        <w:gridCol w:w="2529"/>
      </w:tblGrid>
      <w:tr w:rsidR="009C05AE" w:rsidRPr="009C05AE" w14:paraId="17E39196" w14:textId="77777777" w:rsidTr="009C05AE">
        <w:trPr>
          <w:trHeight w:val="355"/>
          <w:jc w:val="center"/>
        </w:trPr>
        <w:tc>
          <w:tcPr>
            <w:tcW w:w="1967" w:type="dxa"/>
            <w:tcBorders>
              <w:top w:val="single" w:sz="4" w:space="0" w:color="000000"/>
              <w:left w:val="single" w:sz="4" w:space="0" w:color="000000"/>
              <w:bottom w:val="single" w:sz="4" w:space="0" w:color="000000"/>
              <w:right w:val="single" w:sz="4" w:space="0" w:color="000000"/>
            </w:tcBorders>
            <w:vAlign w:val="center"/>
          </w:tcPr>
          <w:p w14:paraId="09076B8A" w14:textId="77777777" w:rsidR="009C05AE" w:rsidRPr="009C05AE" w:rsidRDefault="009C05AE" w:rsidP="009C05AE">
            <w:pPr>
              <w:ind w:firstLine="0"/>
              <w:jc w:val="center"/>
              <w:rPr>
                <w:b/>
                <w:sz w:val="20"/>
                <w:szCs w:val="20"/>
              </w:rPr>
            </w:pPr>
            <w:r w:rsidRPr="009C05AE">
              <w:rPr>
                <w:b/>
                <w:sz w:val="20"/>
                <w:szCs w:val="20"/>
              </w:rPr>
              <w:t>Abreviação</w:t>
            </w:r>
          </w:p>
        </w:tc>
        <w:tc>
          <w:tcPr>
            <w:tcW w:w="4911" w:type="dxa"/>
            <w:tcBorders>
              <w:top w:val="single" w:sz="4" w:space="0" w:color="000000"/>
              <w:left w:val="nil"/>
              <w:bottom w:val="single" w:sz="4" w:space="0" w:color="000000"/>
              <w:right w:val="single" w:sz="4" w:space="0" w:color="000000"/>
            </w:tcBorders>
            <w:shd w:val="clear" w:color="auto" w:fill="auto"/>
            <w:vAlign w:val="center"/>
          </w:tcPr>
          <w:p w14:paraId="7CB54A0C" w14:textId="77777777" w:rsidR="009C05AE" w:rsidRPr="009C05AE" w:rsidRDefault="009C05AE" w:rsidP="009C05AE">
            <w:pPr>
              <w:ind w:firstLine="0"/>
              <w:jc w:val="center"/>
              <w:rPr>
                <w:b/>
                <w:sz w:val="20"/>
                <w:szCs w:val="20"/>
              </w:rPr>
            </w:pPr>
            <w:r w:rsidRPr="009C05AE">
              <w:rPr>
                <w:b/>
                <w:sz w:val="20"/>
                <w:szCs w:val="20"/>
              </w:rPr>
              <w:t>Cálculo</w:t>
            </w:r>
          </w:p>
        </w:tc>
        <w:tc>
          <w:tcPr>
            <w:tcW w:w="2529" w:type="dxa"/>
            <w:tcBorders>
              <w:top w:val="single" w:sz="4" w:space="0" w:color="000000"/>
              <w:left w:val="nil"/>
              <w:bottom w:val="single" w:sz="4" w:space="0" w:color="000000"/>
              <w:right w:val="single" w:sz="4" w:space="0" w:color="000000"/>
            </w:tcBorders>
            <w:shd w:val="clear" w:color="auto" w:fill="auto"/>
            <w:vAlign w:val="center"/>
          </w:tcPr>
          <w:p w14:paraId="51E6A20C" w14:textId="77777777" w:rsidR="009C05AE" w:rsidRPr="009C05AE" w:rsidRDefault="009C05AE" w:rsidP="009C05AE">
            <w:pPr>
              <w:ind w:firstLine="0"/>
              <w:jc w:val="center"/>
              <w:rPr>
                <w:b/>
                <w:sz w:val="20"/>
                <w:szCs w:val="20"/>
              </w:rPr>
            </w:pPr>
            <w:r w:rsidRPr="009C05AE">
              <w:rPr>
                <w:b/>
                <w:sz w:val="20"/>
                <w:szCs w:val="20"/>
              </w:rPr>
              <w:t>Fonte</w:t>
            </w:r>
          </w:p>
        </w:tc>
      </w:tr>
      <w:tr w:rsidR="009C05AE" w:rsidRPr="009C05AE" w14:paraId="1347AAF2" w14:textId="77777777" w:rsidTr="009C05AE">
        <w:trPr>
          <w:trHeight w:val="394"/>
          <w:jc w:val="center"/>
        </w:trPr>
        <w:tc>
          <w:tcPr>
            <w:tcW w:w="1967" w:type="dxa"/>
            <w:tcBorders>
              <w:top w:val="nil"/>
              <w:left w:val="single" w:sz="4" w:space="0" w:color="000000"/>
              <w:bottom w:val="single" w:sz="4" w:space="0" w:color="000000"/>
              <w:right w:val="single" w:sz="4" w:space="0" w:color="000000"/>
            </w:tcBorders>
            <w:vAlign w:val="center"/>
          </w:tcPr>
          <w:p w14:paraId="1054D833" w14:textId="77777777" w:rsidR="009C05AE" w:rsidRPr="009C05AE" w:rsidRDefault="009C05AE" w:rsidP="009C05AE">
            <w:pPr>
              <w:ind w:firstLine="0"/>
              <w:jc w:val="center"/>
              <w:rPr>
                <w:sz w:val="20"/>
                <w:szCs w:val="20"/>
              </w:rPr>
            </w:pPr>
            <w:proofErr w:type="spellStart"/>
            <w:r w:rsidRPr="009C05AE">
              <w:rPr>
                <w:sz w:val="20"/>
                <w:szCs w:val="20"/>
              </w:rPr>
              <w:t>TAM</w:t>
            </w:r>
            <w:r w:rsidRPr="009C05AE">
              <w:rPr>
                <w:sz w:val="20"/>
                <w:szCs w:val="20"/>
                <w:vertAlign w:val="subscript"/>
              </w:rPr>
              <w:t>it</w:t>
            </w:r>
            <w:proofErr w:type="spellEnd"/>
          </w:p>
        </w:tc>
        <w:tc>
          <w:tcPr>
            <w:tcW w:w="4911" w:type="dxa"/>
            <w:tcBorders>
              <w:top w:val="nil"/>
              <w:left w:val="nil"/>
              <w:bottom w:val="single" w:sz="4" w:space="0" w:color="000000"/>
              <w:right w:val="single" w:sz="4" w:space="0" w:color="000000"/>
            </w:tcBorders>
            <w:shd w:val="clear" w:color="auto" w:fill="auto"/>
            <w:vAlign w:val="center"/>
          </w:tcPr>
          <w:p w14:paraId="21F6D28E" w14:textId="77777777" w:rsidR="009C05AE" w:rsidRPr="009C05AE" w:rsidRDefault="009C05AE" w:rsidP="009C05AE">
            <w:pPr>
              <w:ind w:firstLine="0"/>
              <w:jc w:val="center"/>
              <w:rPr>
                <w:sz w:val="20"/>
                <w:szCs w:val="20"/>
                <w:vertAlign w:val="subscript"/>
              </w:rPr>
            </w:pPr>
            <w:r w:rsidRPr="009C05AE">
              <w:rPr>
                <w:sz w:val="20"/>
                <w:szCs w:val="20"/>
              </w:rPr>
              <w:t xml:space="preserve">Log do ativo </w:t>
            </w:r>
            <w:proofErr w:type="spellStart"/>
            <w:r w:rsidRPr="009C05AE">
              <w:rPr>
                <w:sz w:val="20"/>
                <w:szCs w:val="20"/>
              </w:rPr>
              <w:t>total</w:t>
            </w:r>
            <w:r w:rsidRPr="009C05AE">
              <w:rPr>
                <w:sz w:val="20"/>
                <w:szCs w:val="20"/>
                <w:vertAlign w:val="subscript"/>
              </w:rPr>
              <w:t>t</w:t>
            </w:r>
            <w:proofErr w:type="spellEnd"/>
          </w:p>
        </w:tc>
        <w:tc>
          <w:tcPr>
            <w:tcW w:w="2529" w:type="dxa"/>
            <w:tcBorders>
              <w:top w:val="nil"/>
              <w:left w:val="nil"/>
              <w:bottom w:val="single" w:sz="4" w:space="0" w:color="000000"/>
              <w:right w:val="single" w:sz="4" w:space="0" w:color="000000"/>
            </w:tcBorders>
            <w:shd w:val="clear" w:color="auto" w:fill="auto"/>
            <w:vAlign w:val="center"/>
          </w:tcPr>
          <w:p w14:paraId="14F843A4" w14:textId="77777777" w:rsidR="009C05AE" w:rsidRPr="009C05AE" w:rsidRDefault="009C05AE" w:rsidP="009C05AE">
            <w:pPr>
              <w:ind w:firstLine="0"/>
              <w:jc w:val="center"/>
              <w:rPr>
                <w:sz w:val="20"/>
                <w:szCs w:val="20"/>
              </w:rPr>
            </w:pPr>
            <w:r w:rsidRPr="009C05AE">
              <w:rPr>
                <w:sz w:val="20"/>
                <w:szCs w:val="20"/>
              </w:rPr>
              <w:t>Romero e Cortés (2014)</w:t>
            </w:r>
          </w:p>
        </w:tc>
      </w:tr>
      <w:tr w:rsidR="009C05AE" w:rsidRPr="009C05AE" w14:paraId="3B34AD98" w14:textId="77777777" w:rsidTr="009C05AE">
        <w:trPr>
          <w:trHeight w:val="543"/>
          <w:jc w:val="center"/>
        </w:trPr>
        <w:tc>
          <w:tcPr>
            <w:tcW w:w="1967" w:type="dxa"/>
            <w:tcBorders>
              <w:top w:val="nil"/>
              <w:left w:val="single" w:sz="4" w:space="0" w:color="000000"/>
              <w:bottom w:val="single" w:sz="4" w:space="0" w:color="000000"/>
              <w:right w:val="single" w:sz="4" w:space="0" w:color="000000"/>
            </w:tcBorders>
            <w:vAlign w:val="center"/>
          </w:tcPr>
          <w:p w14:paraId="3F75BA84" w14:textId="77777777" w:rsidR="009C05AE" w:rsidRPr="009C05AE" w:rsidRDefault="009C05AE" w:rsidP="009C05AE">
            <w:pPr>
              <w:ind w:firstLine="0"/>
              <w:jc w:val="center"/>
              <w:rPr>
                <w:sz w:val="20"/>
                <w:szCs w:val="20"/>
              </w:rPr>
            </w:pPr>
            <w:proofErr w:type="spellStart"/>
            <w:r w:rsidRPr="009C05AE">
              <w:rPr>
                <w:sz w:val="20"/>
                <w:szCs w:val="20"/>
              </w:rPr>
              <w:t>RENT</w:t>
            </w:r>
            <w:r w:rsidRPr="009C05AE">
              <w:rPr>
                <w:sz w:val="20"/>
                <w:szCs w:val="20"/>
                <w:vertAlign w:val="subscript"/>
              </w:rPr>
              <w:t>it</w:t>
            </w:r>
            <w:proofErr w:type="spellEnd"/>
          </w:p>
        </w:tc>
        <w:tc>
          <w:tcPr>
            <w:tcW w:w="4911" w:type="dxa"/>
            <w:tcBorders>
              <w:top w:val="nil"/>
              <w:left w:val="nil"/>
              <w:bottom w:val="single" w:sz="4" w:space="0" w:color="000000"/>
              <w:right w:val="single" w:sz="4" w:space="0" w:color="000000"/>
            </w:tcBorders>
            <w:shd w:val="clear" w:color="auto" w:fill="auto"/>
            <w:vAlign w:val="center"/>
          </w:tcPr>
          <w:p w14:paraId="22812110" w14:textId="77777777" w:rsidR="009C05AE" w:rsidRPr="009C05AE" w:rsidRDefault="009C05AE" w:rsidP="009C05AE">
            <w:pPr>
              <w:ind w:firstLine="0"/>
              <w:jc w:val="center"/>
              <w:rPr>
                <w:sz w:val="20"/>
                <w:szCs w:val="20"/>
                <w:vertAlign w:val="subscript"/>
              </w:rPr>
            </w:pPr>
            <w:bookmarkStart w:id="3" w:name="_3znysh7" w:colFirst="0" w:colLast="0"/>
            <w:bookmarkEnd w:id="3"/>
            <w:proofErr w:type="spellStart"/>
            <w:r w:rsidRPr="009C05AE">
              <w:rPr>
                <w:sz w:val="20"/>
                <w:szCs w:val="20"/>
              </w:rPr>
              <w:t>EBIT</w:t>
            </w:r>
            <w:r w:rsidRPr="009C05AE">
              <w:rPr>
                <w:sz w:val="20"/>
                <w:szCs w:val="20"/>
                <w:vertAlign w:val="subscript"/>
              </w:rPr>
              <w:t>t</w:t>
            </w:r>
            <w:proofErr w:type="spellEnd"/>
            <w:r w:rsidRPr="009C05AE">
              <w:rPr>
                <w:sz w:val="20"/>
                <w:szCs w:val="20"/>
              </w:rPr>
              <w:t xml:space="preserve"> / Patrimônio Líquido</w:t>
            </w:r>
            <w:r w:rsidRPr="009C05AE">
              <w:rPr>
                <w:sz w:val="20"/>
                <w:szCs w:val="20"/>
                <w:vertAlign w:val="subscript"/>
              </w:rPr>
              <w:t>t-1</w:t>
            </w:r>
          </w:p>
        </w:tc>
        <w:tc>
          <w:tcPr>
            <w:tcW w:w="2529" w:type="dxa"/>
            <w:tcBorders>
              <w:top w:val="nil"/>
              <w:left w:val="nil"/>
              <w:bottom w:val="single" w:sz="4" w:space="0" w:color="000000"/>
              <w:right w:val="single" w:sz="4" w:space="0" w:color="000000"/>
            </w:tcBorders>
            <w:shd w:val="clear" w:color="auto" w:fill="auto"/>
            <w:vAlign w:val="center"/>
          </w:tcPr>
          <w:p w14:paraId="4EDE24C0" w14:textId="77777777" w:rsidR="009C05AE" w:rsidRPr="009C05AE" w:rsidRDefault="009C05AE" w:rsidP="009C05AE">
            <w:pPr>
              <w:ind w:firstLine="0"/>
              <w:jc w:val="center"/>
              <w:rPr>
                <w:sz w:val="20"/>
                <w:szCs w:val="20"/>
              </w:rPr>
            </w:pPr>
            <w:proofErr w:type="spellStart"/>
            <w:r w:rsidRPr="009C05AE">
              <w:rPr>
                <w:sz w:val="20"/>
                <w:szCs w:val="20"/>
              </w:rPr>
              <w:t>Alkhatib</w:t>
            </w:r>
            <w:proofErr w:type="spellEnd"/>
            <w:r w:rsidRPr="009C05AE">
              <w:rPr>
                <w:sz w:val="20"/>
                <w:szCs w:val="20"/>
              </w:rPr>
              <w:t xml:space="preserve"> (2014); Romero e Cortés (2014)</w:t>
            </w:r>
          </w:p>
        </w:tc>
      </w:tr>
      <w:tr w:rsidR="009C05AE" w:rsidRPr="009C05AE" w14:paraId="7EBC4053" w14:textId="77777777" w:rsidTr="009C05AE">
        <w:trPr>
          <w:trHeight w:val="355"/>
          <w:jc w:val="center"/>
        </w:trPr>
        <w:tc>
          <w:tcPr>
            <w:tcW w:w="1967" w:type="dxa"/>
            <w:tcBorders>
              <w:top w:val="nil"/>
              <w:left w:val="single" w:sz="4" w:space="0" w:color="000000"/>
              <w:bottom w:val="single" w:sz="4" w:space="0" w:color="000000"/>
              <w:right w:val="single" w:sz="4" w:space="0" w:color="000000"/>
            </w:tcBorders>
            <w:vAlign w:val="center"/>
          </w:tcPr>
          <w:p w14:paraId="6EF483DF" w14:textId="77777777" w:rsidR="009C05AE" w:rsidRPr="009C05AE" w:rsidRDefault="009C05AE" w:rsidP="009C05AE">
            <w:pPr>
              <w:ind w:firstLine="0"/>
              <w:jc w:val="center"/>
              <w:rPr>
                <w:sz w:val="20"/>
                <w:szCs w:val="20"/>
              </w:rPr>
            </w:pPr>
            <w:proofErr w:type="spellStart"/>
            <w:r w:rsidRPr="009C05AE">
              <w:rPr>
                <w:sz w:val="20"/>
                <w:szCs w:val="20"/>
              </w:rPr>
              <w:t>END</w:t>
            </w:r>
            <w:r w:rsidRPr="009C05AE">
              <w:rPr>
                <w:sz w:val="20"/>
                <w:szCs w:val="20"/>
                <w:vertAlign w:val="subscript"/>
              </w:rPr>
              <w:t>it</w:t>
            </w:r>
            <w:proofErr w:type="spellEnd"/>
          </w:p>
        </w:tc>
        <w:tc>
          <w:tcPr>
            <w:tcW w:w="4911" w:type="dxa"/>
            <w:tcBorders>
              <w:top w:val="nil"/>
              <w:left w:val="nil"/>
              <w:bottom w:val="single" w:sz="4" w:space="0" w:color="000000"/>
              <w:right w:val="single" w:sz="4" w:space="0" w:color="000000"/>
            </w:tcBorders>
            <w:shd w:val="clear" w:color="auto" w:fill="auto"/>
            <w:vAlign w:val="center"/>
          </w:tcPr>
          <w:p w14:paraId="3573F22E" w14:textId="77777777" w:rsidR="009C05AE" w:rsidRPr="009C05AE" w:rsidRDefault="009C05AE" w:rsidP="009C05AE">
            <w:pPr>
              <w:ind w:firstLine="0"/>
              <w:jc w:val="center"/>
              <w:rPr>
                <w:sz w:val="20"/>
                <w:szCs w:val="20"/>
                <w:vertAlign w:val="subscript"/>
              </w:rPr>
            </w:pPr>
            <w:r w:rsidRPr="009C05AE">
              <w:rPr>
                <w:sz w:val="20"/>
                <w:szCs w:val="20"/>
              </w:rPr>
              <w:t xml:space="preserve">Dívida </w:t>
            </w:r>
            <w:proofErr w:type="spellStart"/>
            <w:r w:rsidRPr="009C05AE">
              <w:rPr>
                <w:sz w:val="20"/>
                <w:szCs w:val="20"/>
              </w:rPr>
              <w:t>Total</w:t>
            </w:r>
            <w:r w:rsidRPr="009C05AE">
              <w:rPr>
                <w:sz w:val="20"/>
                <w:szCs w:val="20"/>
                <w:vertAlign w:val="subscript"/>
              </w:rPr>
              <w:t>t</w:t>
            </w:r>
            <w:proofErr w:type="spellEnd"/>
            <w:r w:rsidRPr="009C05AE">
              <w:rPr>
                <w:sz w:val="20"/>
                <w:szCs w:val="20"/>
              </w:rPr>
              <w:t xml:space="preserve"> / Patrimônio </w:t>
            </w:r>
            <w:proofErr w:type="spellStart"/>
            <w:r w:rsidRPr="009C05AE">
              <w:rPr>
                <w:sz w:val="20"/>
                <w:szCs w:val="20"/>
              </w:rPr>
              <w:t>Líquido</w:t>
            </w:r>
            <w:r w:rsidRPr="009C05AE">
              <w:rPr>
                <w:sz w:val="20"/>
                <w:szCs w:val="20"/>
                <w:vertAlign w:val="subscript"/>
              </w:rPr>
              <w:t>t</w:t>
            </w:r>
            <w:proofErr w:type="spellEnd"/>
          </w:p>
        </w:tc>
        <w:tc>
          <w:tcPr>
            <w:tcW w:w="2529" w:type="dxa"/>
            <w:tcBorders>
              <w:top w:val="nil"/>
              <w:left w:val="nil"/>
              <w:bottom w:val="single" w:sz="4" w:space="0" w:color="000000"/>
              <w:right w:val="single" w:sz="4" w:space="0" w:color="000000"/>
            </w:tcBorders>
            <w:shd w:val="clear" w:color="auto" w:fill="auto"/>
            <w:vAlign w:val="center"/>
          </w:tcPr>
          <w:p w14:paraId="3C1EA567" w14:textId="77777777" w:rsidR="009C05AE" w:rsidRPr="009C05AE" w:rsidRDefault="009C05AE" w:rsidP="009C05AE">
            <w:pPr>
              <w:ind w:firstLine="0"/>
              <w:jc w:val="center"/>
              <w:rPr>
                <w:sz w:val="20"/>
                <w:szCs w:val="20"/>
              </w:rPr>
            </w:pPr>
            <w:r w:rsidRPr="009C05AE">
              <w:rPr>
                <w:sz w:val="20"/>
                <w:szCs w:val="20"/>
              </w:rPr>
              <w:t xml:space="preserve">Romero e Cortés (2014); </w:t>
            </w:r>
            <w:proofErr w:type="spellStart"/>
            <w:r w:rsidRPr="009C05AE">
              <w:rPr>
                <w:sz w:val="20"/>
                <w:szCs w:val="20"/>
              </w:rPr>
              <w:t>Jordaan</w:t>
            </w:r>
            <w:proofErr w:type="spellEnd"/>
            <w:r w:rsidRPr="009C05AE">
              <w:rPr>
                <w:sz w:val="20"/>
                <w:szCs w:val="20"/>
              </w:rPr>
              <w:t>, Klerk e Villiers (2018)</w:t>
            </w:r>
          </w:p>
        </w:tc>
      </w:tr>
      <w:tr w:rsidR="009C05AE" w:rsidRPr="009C05AE" w14:paraId="73DAFB82" w14:textId="77777777" w:rsidTr="009C05AE">
        <w:trPr>
          <w:trHeight w:val="678"/>
          <w:jc w:val="center"/>
        </w:trPr>
        <w:tc>
          <w:tcPr>
            <w:tcW w:w="1967" w:type="dxa"/>
            <w:tcBorders>
              <w:top w:val="nil"/>
              <w:left w:val="single" w:sz="4" w:space="0" w:color="000000"/>
              <w:bottom w:val="single" w:sz="4" w:space="0" w:color="000000"/>
              <w:right w:val="single" w:sz="4" w:space="0" w:color="000000"/>
            </w:tcBorders>
            <w:vAlign w:val="center"/>
          </w:tcPr>
          <w:p w14:paraId="16FC9D2D" w14:textId="77777777" w:rsidR="009C05AE" w:rsidRPr="009C05AE" w:rsidRDefault="009C05AE" w:rsidP="009C05AE">
            <w:pPr>
              <w:ind w:firstLine="0"/>
              <w:jc w:val="center"/>
              <w:rPr>
                <w:sz w:val="20"/>
                <w:szCs w:val="20"/>
              </w:rPr>
            </w:pPr>
            <w:proofErr w:type="spellStart"/>
            <w:r w:rsidRPr="009C05AE">
              <w:rPr>
                <w:sz w:val="20"/>
                <w:szCs w:val="20"/>
              </w:rPr>
              <w:t>GOV</w:t>
            </w:r>
            <w:r w:rsidRPr="009C05AE">
              <w:rPr>
                <w:sz w:val="20"/>
                <w:szCs w:val="20"/>
                <w:vertAlign w:val="subscript"/>
              </w:rPr>
              <w:t>it</w:t>
            </w:r>
            <w:proofErr w:type="spellEnd"/>
          </w:p>
        </w:tc>
        <w:tc>
          <w:tcPr>
            <w:tcW w:w="4911" w:type="dxa"/>
            <w:tcBorders>
              <w:top w:val="nil"/>
              <w:left w:val="nil"/>
              <w:bottom w:val="single" w:sz="4" w:space="0" w:color="000000"/>
              <w:right w:val="single" w:sz="4" w:space="0" w:color="000000"/>
            </w:tcBorders>
            <w:shd w:val="clear" w:color="auto" w:fill="auto"/>
            <w:vAlign w:val="center"/>
          </w:tcPr>
          <w:p w14:paraId="742685E9" w14:textId="77777777" w:rsidR="009C05AE" w:rsidRPr="009C05AE" w:rsidRDefault="009C05AE" w:rsidP="009C05AE">
            <w:pPr>
              <w:ind w:firstLine="0"/>
              <w:jc w:val="center"/>
              <w:rPr>
                <w:sz w:val="20"/>
                <w:szCs w:val="20"/>
                <w:vertAlign w:val="subscript"/>
              </w:rPr>
            </w:pPr>
            <w:r w:rsidRPr="009C05AE">
              <w:rPr>
                <w:sz w:val="20"/>
                <w:szCs w:val="20"/>
              </w:rPr>
              <w:t xml:space="preserve">Variável </w:t>
            </w:r>
            <w:proofErr w:type="spellStart"/>
            <w:r w:rsidRPr="009C05AE">
              <w:rPr>
                <w:sz w:val="20"/>
                <w:szCs w:val="20"/>
              </w:rPr>
              <w:t>Dummy</w:t>
            </w:r>
            <w:proofErr w:type="spellEnd"/>
            <w:r w:rsidRPr="009C05AE">
              <w:rPr>
                <w:sz w:val="20"/>
                <w:szCs w:val="20"/>
              </w:rPr>
              <w:t xml:space="preserve"> (1 = a empresa está listada em um dos Níveis de Governança Corporativa da B3 ou 0 = caso contrário).</w:t>
            </w:r>
          </w:p>
        </w:tc>
        <w:tc>
          <w:tcPr>
            <w:tcW w:w="2529" w:type="dxa"/>
            <w:tcBorders>
              <w:top w:val="nil"/>
              <w:left w:val="nil"/>
              <w:bottom w:val="single" w:sz="4" w:space="0" w:color="000000"/>
              <w:right w:val="single" w:sz="4" w:space="0" w:color="000000"/>
            </w:tcBorders>
            <w:shd w:val="clear" w:color="auto" w:fill="auto"/>
            <w:vAlign w:val="center"/>
          </w:tcPr>
          <w:p w14:paraId="04EC2F30" w14:textId="77777777" w:rsidR="009C05AE" w:rsidRPr="009C05AE" w:rsidRDefault="009C05AE" w:rsidP="009C05AE">
            <w:pPr>
              <w:ind w:firstLine="0"/>
              <w:jc w:val="center"/>
              <w:rPr>
                <w:sz w:val="20"/>
                <w:szCs w:val="20"/>
              </w:rPr>
            </w:pPr>
            <w:r w:rsidRPr="009C05AE">
              <w:rPr>
                <w:sz w:val="20"/>
                <w:szCs w:val="20"/>
              </w:rPr>
              <w:t xml:space="preserve">Li et al (2008); </w:t>
            </w:r>
            <w:proofErr w:type="spellStart"/>
            <w:r w:rsidRPr="009C05AE">
              <w:rPr>
                <w:sz w:val="20"/>
                <w:szCs w:val="20"/>
              </w:rPr>
              <w:t>Kaveski</w:t>
            </w:r>
            <w:proofErr w:type="spellEnd"/>
            <w:r w:rsidRPr="009C05AE">
              <w:rPr>
                <w:sz w:val="20"/>
                <w:szCs w:val="20"/>
              </w:rPr>
              <w:t xml:space="preserve"> et al (2016);</w:t>
            </w:r>
          </w:p>
        </w:tc>
      </w:tr>
      <w:tr w:rsidR="009C05AE" w:rsidRPr="009C05AE" w14:paraId="4CCD103B" w14:textId="77777777" w:rsidTr="009C05AE">
        <w:trPr>
          <w:trHeight w:val="355"/>
          <w:jc w:val="center"/>
        </w:trPr>
        <w:tc>
          <w:tcPr>
            <w:tcW w:w="1967" w:type="dxa"/>
            <w:tcBorders>
              <w:top w:val="nil"/>
              <w:left w:val="single" w:sz="4" w:space="0" w:color="000000"/>
              <w:bottom w:val="single" w:sz="4" w:space="0" w:color="000000"/>
              <w:right w:val="single" w:sz="4" w:space="0" w:color="000000"/>
            </w:tcBorders>
            <w:vAlign w:val="center"/>
          </w:tcPr>
          <w:p w14:paraId="32EF9779" w14:textId="77777777" w:rsidR="009C05AE" w:rsidRPr="009C05AE" w:rsidRDefault="009C05AE" w:rsidP="009C05AE">
            <w:pPr>
              <w:ind w:firstLine="0"/>
              <w:jc w:val="center"/>
              <w:rPr>
                <w:sz w:val="20"/>
                <w:szCs w:val="20"/>
              </w:rPr>
            </w:pPr>
            <w:r w:rsidRPr="009C05AE">
              <w:rPr>
                <w:sz w:val="20"/>
                <w:szCs w:val="20"/>
              </w:rPr>
              <w:t>∑</w:t>
            </w:r>
            <w:proofErr w:type="spellStart"/>
            <w:r w:rsidRPr="009C05AE">
              <w:rPr>
                <w:sz w:val="20"/>
                <w:szCs w:val="20"/>
              </w:rPr>
              <w:t>SET</w:t>
            </w:r>
            <w:r w:rsidRPr="009C05AE">
              <w:rPr>
                <w:sz w:val="20"/>
                <w:szCs w:val="20"/>
                <w:vertAlign w:val="subscript"/>
              </w:rPr>
              <w:t>it</w:t>
            </w:r>
            <w:proofErr w:type="spellEnd"/>
          </w:p>
        </w:tc>
        <w:tc>
          <w:tcPr>
            <w:tcW w:w="4911" w:type="dxa"/>
            <w:tcBorders>
              <w:top w:val="nil"/>
              <w:left w:val="nil"/>
              <w:bottom w:val="single" w:sz="4" w:space="0" w:color="000000"/>
              <w:right w:val="single" w:sz="4" w:space="0" w:color="000000"/>
            </w:tcBorders>
            <w:shd w:val="clear" w:color="auto" w:fill="auto"/>
            <w:vAlign w:val="center"/>
          </w:tcPr>
          <w:p w14:paraId="2C92D081" w14:textId="77777777" w:rsidR="009C05AE" w:rsidRPr="009C05AE" w:rsidRDefault="009C05AE" w:rsidP="009C05AE">
            <w:pPr>
              <w:ind w:firstLine="0"/>
              <w:jc w:val="center"/>
              <w:rPr>
                <w:sz w:val="20"/>
                <w:szCs w:val="20"/>
              </w:rPr>
            </w:pPr>
            <w:r w:rsidRPr="009C05AE">
              <w:rPr>
                <w:sz w:val="20"/>
                <w:szCs w:val="20"/>
              </w:rPr>
              <w:t>Codificado os setores pelo Padrão Global de Classificação da Indústria (</w:t>
            </w:r>
            <w:r w:rsidRPr="009C05AE">
              <w:rPr>
                <w:i/>
                <w:sz w:val="20"/>
                <w:szCs w:val="20"/>
              </w:rPr>
              <w:t xml:space="preserve">GICS Sector </w:t>
            </w:r>
            <w:proofErr w:type="spellStart"/>
            <w:r w:rsidRPr="009C05AE">
              <w:rPr>
                <w:i/>
                <w:sz w:val="20"/>
                <w:szCs w:val="20"/>
              </w:rPr>
              <w:t>Name</w:t>
            </w:r>
            <w:proofErr w:type="spellEnd"/>
            <w:r w:rsidRPr="009C05AE">
              <w:rPr>
                <w:i/>
                <w:sz w:val="20"/>
                <w:szCs w:val="20"/>
              </w:rPr>
              <w:t xml:space="preserve"> e GICS Sector </w:t>
            </w:r>
            <w:proofErr w:type="spellStart"/>
            <w:r w:rsidRPr="009C05AE">
              <w:rPr>
                <w:i/>
                <w:sz w:val="20"/>
                <w:szCs w:val="20"/>
              </w:rPr>
              <w:t>Code</w:t>
            </w:r>
            <w:proofErr w:type="spellEnd"/>
            <w:r w:rsidRPr="009C05AE">
              <w:rPr>
                <w:sz w:val="20"/>
                <w:szCs w:val="20"/>
              </w:rPr>
              <w:t xml:space="preserve">), de acordo com a </w:t>
            </w:r>
            <w:r w:rsidRPr="009C05AE">
              <w:rPr>
                <w:i/>
                <w:sz w:val="20"/>
                <w:szCs w:val="20"/>
              </w:rPr>
              <w:t xml:space="preserve">Thomson Reuters </w:t>
            </w:r>
            <w:proofErr w:type="spellStart"/>
            <w:r w:rsidRPr="009C05AE">
              <w:rPr>
                <w:i/>
                <w:sz w:val="20"/>
                <w:szCs w:val="20"/>
              </w:rPr>
              <w:t>Eikon</w:t>
            </w:r>
            <w:proofErr w:type="spellEnd"/>
            <w:r w:rsidRPr="009C05AE">
              <w:rPr>
                <w:i/>
                <w:sz w:val="20"/>
                <w:szCs w:val="20"/>
              </w:rPr>
              <w:t>®</w:t>
            </w:r>
            <w:r w:rsidRPr="009C05AE">
              <w:rPr>
                <w:sz w:val="20"/>
                <w:szCs w:val="20"/>
              </w:rPr>
              <w:t xml:space="preserve">, transformando-as em </w:t>
            </w:r>
            <w:proofErr w:type="spellStart"/>
            <w:r w:rsidRPr="009C05AE">
              <w:rPr>
                <w:i/>
                <w:sz w:val="20"/>
                <w:szCs w:val="20"/>
              </w:rPr>
              <w:t>dummies</w:t>
            </w:r>
            <w:proofErr w:type="spellEnd"/>
            <w:r w:rsidRPr="009C05AE">
              <w:rPr>
                <w:sz w:val="20"/>
                <w:szCs w:val="20"/>
              </w:rPr>
              <w:t xml:space="preserve"> distintas.</w:t>
            </w:r>
          </w:p>
        </w:tc>
        <w:tc>
          <w:tcPr>
            <w:tcW w:w="2529" w:type="dxa"/>
            <w:tcBorders>
              <w:top w:val="nil"/>
              <w:left w:val="nil"/>
              <w:bottom w:val="single" w:sz="4" w:space="0" w:color="000000"/>
              <w:right w:val="single" w:sz="4" w:space="0" w:color="000000"/>
            </w:tcBorders>
            <w:shd w:val="clear" w:color="auto" w:fill="auto"/>
            <w:vAlign w:val="center"/>
          </w:tcPr>
          <w:p w14:paraId="1755ACA6" w14:textId="77777777" w:rsidR="009C05AE" w:rsidRPr="009C05AE" w:rsidRDefault="009C05AE" w:rsidP="009C05AE">
            <w:pPr>
              <w:ind w:firstLine="0"/>
              <w:jc w:val="center"/>
              <w:rPr>
                <w:sz w:val="20"/>
                <w:szCs w:val="20"/>
              </w:rPr>
            </w:pPr>
            <w:proofErr w:type="spellStart"/>
            <w:r w:rsidRPr="009C05AE">
              <w:rPr>
                <w:sz w:val="20"/>
                <w:szCs w:val="20"/>
              </w:rPr>
              <w:t>Brüggen</w:t>
            </w:r>
            <w:proofErr w:type="spellEnd"/>
            <w:r w:rsidRPr="009C05AE">
              <w:rPr>
                <w:sz w:val="20"/>
                <w:szCs w:val="20"/>
              </w:rPr>
              <w:t xml:space="preserve"> et al (2009); </w:t>
            </w:r>
            <w:proofErr w:type="spellStart"/>
            <w:r w:rsidRPr="009C05AE">
              <w:rPr>
                <w:sz w:val="20"/>
                <w:szCs w:val="20"/>
              </w:rPr>
              <w:t>Graafland</w:t>
            </w:r>
            <w:proofErr w:type="spellEnd"/>
            <w:r w:rsidRPr="009C05AE">
              <w:rPr>
                <w:sz w:val="20"/>
                <w:szCs w:val="20"/>
              </w:rPr>
              <w:t xml:space="preserve"> e </w:t>
            </w:r>
            <w:proofErr w:type="spellStart"/>
            <w:r w:rsidRPr="009C05AE">
              <w:rPr>
                <w:sz w:val="20"/>
                <w:szCs w:val="20"/>
              </w:rPr>
              <w:t>Noorderhaven</w:t>
            </w:r>
            <w:proofErr w:type="spellEnd"/>
            <w:r w:rsidRPr="009C05AE">
              <w:rPr>
                <w:sz w:val="20"/>
                <w:szCs w:val="20"/>
              </w:rPr>
              <w:t xml:space="preserve"> (2018)</w:t>
            </w:r>
          </w:p>
        </w:tc>
      </w:tr>
    </w:tbl>
    <w:p w14:paraId="71F47C8D" w14:textId="77777777" w:rsidR="009C05AE" w:rsidRPr="009C05AE" w:rsidRDefault="009C05AE" w:rsidP="009C05AE">
      <w:pPr>
        <w:ind w:firstLine="0"/>
        <w:jc w:val="left"/>
        <w:rPr>
          <w:sz w:val="20"/>
          <w:szCs w:val="20"/>
        </w:rPr>
      </w:pPr>
      <w:r w:rsidRPr="006A4866">
        <w:rPr>
          <w:b/>
          <w:bCs/>
          <w:sz w:val="20"/>
          <w:szCs w:val="20"/>
        </w:rPr>
        <w:t>Fonte:</w:t>
      </w:r>
      <w:r w:rsidRPr="009C05AE">
        <w:rPr>
          <w:b/>
          <w:sz w:val="20"/>
          <w:szCs w:val="20"/>
        </w:rPr>
        <w:t xml:space="preserve"> </w:t>
      </w:r>
      <w:r w:rsidRPr="009C05AE">
        <w:rPr>
          <w:sz w:val="20"/>
          <w:szCs w:val="20"/>
        </w:rPr>
        <w:t>Elaboração Própria, 2019.</w:t>
      </w:r>
    </w:p>
    <w:p w14:paraId="4B5B1440" w14:textId="77777777" w:rsidR="009C05AE" w:rsidRPr="009C05AE" w:rsidRDefault="009C05AE" w:rsidP="009C05AE">
      <w:pPr>
        <w:ind w:firstLine="0"/>
      </w:pPr>
    </w:p>
    <w:p w14:paraId="0024ABCD" w14:textId="77777777" w:rsidR="009C05AE" w:rsidRPr="009C05AE" w:rsidRDefault="009C05AE" w:rsidP="009C05AE">
      <w:pPr>
        <w:ind w:firstLine="0"/>
      </w:pPr>
      <w:r w:rsidRPr="009C05AE">
        <w:tab/>
        <w:t xml:space="preserve">Para a estimação do modelo foram realizados os Testes de </w:t>
      </w:r>
      <w:proofErr w:type="spellStart"/>
      <w:r w:rsidRPr="009C05AE">
        <w:rPr>
          <w:i/>
        </w:rPr>
        <w:t>Chow</w:t>
      </w:r>
      <w:proofErr w:type="spellEnd"/>
      <w:r w:rsidRPr="009C05AE">
        <w:t>,</w:t>
      </w:r>
      <w:r w:rsidRPr="009C05AE">
        <w:rPr>
          <w:i/>
        </w:rPr>
        <w:t xml:space="preserve"> </w:t>
      </w:r>
      <w:proofErr w:type="spellStart"/>
      <w:r w:rsidRPr="009C05AE">
        <w:rPr>
          <w:i/>
        </w:rPr>
        <w:t>Hausman</w:t>
      </w:r>
      <w:proofErr w:type="spellEnd"/>
      <w:r w:rsidRPr="009C05AE">
        <w:t xml:space="preserve">, e </w:t>
      </w:r>
      <w:proofErr w:type="spellStart"/>
      <w:r w:rsidRPr="009C05AE">
        <w:rPr>
          <w:i/>
        </w:rPr>
        <w:t>Breuch</w:t>
      </w:r>
      <w:proofErr w:type="spellEnd"/>
      <w:r w:rsidRPr="009C05AE">
        <w:rPr>
          <w:i/>
        </w:rPr>
        <w:t xml:space="preserve"> </w:t>
      </w:r>
      <w:proofErr w:type="spellStart"/>
      <w:r w:rsidRPr="009C05AE">
        <w:rPr>
          <w:i/>
        </w:rPr>
        <w:t>and</w:t>
      </w:r>
      <w:proofErr w:type="spellEnd"/>
      <w:r w:rsidRPr="009C05AE">
        <w:rPr>
          <w:i/>
        </w:rPr>
        <w:t xml:space="preserve"> </w:t>
      </w:r>
      <w:proofErr w:type="spellStart"/>
      <w:r w:rsidRPr="009C05AE">
        <w:rPr>
          <w:i/>
        </w:rPr>
        <w:t>Pagan</w:t>
      </w:r>
      <w:proofErr w:type="spellEnd"/>
      <w:r w:rsidRPr="009C05AE">
        <w:t xml:space="preserve"> para verificar se a regressão se adequaria melhor por efeito </w:t>
      </w:r>
      <w:proofErr w:type="spellStart"/>
      <w:r w:rsidRPr="009C05AE">
        <w:rPr>
          <w:i/>
        </w:rPr>
        <w:t>pooled</w:t>
      </w:r>
      <w:proofErr w:type="spellEnd"/>
      <w:r w:rsidRPr="009C05AE">
        <w:t xml:space="preserve">, fixo ou aleatório. O teste </w:t>
      </w:r>
      <w:r w:rsidRPr="009C05AE">
        <w:rPr>
          <w:i/>
        </w:rPr>
        <w:t>VIF</w:t>
      </w:r>
      <w:r w:rsidRPr="009C05AE">
        <w:t xml:space="preserve">, foi necessário ao verificar a </w:t>
      </w:r>
      <w:proofErr w:type="spellStart"/>
      <w:r w:rsidRPr="009C05AE">
        <w:t>multicolinearidade</w:t>
      </w:r>
      <w:proofErr w:type="spellEnd"/>
      <w:r w:rsidRPr="009C05AE">
        <w:t xml:space="preserve"> dos dados. O Teste </w:t>
      </w:r>
      <w:proofErr w:type="spellStart"/>
      <w:r w:rsidRPr="009C05AE">
        <w:rPr>
          <w:i/>
        </w:rPr>
        <w:t>Brausch</w:t>
      </w:r>
      <w:proofErr w:type="spellEnd"/>
      <w:r w:rsidRPr="009C05AE">
        <w:rPr>
          <w:i/>
        </w:rPr>
        <w:t xml:space="preserve"> </w:t>
      </w:r>
      <w:proofErr w:type="spellStart"/>
      <w:r w:rsidRPr="009C05AE">
        <w:rPr>
          <w:i/>
        </w:rPr>
        <w:t>and</w:t>
      </w:r>
      <w:proofErr w:type="spellEnd"/>
      <w:r w:rsidRPr="009C05AE">
        <w:rPr>
          <w:i/>
        </w:rPr>
        <w:t xml:space="preserve"> </w:t>
      </w:r>
      <w:proofErr w:type="spellStart"/>
      <w:r w:rsidRPr="009C05AE">
        <w:rPr>
          <w:i/>
        </w:rPr>
        <w:t>Pagan</w:t>
      </w:r>
      <w:proofErr w:type="spellEnd"/>
      <w:r w:rsidRPr="009C05AE">
        <w:t xml:space="preserve"> verificou também a heterocedasticidade dos dados, assim como os Testes de </w:t>
      </w:r>
      <w:proofErr w:type="spellStart"/>
      <w:r w:rsidRPr="009C05AE">
        <w:rPr>
          <w:i/>
        </w:rPr>
        <w:t>Jarque-Bera</w:t>
      </w:r>
      <w:proofErr w:type="spellEnd"/>
      <w:r w:rsidRPr="009C05AE">
        <w:t xml:space="preserve"> e </w:t>
      </w:r>
      <w:proofErr w:type="spellStart"/>
      <w:r w:rsidRPr="009C05AE">
        <w:rPr>
          <w:i/>
        </w:rPr>
        <w:t>Wooldrige</w:t>
      </w:r>
      <w:proofErr w:type="spellEnd"/>
      <w:r w:rsidRPr="009C05AE">
        <w:t xml:space="preserve"> foram necessários para verificar a normalidade e autocorrelação entre os dados, respectivamente.</w:t>
      </w:r>
    </w:p>
    <w:p w14:paraId="19DF9511" w14:textId="77777777" w:rsidR="009C05AE" w:rsidRPr="009C05AE" w:rsidRDefault="009C05AE" w:rsidP="009C05AE">
      <w:pPr>
        <w:ind w:firstLine="0"/>
      </w:pPr>
    </w:p>
    <w:p w14:paraId="31666C7E" w14:textId="77777777" w:rsidR="009C05AE" w:rsidRPr="009C05AE" w:rsidRDefault="009C05AE" w:rsidP="009C05AE">
      <w:pPr>
        <w:ind w:firstLine="0"/>
        <w:rPr>
          <w:b/>
        </w:rPr>
      </w:pPr>
      <w:r w:rsidRPr="009C05AE">
        <w:rPr>
          <w:b/>
        </w:rPr>
        <w:t>4 Resultados</w:t>
      </w:r>
    </w:p>
    <w:p w14:paraId="415CF246" w14:textId="77777777" w:rsidR="009C05AE" w:rsidRPr="009C05AE" w:rsidRDefault="009C05AE" w:rsidP="009C05AE">
      <w:r w:rsidRPr="009C05AE">
        <w:t xml:space="preserve">Tendo por objetivo analisar os possíveis fatores determinantes para que as empresas realizem o </w:t>
      </w:r>
      <w:proofErr w:type="spellStart"/>
      <w:r w:rsidRPr="009C05AE">
        <w:rPr>
          <w:i/>
        </w:rPr>
        <w:t>disclosure</w:t>
      </w:r>
      <w:proofErr w:type="spellEnd"/>
      <w:r w:rsidRPr="009C05AE">
        <w:t xml:space="preserve"> das informações referentes ao CI, a presente pesquisa constituiu-se de uma amostra com as 32 empresas componentes do IBRx50, dentre os anos de 2016 a 2018, resultando em 96 observações. A Tabela 1 fornece a estatística descritiva das variáveis estudadas.</w:t>
      </w:r>
    </w:p>
    <w:p w14:paraId="25C744F1" w14:textId="77777777" w:rsidR="009C05AE" w:rsidRPr="009C05AE" w:rsidRDefault="009C05AE" w:rsidP="009C05AE">
      <w:pPr>
        <w:ind w:firstLine="0"/>
        <w:jc w:val="center"/>
      </w:pPr>
    </w:p>
    <w:p w14:paraId="68AC9F66" w14:textId="035A3786" w:rsidR="009C05AE" w:rsidRPr="009C05AE" w:rsidRDefault="009C05AE" w:rsidP="009C05AE">
      <w:pPr>
        <w:ind w:firstLine="0"/>
        <w:jc w:val="center"/>
        <w:rPr>
          <w:sz w:val="20"/>
          <w:szCs w:val="20"/>
        </w:rPr>
      </w:pPr>
      <w:r w:rsidRPr="006A4866">
        <w:rPr>
          <w:b/>
          <w:bCs/>
          <w:sz w:val="20"/>
          <w:szCs w:val="20"/>
        </w:rPr>
        <w:t>Tabela 1</w:t>
      </w:r>
      <w:r w:rsidR="006A4866">
        <w:rPr>
          <w:sz w:val="20"/>
          <w:szCs w:val="20"/>
        </w:rPr>
        <w:t xml:space="preserve"> -</w:t>
      </w:r>
      <w:r w:rsidRPr="009C05AE">
        <w:rPr>
          <w:sz w:val="20"/>
          <w:szCs w:val="20"/>
        </w:rPr>
        <w:t xml:space="preserve"> Estatística Descritiva das Variáveis</w:t>
      </w:r>
    </w:p>
    <w:tbl>
      <w:tblPr>
        <w:tblW w:w="9480" w:type="dxa"/>
        <w:tblLayout w:type="fixed"/>
        <w:tblLook w:val="0400" w:firstRow="0" w:lastRow="0" w:firstColumn="0" w:lastColumn="0" w:noHBand="0" w:noVBand="1"/>
      </w:tblPr>
      <w:tblGrid>
        <w:gridCol w:w="1423"/>
        <w:gridCol w:w="1465"/>
        <w:gridCol w:w="1193"/>
        <w:gridCol w:w="1172"/>
        <w:gridCol w:w="1486"/>
        <w:gridCol w:w="1360"/>
        <w:gridCol w:w="1381"/>
      </w:tblGrid>
      <w:tr w:rsidR="009C05AE" w:rsidRPr="009C05AE" w14:paraId="6AF34EA9" w14:textId="77777777" w:rsidTr="009C05AE">
        <w:trPr>
          <w:trHeight w:val="282"/>
        </w:trPr>
        <w:tc>
          <w:tcPr>
            <w:tcW w:w="1423" w:type="dxa"/>
            <w:tcBorders>
              <w:top w:val="single" w:sz="4" w:space="0" w:color="000000"/>
              <w:left w:val="nil"/>
              <w:bottom w:val="single" w:sz="4" w:space="0" w:color="000000"/>
              <w:right w:val="nil"/>
            </w:tcBorders>
            <w:shd w:val="clear" w:color="auto" w:fill="auto"/>
            <w:vAlign w:val="center"/>
          </w:tcPr>
          <w:p w14:paraId="416C01B1" w14:textId="77777777" w:rsidR="009C05AE" w:rsidRPr="009C05AE" w:rsidRDefault="009C05AE" w:rsidP="009C05AE">
            <w:pPr>
              <w:ind w:firstLine="0"/>
              <w:jc w:val="center"/>
              <w:rPr>
                <w:b/>
                <w:sz w:val="20"/>
                <w:szCs w:val="20"/>
              </w:rPr>
            </w:pPr>
            <w:r w:rsidRPr="009C05AE">
              <w:rPr>
                <w:b/>
                <w:sz w:val="20"/>
                <w:szCs w:val="20"/>
              </w:rPr>
              <w:t>Variáveis</w:t>
            </w:r>
          </w:p>
        </w:tc>
        <w:tc>
          <w:tcPr>
            <w:tcW w:w="1465" w:type="dxa"/>
            <w:tcBorders>
              <w:top w:val="single" w:sz="4" w:space="0" w:color="000000"/>
              <w:left w:val="nil"/>
              <w:bottom w:val="single" w:sz="4" w:space="0" w:color="000000"/>
              <w:right w:val="nil"/>
            </w:tcBorders>
            <w:shd w:val="clear" w:color="auto" w:fill="auto"/>
            <w:vAlign w:val="center"/>
          </w:tcPr>
          <w:p w14:paraId="6789C3E2" w14:textId="77777777" w:rsidR="009C05AE" w:rsidRPr="009C05AE" w:rsidRDefault="009C05AE" w:rsidP="009C05AE">
            <w:pPr>
              <w:ind w:firstLine="0"/>
              <w:jc w:val="center"/>
              <w:rPr>
                <w:b/>
                <w:sz w:val="20"/>
                <w:szCs w:val="20"/>
              </w:rPr>
            </w:pPr>
            <w:r w:rsidRPr="009C05AE">
              <w:rPr>
                <w:b/>
                <w:sz w:val="20"/>
                <w:szCs w:val="20"/>
              </w:rPr>
              <w:t>Observações</w:t>
            </w:r>
          </w:p>
        </w:tc>
        <w:tc>
          <w:tcPr>
            <w:tcW w:w="1193" w:type="dxa"/>
            <w:tcBorders>
              <w:top w:val="single" w:sz="4" w:space="0" w:color="000000"/>
              <w:left w:val="nil"/>
              <w:bottom w:val="single" w:sz="4" w:space="0" w:color="000000"/>
              <w:right w:val="nil"/>
            </w:tcBorders>
            <w:shd w:val="clear" w:color="auto" w:fill="auto"/>
            <w:vAlign w:val="center"/>
          </w:tcPr>
          <w:p w14:paraId="2B2C941D" w14:textId="77777777" w:rsidR="009C05AE" w:rsidRPr="009C05AE" w:rsidRDefault="009C05AE" w:rsidP="009C05AE">
            <w:pPr>
              <w:ind w:firstLine="0"/>
              <w:jc w:val="center"/>
              <w:rPr>
                <w:b/>
                <w:sz w:val="20"/>
                <w:szCs w:val="20"/>
              </w:rPr>
            </w:pPr>
            <w:r w:rsidRPr="009C05AE">
              <w:rPr>
                <w:b/>
                <w:sz w:val="20"/>
                <w:szCs w:val="20"/>
              </w:rPr>
              <w:t>Média</w:t>
            </w:r>
          </w:p>
        </w:tc>
        <w:tc>
          <w:tcPr>
            <w:tcW w:w="1172" w:type="dxa"/>
            <w:tcBorders>
              <w:top w:val="single" w:sz="4" w:space="0" w:color="000000"/>
              <w:left w:val="nil"/>
              <w:bottom w:val="single" w:sz="4" w:space="0" w:color="000000"/>
              <w:right w:val="nil"/>
            </w:tcBorders>
            <w:shd w:val="clear" w:color="auto" w:fill="auto"/>
            <w:vAlign w:val="center"/>
          </w:tcPr>
          <w:p w14:paraId="683ADC4C" w14:textId="77777777" w:rsidR="009C05AE" w:rsidRPr="009C05AE" w:rsidRDefault="009C05AE" w:rsidP="009C05AE">
            <w:pPr>
              <w:ind w:firstLine="0"/>
              <w:jc w:val="center"/>
              <w:rPr>
                <w:b/>
                <w:sz w:val="20"/>
                <w:szCs w:val="20"/>
              </w:rPr>
            </w:pPr>
            <w:r w:rsidRPr="009C05AE">
              <w:rPr>
                <w:b/>
                <w:sz w:val="20"/>
                <w:szCs w:val="20"/>
              </w:rPr>
              <w:t>Mediana</w:t>
            </w:r>
          </w:p>
        </w:tc>
        <w:tc>
          <w:tcPr>
            <w:tcW w:w="1486" w:type="dxa"/>
            <w:tcBorders>
              <w:top w:val="single" w:sz="4" w:space="0" w:color="000000"/>
              <w:left w:val="nil"/>
              <w:bottom w:val="single" w:sz="4" w:space="0" w:color="000000"/>
              <w:right w:val="nil"/>
            </w:tcBorders>
            <w:shd w:val="clear" w:color="auto" w:fill="auto"/>
            <w:vAlign w:val="center"/>
          </w:tcPr>
          <w:p w14:paraId="35223F8E" w14:textId="77777777" w:rsidR="009C05AE" w:rsidRPr="009C05AE" w:rsidRDefault="009C05AE" w:rsidP="009C05AE">
            <w:pPr>
              <w:ind w:firstLine="0"/>
              <w:jc w:val="center"/>
              <w:rPr>
                <w:b/>
                <w:sz w:val="20"/>
                <w:szCs w:val="20"/>
              </w:rPr>
            </w:pPr>
            <w:r w:rsidRPr="009C05AE">
              <w:rPr>
                <w:b/>
                <w:sz w:val="20"/>
                <w:szCs w:val="20"/>
              </w:rPr>
              <w:t>Desvio Padrão</w:t>
            </w:r>
          </w:p>
        </w:tc>
        <w:tc>
          <w:tcPr>
            <w:tcW w:w="1360" w:type="dxa"/>
            <w:tcBorders>
              <w:top w:val="single" w:sz="4" w:space="0" w:color="000000"/>
              <w:left w:val="nil"/>
              <w:bottom w:val="single" w:sz="4" w:space="0" w:color="000000"/>
              <w:right w:val="nil"/>
            </w:tcBorders>
            <w:shd w:val="clear" w:color="auto" w:fill="auto"/>
            <w:vAlign w:val="center"/>
          </w:tcPr>
          <w:p w14:paraId="7DECEC4B" w14:textId="77777777" w:rsidR="009C05AE" w:rsidRPr="009C05AE" w:rsidRDefault="009C05AE" w:rsidP="009C05AE">
            <w:pPr>
              <w:ind w:firstLine="0"/>
              <w:jc w:val="center"/>
              <w:rPr>
                <w:b/>
                <w:sz w:val="20"/>
                <w:szCs w:val="20"/>
              </w:rPr>
            </w:pPr>
            <w:r w:rsidRPr="009C05AE">
              <w:rPr>
                <w:b/>
                <w:sz w:val="20"/>
                <w:szCs w:val="20"/>
              </w:rPr>
              <w:t>Mínimo</w:t>
            </w:r>
          </w:p>
        </w:tc>
        <w:tc>
          <w:tcPr>
            <w:tcW w:w="1381" w:type="dxa"/>
            <w:tcBorders>
              <w:top w:val="single" w:sz="4" w:space="0" w:color="000000"/>
              <w:left w:val="nil"/>
              <w:bottom w:val="single" w:sz="4" w:space="0" w:color="000000"/>
              <w:right w:val="nil"/>
            </w:tcBorders>
            <w:shd w:val="clear" w:color="auto" w:fill="auto"/>
            <w:vAlign w:val="center"/>
          </w:tcPr>
          <w:p w14:paraId="053204EB" w14:textId="77777777" w:rsidR="009C05AE" w:rsidRPr="009C05AE" w:rsidRDefault="009C05AE" w:rsidP="009C05AE">
            <w:pPr>
              <w:ind w:firstLine="0"/>
              <w:jc w:val="center"/>
              <w:rPr>
                <w:b/>
                <w:sz w:val="20"/>
                <w:szCs w:val="20"/>
              </w:rPr>
            </w:pPr>
            <w:r w:rsidRPr="009C05AE">
              <w:rPr>
                <w:b/>
                <w:sz w:val="20"/>
                <w:szCs w:val="20"/>
              </w:rPr>
              <w:t>Máximo</w:t>
            </w:r>
          </w:p>
        </w:tc>
      </w:tr>
      <w:tr w:rsidR="009C05AE" w:rsidRPr="009C05AE" w14:paraId="3E9ACD9D" w14:textId="77777777" w:rsidTr="009C05AE">
        <w:trPr>
          <w:trHeight w:val="282"/>
        </w:trPr>
        <w:tc>
          <w:tcPr>
            <w:tcW w:w="1423" w:type="dxa"/>
            <w:tcBorders>
              <w:top w:val="nil"/>
              <w:left w:val="nil"/>
              <w:bottom w:val="nil"/>
              <w:right w:val="nil"/>
            </w:tcBorders>
            <w:shd w:val="clear" w:color="auto" w:fill="auto"/>
            <w:vAlign w:val="center"/>
          </w:tcPr>
          <w:p w14:paraId="131D9871" w14:textId="77777777" w:rsidR="009C05AE" w:rsidRPr="009C05AE" w:rsidRDefault="009C05AE" w:rsidP="009C05AE">
            <w:pPr>
              <w:ind w:firstLine="0"/>
              <w:jc w:val="center"/>
              <w:rPr>
                <w:sz w:val="20"/>
                <w:szCs w:val="20"/>
                <w:vertAlign w:val="subscript"/>
              </w:rPr>
            </w:pPr>
            <w:proofErr w:type="spellStart"/>
            <w:r w:rsidRPr="009C05AE">
              <w:rPr>
                <w:sz w:val="20"/>
                <w:szCs w:val="20"/>
              </w:rPr>
              <w:t>NDCI</w:t>
            </w:r>
            <w:r w:rsidRPr="009C05AE">
              <w:rPr>
                <w:sz w:val="20"/>
                <w:szCs w:val="20"/>
                <w:vertAlign w:val="subscript"/>
              </w:rPr>
              <w:t>it</w:t>
            </w:r>
            <w:proofErr w:type="spellEnd"/>
          </w:p>
        </w:tc>
        <w:tc>
          <w:tcPr>
            <w:tcW w:w="1465" w:type="dxa"/>
            <w:tcBorders>
              <w:top w:val="nil"/>
              <w:left w:val="nil"/>
              <w:bottom w:val="nil"/>
              <w:right w:val="nil"/>
            </w:tcBorders>
            <w:shd w:val="clear" w:color="auto" w:fill="auto"/>
            <w:vAlign w:val="center"/>
          </w:tcPr>
          <w:p w14:paraId="716DE204" w14:textId="77777777" w:rsidR="009C05AE" w:rsidRPr="009C05AE" w:rsidRDefault="009C05AE" w:rsidP="009C05AE">
            <w:pPr>
              <w:ind w:firstLine="0"/>
              <w:jc w:val="center"/>
              <w:rPr>
                <w:sz w:val="20"/>
                <w:szCs w:val="20"/>
              </w:rPr>
            </w:pPr>
            <w:r w:rsidRPr="009C05AE">
              <w:rPr>
                <w:sz w:val="20"/>
                <w:szCs w:val="20"/>
              </w:rPr>
              <w:t>96</w:t>
            </w:r>
          </w:p>
        </w:tc>
        <w:tc>
          <w:tcPr>
            <w:tcW w:w="1193" w:type="dxa"/>
            <w:tcBorders>
              <w:top w:val="nil"/>
              <w:left w:val="nil"/>
              <w:bottom w:val="nil"/>
              <w:right w:val="nil"/>
            </w:tcBorders>
            <w:shd w:val="clear" w:color="auto" w:fill="auto"/>
            <w:vAlign w:val="center"/>
          </w:tcPr>
          <w:p w14:paraId="1F84B1C9" w14:textId="77777777" w:rsidR="009C05AE" w:rsidRPr="009C05AE" w:rsidRDefault="009C05AE" w:rsidP="009C05AE">
            <w:pPr>
              <w:ind w:firstLine="0"/>
              <w:jc w:val="center"/>
              <w:rPr>
                <w:sz w:val="20"/>
                <w:szCs w:val="20"/>
              </w:rPr>
            </w:pPr>
            <w:r w:rsidRPr="009C05AE">
              <w:rPr>
                <w:sz w:val="20"/>
                <w:szCs w:val="20"/>
              </w:rPr>
              <w:t>0,53163</w:t>
            </w:r>
          </w:p>
        </w:tc>
        <w:tc>
          <w:tcPr>
            <w:tcW w:w="1172" w:type="dxa"/>
            <w:tcBorders>
              <w:top w:val="nil"/>
              <w:left w:val="nil"/>
              <w:bottom w:val="nil"/>
              <w:right w:val="nil"/>
            </w:tcBorders>
            <w:shd w:val="clear" w:color="auto" w:fill="auto"/>
            <w:vAlign w:val="center"/>
          </w:tcPr>
          <w:p w14:paraId="40A52916" w14:textId="77777777" w:rsidR="009C05AE" w:rsidRPr="009C05AE" w:rsidRDefault="009C05AE" w:rsidP="009C05AE">
            <w:pPr>
              <w:ind w:firstLine="0"/>
              <w:jc w:val="center"/>
              <w:rPr>
                <w:sz w:val="20"/>
                <w:szCs w:val="20"/>
              </w:rPr>
            </w:pPr>
            <w:r w:rsidRPr="009C05AE">
              <w:rPr>
                <w:sz w:val="20"/>
                <w:szCs w:val="20"/>
              </w:rPr>
              <w:t>0,57407</w:t>
            </w:r>
          </w:p>
        </w:tc>
        <w:tc>
          <w:tcPr>
            <w:tcW w:w="1486" w:type="dxa"/>
            <w:tcBorders>
              <w:top w:val="nil"/>
              <w:left w:val="nil"/>
              <w:bottom w:val="nil"/>
              <w:right w:val="nil"/>
            </w:tcBorders>
            <w:shd w:val="clear" w:color="auto" w:fill="auto"/>
            <w:vAlign w:val="center"/>
          </w:tcPr>
          <w:p w14:paraId="1B260C42" w14:textId="77777777" w:rsidR="009C05AE" w:rsidRPr="009C05AE" w:rsidRDefault="009C05AE" w:rsidP="009C05AE">
            <w:pPr>
              <w:ind w:firstLine="0"/>
              <w:jc w:val="center"/>
              <w:rPr>
                <w:sz w:val="20"/>
                <w:szCs w:val="20"/>
              </w:rPr>
            </w:pPr>
            <w:r w:rsidRPr="009C05AE">
              <w:rPr>
                <w:sz w:val="20"/>
                <w:szCs w:val="20"/>
              </w:rPr>
              <w:t>0,18938</w:t>
            </w:r>
          </w:p>
        </w:tc>
        <w:tc>
          <w:tcPr>
            <w:tcW w:w="1360" w:type="dxa"/>
            <w:tcBorders>
              <w:top w:val="nil"/>
              <w:left w:val="nil"/>
              <w:bottom w:val="nil"/>
              <w:right w:val="nil"/>
            </w:tcBorders>
            <w:shd w:val="clear" w:color="auto" w:fill="auto"/>
            <w:vAlign w:val="center"/>
          </w:tcPr>
          <w:p w14:paraId="1DB0FC99" w14:textId="77777777" w:rsidR="009C05AE" w:rsidRPr="009C05AE" w:rsidRDefault="009C05AE" w:rsidP="009C05AE">
            <w:pPr>
              <w:ind w:firstLine="0"/>
              <w:jc w:val="center"/>
              <w:rPr>
                <w:sz w:val="20"/>
                <w:szCs w:val="20"/>
              </w:rPr>
            </w:pPr>
            <w:r w:rsidRPr="009C05AE">
              <w:rPr>
                <w:sz w:val="20"/>
                <w:szCs w:val="20"/>
              </w:rPr>
              <w:t>0,03703</w:t>
            </w:r>
          </w:p>
        </w:tc>
        <w:tc>
          <w:tcPr>
            <w:tcW w:w="1381" w:type="dxa"/>
            <w:tcBorders>
              <w:top w:val="nil"/>
              <w:left w:val="nil"/>
              <w:bottom w:val="nil"/>
              <w:right w:val="nil"/>
            </w:tcBorders>
            <w:shd w:val="clear" w:color="auto" w:fill="auto"/>
            <w:vAlign w:val="center"/>
          </w:tcPr>
          <w:p w14:paraId="29D72B09" w14:textId="77777777" w:rsidR="009C05AE" w:rsidRPr="009C05AE" w:rsidRDefault="009C05AE" w:rsidP="009C05AE">
            <w:pPr>
              <w:ind w:firstLine="0"/>
              <w:jc w:val="center"/>
              <w:rPr>
                <w:sz w:val="20"/>
                <w:szCs w:val="20"/>
              </w:rPr>
            </w:pPr>
            <w:r w:rsidRPr="009C05AE">
              <w:rPr>
                <w:sz w:val="20"/>
                <w:szCs w:val="20"/>
              </w:rPr>
              <w:t>0,77778</w:t>
            </w:r>
          </w:p>
        </w:tc>
      </w:tr>
      <w:tr w:rsidR="009C05AE" w:rsidRPr="009C05AE" w14:paraId="05365FD2" w14:textId="77777777" w:rsidTr="009C05AE">
        <w:trPr>
          <w:trHeight w:val="282"/>
        </w:trPr>
        <w:tc>
          <w:tcPr>
            <w:tcW w:w="1423" w:type="dxa"/>
            <w:tcBorders>
              <w:top w:val="nil"/>
              <w:left w:val="nil"/>
              <w:bottom w:val="nil"/>
              <w:right w:val="nil"/>
            </w:tcBorders>
            <w:shd w:val="clear" w:color="auto" w:fill="auto"/>
            <w:vAlign w:val="center"/>
          </w:tcPr>
          <w:p w14:paraId="53CED59A" w14:textId="77777777" w:rsidR="009C05AE" w:rsidRPr="009C05AE" w:rsidRDefault="009C05AE" w:rsidP="009C05AE">
            <w:pPr>
              <w:ind w:firstLine="0"/>
              <w:jc w:val="center"/>
              <w:rPr>
                <w:sz w:val="20"/>
                <w:szCs w:val="20"/>
                <w:vertAlign w:val="subscript"/>
              </w:rPr>
            </w:pPr>
            <w:proofErr w:type="spellStart"/>
            <w:r w:rsidRPr="009C05AE">
              <w:rPr>
                <w:sz w:val="20"/>
                <w:szCs w:val="20"/>
              </w:rPr>
              <w:t>TAM</w:t>
            </w:r>
            <w:r w:rsidRPr="009C05AE">
              <w:rPr>
                <w:sz w:val="20"/>
                <w:szCs w:val="20"/>
                <w:vertAlign w:val="subscript"/>
              </w:rPr>
              <w:t>it</w:t>
            </w:r>
            <w:proofErr w:type="spellEnd"/>
          </w:p>
        </w:tc>
        <w:tc>
          <w:tcPr>
            <w:tcW w:w="1465" w:type="dxa"/>
            <w:tcBorders>
              <w:top w:val="nil"/>
              <w:left w:val="nil"/>
              <w:bottom w:val="nil"/>
              <w:right w:val="nil"/>
            </w:tcBorders>
            <w:shd w:val="clear" w:color="auto" w:fill="auto"/>
            <w:vAlign w:val="center"/>
          </w:tcPr>
          <w:p w14:paraId="40E55F6B" w14:textId="77777777" w:rsidR="009C05AE" w:rsidRPr="009C05AE" w:rsidRDefault="009C05AE" w:rsidP="009C05AE">
            <w:pPr>
              <w:ind w:firstLine="0"/>
              <w:jc w:val="center"/>
              <w:rPr>
                <w:sz w:val="20"/>
                <w:szCs w:val="20"/>
              </w:rPr>
            </w:pPr>
            <w:r w:rsidRPr="009C05AE">
              <w:rPr>
                <w:sz w:val="20"/>
                <w:szCs w:val="20"/>
              </w:rPr>
              <w:t>96</w:t>
            </w:r>
          </w:p>
        </w:tc>
        <w:tc>
          <w:tcPr>
            <w:tcW w:w="1193" w:type="dxa"/>
            <w:tcBorders>
              <w:top w:val="nil"/>
              <w:left w:val="nil"/>
              <w:bottom w:val="nil"/>
              <w:right w:val="nil"/>
            </w:tcBorders>
            <w:shd w:val="clear" w:color="auto" w:fill="auto"/>
            <w:vAlign w:val="center"/>
          </w:tcPr>
          <w:p w14:paraId="3A8A69FB" w14:textId="77777777" w:rsidR="009C05AE" w:rsidRPr="009C05AE" w:rsidRDefault="009C05AE" w:rsidP="009C05AE">
            <w:pPr>
              <w:ind w:firstLine="0"/>
              <w:jc w:val="center"/>
              <w:rPr>
                <w:sz w:val="20"/>
                <w:szCs w:val="20"/>
              </w:rPr>
            </w:pPr>
            <w:r w:rsidRPr="009C05AE">
              <w:rPr>
                <w:sz w:val="20"/>
                <w:szCs w:val="20"/>
              </w:rPr>
              <w:t>24,2139</w:t>
            </w:r>
          </w:p>
        </w:tc>
        <w:tc>
          <w:tcPr>
            <w:tcW w:w="1172" w:type="dxa"/>
            <w:tcBorders>
              <w:top w:val="nil"/>
              <w:left w:val="nil"/>
              <w:bottom w:val="nil"/>
              <w:right w:val="nil"/>
            </w:tcBorders>
            <w:shd w:val="clear" w:color="auto" w:fill="auto"/>
            <w:vAlign w:val="center"/>
          </w:tcPr>
          <w:p w14:paraId="6B10A16A" w14:textId="77777777" w:rsidR="009C05AE" w:rsidRPr="009C05AE" w:rsidRDefault="009C05AE" w:rsidP="009C05AE">
            <w:pPr>
              <w:ind w:firstLine="0"/>
              <w:jc w:val="center"/>
              <w:rPr>
                <w:sz w:val="20"/>
                <w:szCs w:val="20"/>
              </w:rPr>
            </w:pPr>
            <w:r w:rsidRPr="009C05AE">
              <w:rPr>
                <w:sz w:val="20"/>
                <w:szCs w:val="20"/>
              </w:rPr>
              <w:t>24,1436</w:t>
            </w:r>
          </w:p>
        </w:tc>
        <w:tc>
          <w:tcPr>
            <w:tcW w:w="1486" w:type="dxa"/>
            <w:tcBorders>
              <w:top w:val="nil"/>
              <w:left w:val="nil"/>
              <w:bottom w:val="nil"/>
              <w:right w:val="nil"/>
            </w:tcBorders>
            <w:shd w:val="clear" w:color="auto" w:fill="auto"/>
            <w:vAlign w:val="center"/>
          </w:tcPr>
          <w:p w14:paraId="780D5A89" w14:textId="77777777" w:rsidR="009C05AE" w:rsidRPr="009C05AE" w:rsidRDefault="009C05AE" w:rsidP="009C05AE">
            <w:pPr>
              <w:ind w:firstLine="0"/>
              <w:jc w:val="center"/>
              <w:rPr>
                <w:sz w:val="20"/>
                <w:szCs w:val="20"/>
              </w:rPr>
            </w:pPr>
            <w:r w:rsidRPr="009C05AE">
              <w:rPr>
                <w:sz w:val="20"/>
                <w:szCs w:val="20"/>
              </w:rPr>
              <w:t>1,09041</w:t>
            </w:r>
          </w:p>
        </w:tc>
        <w:tc>
          <w:tcPr>
            <w:tcW w:w="1360" w:type="dxa"/>
            <w:tcBorders>
              <w:top w:val="nil"/>
              <w:left w:val="nil"/>
              <w:bottom w:val="nil"/>
              <w:right w:val="nil"/>
            </w:tcBorders>
            <w:shd w:val="clear" w:color="auto" w:fill="auto"/>
            <w:vAlign w:val="center"/>
          </w:tcPr>
          <w:p w14:paraId="335743DD" w14:textId="77777777" w:rsidR="009C05AE" w:rsidRPr="009C05AE" w:rsidRDefault="009C05AE" w:rsidP="009C05AE">
            <w:pPr>
              <w:ind w:firstLine="0"/>
              <w:jc w:val="center"/>
              <w:rPr>
                <w:sz w:val="20"/>
                <w:szCs w:val="20"/>
              </w:rPr>
            </w:pPr>
            <w:r w:rsidRPr="009C05AE">
              <w:rPr>
                <w:sz w:val="20"/>
                <w:szCs w:val="20"/>
              </w:rPr>
              <w:t>22,1148</w:t>
            </w:r>
          </w:p>
        </w:tc>
        <w:tc>
          <w:tcPr>
            <w:tcW w:w="1381" w:type="dxa"/>
            <w:tcBorders>
              <w:top w:val="nil"/>
              <w:left w:val="nil"/>
              <w:bottom w:val="nil"/>
              <w:right w:val="nil"/>
            </w:tcBorders>
            <w:shd w:val="clear" w:color="auto" w:fill="auto"/>
            <w:vAlign w:val="center"/>
          </w:tcPr>
          <w:p w14:paraId="35D34622" w14:textId="77777777" w:rsidR="009C05AE" w:rsidRPr="009C05AE" w:rsidRDefault="009C05AE" w:rsidP="009C05AE">
            <w:pPr>
              <w:ind w:firstLine="0"/>
              <w:jc w:val="center"/>
              <w:rPr>
                <w:sz w:val="20"/>
                <w:szCs w:val="20"/>
              </w:rPr>
            </w:pPr>
            <w:r w:rsidRPr="009C05AE">
              <w:rPr>
                <w:sz w:val="20"/>
                <w:szCs w:val="20"/>
              </w:rPr>
              <w:t>27,4807</w:t>
            </w:r>
          </w:p>
        </w:tc>
      </w:tr>
      <w:tr w:rsidR="009C05AE" w:rsidRPr="009C05AE" w14:paraId="0337BEBC" w14:textId="77777777" w:rsidTr="009C05AE">
        <w:trPr>
          <w:trHeight w:val="282"/>
        </w:trPr>
        <w:tc>
          <w:tcPr>
            <w:tcW w:w="1423" w:type="dxa"/>
            <w:tcBorders>
              <w:top w:val="nil"/>
              <w:left w:val="nil"/>
              <w:bottom w:val="nil"/>
              <w:right w:val="nil"/>
            </w:tcBorders>
            <w:shd w:val="clear" w:color="auto" w:fill="auto"/>
            <w:vAlign w:val="center"/>
          </w:tcPr>
          <w:p w14:paraId="1206AA1F" w14:textId="77777777" w:rsidR="009C05AE" w:rsidRPr="009C05AE" w:rsidRDefault="009C05AE" w:rsidP="009C05AE">
            <w:pPr>
              <w:ind w:firstLine="0"/>
              <w:jc w:val="center"/>
              <w:rPr>
                <w:sz w:val="20"/>
                <w:szCs w:val="20"/>
                <w:vertAlign w:val="subscript"/>
              </w:rPr>
            </w:pPr>
            <w:proofErr w:type="spellStart"/>
            <w:r w:rsidRPr="009C05AE">
              <w:rPr>
                <w:sz w:val="20"/>
                <w:szCs w:val="20"/>
              </w:rPr>
              <w:t>RENT</w:t>
            </w:r>
            <w:r w:rsidRPr="009C05AE">
              <w:rPr>
                <w:sz w:val="20"/>
                <w:szCs w:val="20"/>
                <w:vertAlign w:val="subscript"/>
              </w:rPr>
              <w:t>it</w:t>
            </w:r>
            <w:proofErr w:type="spellEnd"/>
          </w:p>
        </w:tc>
        <w:tc>
          <w:tcPr>
            <w:tcW w:w="1465" w:type="dxa"/>
            <w:tcBorders>
              <w:top w:val="nil"/>
              <w:left w:val="nil"/>
              <w:bottom w:val="nil"/>
              <w:right w:val="nil"/>
            </w:tcBorders>
            <w:shd w:val="clear" w:color="auto" w:fill="auto"/>
            <w:vAlign w:val="center"/>
          </w:tcPr>
          <w:p w14:paraId="24B92EE5" w14:textId="77777777" w:rsidR="009C05AE" w:rsidRPr="009C05AE" w:rsidRDefault="009C05AE" w:rsidP="009C05AE">
            <w:pPr>
              <w:ind w:firstLine="0"/>
              <w:jc w:val="center"/>
              <w:rPr>
                <w:sz w:val="20"/>
                <w:szCs w:val="20"/>
              </w:rPr>
            </w:pPr>
            <w:r w:rsidRPr="009C05AE">
              <w:rPr>
                <w:sz w:val="20"/>
                <w:szCs w:val="20"/>
              </w:rPr>
              <w:t>96</w:t>
            </w:r>
          </w:p>
        </w:tc>
        <w:tc>
          <w:tcPr>
            <w:tcW w:w="1193" w:type="dxa"/>
            <w:tcBorders>
              <w:top w:val="nil"/>
              <w:left w:val="nil"/>
              <w:bottom w:val="nil"/>
              <w:right w:val="nil"/>
            </w:tcBorders>
            <w:shd w:val="clear" w:color="auto" w:fill="auto"/>
            <w:vAlign w:val="center"/>
          </w:tcPr>
          <w:p w14:paraId="6F48D38A" w14:textId="77777777" w:rsidR="009C05AE" w:rsidRPr="009C05AE" w:rsidRDefault="009C05AE" w:rsidP="009C05AE">
            <w:pPr>
              <w:ind w:firstLine="0"/>
              <w:jc w:val="center"/>
              <w:rPr>
                <w:sz w:val="20"/>
                <w:szCs w:val="20"/>
              </w:rPr>
            </w:pPr>
            <w:r w:rsidRPr="009C05AE">
              <w:rPr>
                <w:sz w:val="20"/>
                <w:szCs w:val="20"/>
              </w:rPr>
              <w:t>0,19662</w:t>
            </w:r>
          </w:p>
        </w:tc>
        <w:tc>
          <w:tcPr>
            <w:tcW w:w="1172" w:type="dxa"/>
            <w:tcBorders>
              <w:top w:val="nil"/>
              <w:left w:val="nil"/>
              <w:bottom w:val="nil"/>
              <w:right w:val="nil"/>
            </w:tcBorders>
            <w:shd w:val="clear" w:color="auto" w:fill="auto"/>
            <w:vAlign w:val="center"/>
          </w:tcPr>
          <w:p w14:paraId="57E858DB" w14:textId="77777777" w:rsidR="009C05AE" w:rsidRPr="009C05AE" w:rsidRDefault="009C05AE" w:rsidP="009C05AE">
            <w:pPr>
              <w:ind w:firstLine="0"/>
              <w:jc w:val="center"/>
              <w:rPr>
                <w:sz w:val="20"/>
                <w:szCs w:val="20"/>
              </w:rPr>
            </w:pPr>
            <w:r w:rsidRPr="009C05AE">
              <w:rPr>
                <w:sz w:val="20"/>
                <w:szCs w:val="20"/>
              </w:rPr>
              <w:t>0,14301</w:t>
            </w:r>
          </w:p>
        </w:tc>
        <w:tc>
          <w:tcPr>
            <w:tcW w:w="1486" w:type="dxa"/>
            <w:tcBorders>
              <w:top w:val="nil"/>
              <w:left w:val="nil"/>
              <w:bottom w:val="nil"/>
              <w:right w:val="nil"/>
            </w:tcBorders>
            <w:shd w:val="clear" w:color="auto" w:fill="auto"/>
            <w:vAlign w:val="center"/>
          </w:tcPr>
          <w:p w14:paraId="07A5AFFD" w14:textId="77777777" w:rsidR="009C05AE" w:rsidRPr="009C05AE" w:rsidRDefault="009C05AE" w:rsidP="009C05AE">
            <w:pPr>
              <w:ind w:firstLine="0"/>
              <w:jc w:val="center"/>
              <w:rPr>
                <w:sz w:val="20"/>
                <w:szCs w:val="20"/>
              </w:rPr>
            </w:pPr>
            <w:r w:rsidRPr="009C05AE">
              <w:rPr>
                <w:sz w:val="20"/>
                <w:szCs w:val="20"/>
              </w:rPr>
              <w:t>0,28638</w:t>
            </w:r>
          </w:p>
        </w:tc>
        <w:tc>
          <w:tcPr>
            <w:tcW w:w="1360" w:type="dxa"/>
            <w:tcBorders>
              <w:top w:val="nil"/>
              <w:left w:val="nil"/>
              <w:bottom w:val="nil"/>
              <w:right w:val="nil"/>
            </w:tcBorders>
            <w:shd w:val="clear" w:color="auto" w:fill="auto"/>
            <w:vAlign w:val="center"/>
          </w:tcPr>
          <w:p w14:paraId="7A5D3BFF" w14:textId="77777777" w:rsidR="009C05AE" w:rsidRPr="009C05AE" w:rsidRDefault="009C05AE" w:rsidP="009C05AE">
            <w:pPr>
              <w:ind w:firstLine="0"/>
              <w:jc w:val="center"/>
              <w:rPr>
                <w:sz w:val="20"/>
                <w:szCs w:val="20"/>
              </w:rPr>
            </w:pPr>
            <w:r w:rsidRPr="009C05AE">
              <w:rPr>
                <w:sz w:val="20"/>
                <w:szCs w:val="20"/>
              </w:rPr>
              <w:t>-0,23708</w:t>
            </w:r>
          </w:p>
        </w:tc>
        <w:tc>
          <w:tcPr>
            <w:tcW w:w="1381" w:type="dxa"/>
            <w:tcBorders>
              <w:top w:val="nil"/>
              <w:left w:val="nil"/>
              <w:bottom w:val="nil"/>
              <w:right w:val="nil"/>
            </w:tcBorders>
            <w:shd w:val="clear" w:color="auto" w:fill="auto"/>
            <w:vAlign w:val="center"/>
          </w:tcPr>
          <w:p w14:paraId="65D3A397" w14:textId="77777777" w:rsidR="009C05AE" w:rsidRPr="009C05AE" w:rsidRDefault="009C05AE" w:rsidP="009C05AE">
            <w:pPr>
              <w:ind w:firstLine="0"/>
              <w:jc w:val="center"/>
              <w:rPr>
                <w:sz w:val="20"/>
                <w:szCs w:val="20"/>
              </w:rPr>
            </w:pPr>
            <w:r w:rsidRPr="009C05AE">
              <w:rPr>
                <w:sz w:val="20"/>
                <w:szCs w:val="20"/>
              </w:rPr>
              <w:t>1,97792</w:t>
            </w:r>
          </w:p>
        </w:tc>
      </w:tr>
      <w:tr w:rsidR="009C05AE" w:rsidRPr="009C05AE" w14:paraId="55529ACE" w14:textId="77777777" w:rsidTr="009C05AE">
        <w:trPr>
          <w:trHeight w:val="282"/>
        </w:trPr>
        <w:tc>
          <w:tcPr>
            <w:tcW w:w="1423" w:type="dxa"/>
            <w:tcBorders>
              <w:top w:val="nil"/>
              <w:left w:val="nil"/>
              <w:bottom w:val="nil"/>
              <w:right w:val="nil"/>
            </w:tcBorders>
            <w:shd w:val="clear" w:color="auto" w:fill="auto"/>
            <w:vAlign w:val="center"/>
          </w:tcPr>
          <w:p w14:paraId="0C9CF4D6" w14:textId="77777777" w:rsidR="009C05AE" w:rsidRPr="009C05AE" w:rsidRDefault="009C05AE" w:rsidP="009C05AE">
            <w:pPr>
              <w:ind w:firstLine="0"/>
              <w:jc w:val="center"/>
              <w:rPr>
                <w:sz w:val="20"/>
                <w:szCs w:val="20"/>
                <w:vertAlign w:val="subscript"/>
              </w:rPr>
            </w:pPr>
            <w:proofErr w:type="spellStart"/>
            <w:r w:rsidRPr="009C05AE">
              <w:rPr>
                <w:sz w:val="20"/>
                <w:szCs w:val="20"/>
              </w:rPr>
              <w:t>END</w:t>
            </w:r>
            <w:r w:rsidRPr="009C05AE">
              <w:rPr>
                <w:sz w:val="20"/>
                <w:szCs w:val="20"/>
                <w:vertAlign w:val="subscript"/>
              </w:rPr>
              <w:t>it</w:t>
            </w:r>
            <w:proofErr w:type="spellEnd"/>
          </w:p>
        </w:tc>
        <w:tc>
          <w:tcPr>
            <w:tcW w:w="1465" w:type="dxa"/>
            <w:tcBorders>
              <w:top w:val="nil"/>
              <w:left w:val="nil"/>
              <w:bottom w:val="nil"/>
              <w:right w:val="nil"/>
            </w:tcBorders>
            <w:shd w:val="clear" w:color="auto" w:fill="auto"/>
            <w:vAlign w:val="center"/>
          </w:tcPr>
          <w:p w14:paraId="7C69749B" w14:textId="77777777" w:rsidR="009C05AE" w:rsidRPr="009C05AE" w:rsidRDefault="009C05AE" w:rsidP="009C05AE">
            <w:pPr>
              <w:ind w:firstLine="0"/>
              <w:jc w:val="center"/>
              <w:rPr>
                <w:sz w:val="20"/>
                <w:szCs w:val="20"/>
              </w:rPr>
            </w:pPr>
            <w:r w:rsidRPr="009C05AE">
              <w:rPr>
                <w:sz w:val="20"/>
                <w:szCs w:val="20"/>
              </w:rPr>
              <w:t>96</w:t>
            </w:r>
          </w:p>
        </w:tc>
        <w:tc>
          <w:tcPr>
            <w:tcW w:w="1193" w:type="dxa"/>
            <w:tcBorders>
              <w:top w:val="nil"/>
              <w:left w:val="nil"/>
              <w:bottom w:val="nil"/>
              <w:right w:val="nil"/>
            </w:tcBorders>
            <w:shd w:val="clear" w:color="auto" w:fill="auto"/>
            <w:vAlign w:val="center"/>
          </w:tcPr>
          <w:p w14:paraId="74AB5E59" w14:textId="77777777" w:rsidR="009C05AE" w:rsidRPr="009C05AE" w:rsidRDefault="009C05AE" w:rsidP="009C05AE">
            <w:pPr>
              <w:ind w:firstLine="0"/>
              <w:jc w:val="center"/>
              <w:rPr>
                <w:sz w:val="20"/>
                <w:szCs w:val="20"/>
              </w:rPr>
            </w:pPr>
            <w:r w:rsidRPr="009C05AE">
              <w:rPr>
                <w:sz w:val="20"/>
                <w:szCs w:val="20"/>
              </w:rPr>
              <w:t>1,54049</w:t>
            </w:r>
          </w:p>
        </w:tc>
        <w:tc>
          <w:tcPr>
            <w:tcW w:w="1172" w:type="dxa"/>
            <w:tcBorders>
              <w:top w:val="nil"/>
              <w:left w:val="nil"/>
              <w:bottom w:val="nil"/>
              <w:right w:val="nil"/>
            </w:tcBorders>
            <w:shd w:val="clear" w:color="auto" w:fill="auto"/>
            <w:vAlign w:val="center"/>
          </w:tcPr>
          <w:p w14:paraId="6D4F7D95" w14:textId="77777777" w:rsidR="009C05AE" w:rsidRPr="009C05AE" w:rsidRDefault="009C05AE" w:rsidP="009C05AE">
            <w:pPr>
              <w:ind w:firstLine="0"/>
              <w:jc w:val="center"/>
              <w:rPr>
                <w:sz w:val="20"/>
                <w:szCs w:val="20"/>
              </w:rPr>
            </w:pPr>
            <w:r w:rsidRPr="009C05AE">
              <w:rPr>
                <w:sz w:val="20"/>
                <w:szCs w:val="20"/>
              </w:rPr>
              <w:t>0,98739</w:t>
            </w:r>
          </w:p>
        </w:tc>
        <w:tc>
          <w:tcPr>
            <w:tcW w:w="1486" w:type="dxa"/>
            <w:tcBorders>
              <w:top w:val="nil"/>
              <w:left w:val="nil"/>
              <w:bottom w:val="nil"/>
              <w:right w:val="nil"/>
            </w:tcBorders>
            <w:shd w:val="clear" w:color="auto" w:fill="auto"/>
            <w:vAlign w:val="center"/>
          </w:tcPr>
          <w:p w14:paraId="1D91A3B5" w14:textId="77777777" w:rsidR="009C05AE" w:rsidRPr="009C05AE" w:rsidRDefault="009C05AE" w:rsidP="009C05AE">
            <w:pPr>
              <w:ind w:firstLine="0"/>
              <w:jc w:val="center"/>
              <w:rPr>
                <w:sz w:val="20"/>
                <w:szCs w:val="20"/>
              </w:rPr>
            </w:pPr>
            <w:r w:rsidRPr="009C05AE">
              <w:rPr>
                <w:sz w:val="20"/>
                <w:szCs w:val="20"/>
              </w:rPr>
              <w:t>1,79334</w:t>
            </w:r>
          </w:p>
        </w:tc>
        <w:tc>
          <w:tcPr>
            <w:tcW w:w="1360" w:type="dxa"/>
            <w:tcBorders>
              <w:top w:val="nil"/>
              <w:left w:val="nil"/>
              <w:bottom w:val="nil"/>
              <w:right w:val="nil"/>
            </w:tcBorders>
            <w:shd w:val="clear" w:color="auto" w:fill="auto"/>
            <w:vAlign w:val="center"/>
          </w:tcPr>
          <w:p w14:paraId="774223DA" w14:textId="77777777" w:rsidR="009C05AE" w:rsidRPr="009C05AE" w:rsidRDefault="009C05AE" w:rsidP="009C05AE">
            <w:pPr>
              <w:ind w:firstLine="0"/>
              <w:jc w:val="center"/>
              <w:rPr>
                <w:sz w:val="20"/>
                <w:szCs w:val="20"/>
              </w:rPr>
            </w:pPr>
            <w:r w:rsidRPr="009C05AE">
              <w:rPr>
                <w:sz w:val="20"/>
                <w:szCs w:val="20"/>
              </w:rPr>
              <w:t>0,01998</w:t>
            </w:r>
          </w:p>
        </w:tc>
        <w:tc>
          <w:tcPr>
            <w:tcW w:w="1381" w:type="dxa"/>
            <w:tcBorders>
              <w:top w:val="nil"/>
              <w:left w:val="nil"/>
              <w:bottom w:val="nil"/>
              <w:right w:val="nil"/>
            </w:tcBorders>
            <w:shd w:val="clear" w:color="auto" w:fill="auto"/>
            <w:vAlign w:val="center"/>
          </w:tcPr>
          <w:p w14:paraId="3F665EE0" w14:textId="77777777" w:rsidR="009C05AE" w:rsidRPr="009C05AE" w:rsidRDefault="009C05AE" w:rsidP="009C05AE">
            <w:pPr>
              <w:ind w:firstLine="0"/>
              <w:jc w:val="center"/>
              <w:rPr>
                <w:sz w:val="20"/>
                <w:szCs w:val="20"/>
              </w:rPr>
            </w:pPr>
            <w:r w:rsidRPr="009C05AE">
              <w:rPr>
                <w:sz w:val="20"/>
                <w:szCs w:val="20"/>
              </w:rPr>
              <w:t>12,3307</w:t>
            </w:r>
          </w:p>
        </w:tc>
      </w:tr>
      <w:tr w:rsidR="009C05AE" w:rsidRPr="009C05AE" w14:paraId="185CB657" w14:textId="77777777" w:rsidTr="009C05AE">
        <w:trPr>
          <w:trHeight w:val="282"/>
        </w:trPr>
        <w:tc>
          <w:tcPr>
            <w:tcW w:w="1423" w:type="dxa"/>
            <w:tcBorders>
              <w:top w:val="nil"/>
              <w:left w:val="nil"/>
              <w:bottom w:val="single" w:sz="4" w:space="0" w:color="000000"/>
              <w:right w:val="nil"/>
            </w:tcBorders>
            <w:shd w:val="clear" w:color="auto" w:fill="auto"/>
            <w:vAlign w:val="center"/>
          </w:tcPr>
          <w:p w14:paraId="5D09AC19" w14:textId="77777777" w:rsidR="009C05AE" w:rsidRPr="009C05AE" w:rsidRDefault="009C05AE" w:rsidP="009C05AE">
            <w:pPr>
              <w:ind w:firstLine="0"/>
              <w:jc w:val="center"/>
              <w:rPr>
                <w:sz w:val="20"/>
                <w:szCs w:val="20"/>
                <w:vertAlign w:val="subscript"/>
              </w:rPr>
            </w:pPr>
            <w:proofErr w:type="spellStart"/>
            <w:r w:rsidRPr="009C05AE">
              <w:rPr>
                <w:sz w:val="20"/>
                <w:szCs w:val="20"/>
              </w:rPr>
              <w:t>GOV</w:t>
            </w:r>
            <w:r w:rsidRPr="009C05AE">
              <w:rPr>
                <w:sz w:val="20"/>
                <w:szCs w:val="20"/>
                <w:vertAlign w:val="subscript"/>
              </w:rPr>
              <w:t>it</w:t>
            </w:r>
            <w:proofErr w:type="spellEnd"/>
          </w:p>
        </w:tc>
        <w:tc>
          <w:tcPr>
            <w:tcW w:w="1465" w:type="dxa"/>
            <w:tcBorders>
              <w:top w:val="nil"/>
              <w:left w:val="nil"/>
              <w:bottom w:val="single" w:sz="4" w:space="0" w:color="000000"/>
              <w:right w:val="nil"/>
            </w:tcBorders>
            <w:shd w:val="clear" w:color="auto" w:fill="auto"/>
            <w:vAlign w:val="center"/>
          </w:tcPr>
          <w:p w14:paraId="571C1E10" w14:textId="77777777" w:rsidR="009C05AE" w:rsidRPr="009C05AE" w:rsidRDefault="009C05AE" w:rsidP="009C05AE">
            <w:pPr>
              <w:ind w:firstLine="0"/>
              <w:jc w:val="center"/>
              <w:rPr>
                <w:sz w:val="20"/>
                <w:szCs w:val="20"/>
              </w:rPr>
            </w:pPr>
            <w:r w:rsidRPr="009C05AE">
              <w:rPr>
                <w:sz w:val="20"/>
                <w:szCs w:val="20"/>
              </w:rPr>
              <w:t>96</w:t>
            </w:r>
          </w:p>
        </w:tc>
        <w:tc>
          <w:tcPr>
            <w:tcW w:w="1193" w:type="dxa"/>
            <w:tcBorders>
              <w:top w:val="nil"/>
              <w:left w:val="nil"/>
              <w:bottom w:val="single" w:sz="4" w:space="0" w:color="000000"/>
              <w:right w:val="nil"/>
            </w:tcBorders>
            <w:shd w:val="clear" w:color="auto" w:fill="auto"/>
            <w:vAlign w:val="center"/>
          </w:tcPr>
          <w:p w14:paraId="6CBA23A0" w14:textId="77777777" w:rsidR="009C05AE" w:rsidRPr="009C05AE" w:rsidRDefault="009C05AE" w:rsidP="009C05AE">
            <w:pPr>
              <w:ind w:firstLine="0"/>
              <w:jc w:val="center"/>
              <w:rPr>
                <w:sz w:val="20"/>
                <w:szCs w:val="20"/>
              </w:rPr>
            </w:pPr>
            <w:r w:rsidRPr="009C05AE">
              <w:rPr>
                <w:sz w:val="20"/>
                <w:szCs w:val="20"/>
              </w:rPr>
              <w:t>0,875</w:t>
            </w:r>
          </w:p>
        </w:tc>
        <w:tc>
          <w:tcPr>
            <w:tcW w:w="1172" w:type="dxa"/>
            <w:tcBorders>
              <w:top w:val="nil"/>
              <w:left w:val="nil"/>
              <w:bottom w:val="single" w:sz="4" w:space="0" w:color="000000"/>
              <w:right w:val="nil"/>
            </w:tcBorders>
            <w:shd w:val="clear" w:color="auto" w:fill="auto"/>
            <w:vAlign w:val="center"/>
          </w:tcPr>
          <w:p w14:paraId="3BF5ACD5" w14:textId="77777777" w:rsidR="009C05AE" w:rsidRPr="009C05AE" w:rsidRDefault="009C05AE" w:rsidP="009C05AE">
            <w:pPr>
              <w:ind w:firstLine="0"/>
              <w:jc w:val="center"/>
              <w:rPr>
                <w:sz w:val="20"/>
                <w:szCs w:val="20"/>
              </w:rPr>
            </w:pPr>
            <w:r w:rsidRPr="009C05AE">
              <w:rPr>
                <w:sz w:val="20"/>
                <w:szCs w:val="20"/>
              </w:rPr>
              <w:t>1</w:t>
            </w:r>
          </w:p>
        </w:tc>
        <w:tc>
          <w:tcPr>
            <w:tcW w:w="1486" w:type="dxa"/>
            <w:tcBorders>
              <w:top w:val="nil"/>
              <w:left w:val="nil"/>
              <w:bottom w:val="single" w:sz="4" w:space="0" w:color="000000"/>
              <w:right w:val="nil"/>
            </w:tcBorders>
            <w:shd w:val="clear" w:color="auto" w:fill="auto"/>
            <w:vAlign w:val="center"/>
          </w:tcPr>
          <w:p w14:paraId="5AF43D05" w14:textId="77777777" w:rsidR="009C05AE" w:rsidRPr="009C05AE" w:rsidRDefault="009C05AE" w:rsidP="009C05AE">
            <w:pPr>
              <w:ind w:firstLine="0"/>
              <w:jc w:val="center"/>
              <w:rPr>
                <w:sz w:val="20"/>
                <w:szCs w:val="20"/>
              </w:rPr>
            </w:pPr>
            <w:r w:rsidRPr="009C05AE">
              <w:rPr>
                <w:sz w:val="20"/>
                <w:szCs w:val="20"/>
              </w:rPr>
              <w:t>0,33245</w:t>
            </w:r>
          </w:p>
        </w:tc>
        <w:tc>
          <w:tcPr>
            <w:tcW w:w="1360" w:type="dxa"/>
            <w:tcBorders>
              <w:top w:val="nil"/>
              <w:left w:val="nil"/>
              <w:bottom w:val="single" w:sz="4" w:space="0" w:color="000000"/>
              <w:right w:val="nil"/>
            </w:tcBorders>
            <w:shd w:val="clear" w:color="auto" w:fill="auto"/>
            <w:vAlign w:val="center"/>
          </w:tcPr>
          <w:p w14:paraId="66D5DA41" w14:textId="77777777" w:rsidR="009C05AE" w:rsidRPr="009C05AE" w:rsidRDefault="009C05AE" w:rsidP="009C05AE">
            <w:pPr>
              <w:ind w:firstLine="0"/>
              <w:jc w:val="center"/>
              <w:rPr>
                <w:sz w:val="20"/>
                <w:szCs w:val="20"/>
              </w:rPr>
            </w:pPr>
            <w:r w:rsidRPr="009C05AE">
              <w:rPr>
                <w:sz w:val="20"/>
                <w:szCs w:val="20"/>
              </w:rPr>
              <w:t>0</w:t>
            </w:r>
          </w:p>
        </w:tc>
        <w:tc>
          <w:tcPr>
            <w:tcW w:w="1381" w:type="dxa"/>
            <w:tcBorders>
              <w:top w:val="nil"/>
              <w:left w:val="nil"/>
              <w:bottom w:val="single" w:sz="4" w:space="0" w:color="000000"/>
              <w:right w:val="nil"/>
            </w:tcBorders>
            <w:shd w:val="clear" w:color="auto" w:fill="auto"/>
            <w:vAlign w:val="center"/>
          </w:tcPr>
          <w:p w14:paraId="3522EFF7" w14:textId="77777777" w:rsidR="009C05AE" w:rsidRPr="009C05AE" w:rsidRDefault="009C05AE" w:rsidP="009C05AE">
            <w:pPr>
              <w:ind w:firstLine="0"/>
              <w:jc w:val="center"/>
              <w:rPr>
                <w:sz w:val="20"/>
                <w:szCs w:val="20"/>
              </w:rPr>
            </w:pPr>
            <w:r w:rsidRPr="009C05AE">
              <w:rPr>
                <w:sz w:val="20"/>
                <w:szCs w:val="20"/>
              </w:rPr>
              <w:t>1</w:t>
            </w:r>
          </w:p>
        </w:tc>
      </w:tr>
    </w:tbl>
    <w:p w14:paraId="37CBF8C1" w14:textId="77777777" w:rsidR="009C05AE" w:rsidRPr="009C05AE" w:rsidRDefault="009C05AE" w:rsidP="009C05AE">
      <w:pPr>
        <w:ind w:firstLine="0"/>
        <w:jc w:val="left"/>
        <w:rPr>
          <w:sz w:val="20"/>
          <w:szCs w:val="20"/>
        </w:rPr>
      </w:pPr>
      <w:r w:rsidRPr="006A4866">
        <w:rPr>
          <w:b/>
          <w:bCs/>
          <w:sz w:val="20"/>
          <w:szCs w:val="20"/>
        </w:rPr>
        <w:t>Fonte:</w:t>
      </w:r>
      <w:r w:rsidRPr="009C05AE">
        <w:rPr>
          <w:sz w:val="20"/>
          <w:szCs w:val="20"/>
        </w:rPr>
        <w:t xml:space="preserve"> Dados da Pesquisa, 2019.</w:t>
      </w:r>
    </w:p>
    <w:p w14:paraId="2712D317" w14:textId="77777777" w:rsidR="009C05AE" w:rsidRPr="009C05AE" w:rsidRDefault="009C05AE" w:rsidP="009C05AE">
      <w:pPr>
        <w:ind w:firstLine="0"/>
      </w:pPr>
    </w:p>
    <w:p w14:paraId="1838DE11" w14:textId="77777777" w:rsidR="009C05AE" w:rsidRPr="009C05AE" w:rsidRDefault="009C05AE" w:rsidP="009C05AE">
      <w:r w:rsidRPr="009C05AE">
        <w:t xml:space="preserve">A variável </w:t>
      </w:r>
      <w:proofErr w:type="spellStart"/>
      <w:r w:rsidRPr="009C05AE">
        <w:t>NDCI</w:t>
      </w:r>
      <w:r w:rsidRPr="009C05AE">
        <w:rPr>
          <w:vertAlign w:val="subscript"/>
        </w:rPr>
        <w:t>it</w:t>
      </w:r>
      <w:proofErr w:type="spellEnd"/>
      <w:r w:rsidRPr="009C05AE">
        <w:t xml:space="preserve">, correspondente ao “Nível de </w:t>
      </w:r>
      <w:proofErr w:type="spellStart"/>
      <w:r w:rsidRPr="009C05AE">
        <w:rPr>
          <w:i/>
        </w:rPr>
        <w:t>Disclosure</w:t>
      </w:r>
      <w:proofErr w:type="spellEnd"/>
      <w:r w:rsidRPr="009C05AE">
        <w:t xml:space="preserve"> do Capital Intelectual”, demonstrou que as empresas que compuseram a amostra evidenciaram em média 53,16% do total de informações que poderiam ser divulgadas, baseado na perspectiva de </w:t>
      </w:r>
      <w:proofErr w:type="spellStart"/>
      <w:r w:rsidRPr="009C05AE">
        <w:t>Backes</w:t>
      </w:r>
      <w:proofErr w:type="spellEnd"/>
      <w:r w:rsidRPr="009C05AE">
        <w:t xml:space="preserve">, </w:t>
      </w:r>
      <w:proofErr w:type="spellStart"/>
      <w:r w:rsidRPr="009C05AE">
        <w:t>Ott</w:t>
      </w:r>
      <w:proofErr w:type="spellEnd"/>
      <w:r w:rsidRPr="009C05AE">
        <w:t xml:space="preserve">, </w:t>
      </w:r>
      <w:proofErr w:type="spellStart"/>
      <w:r w:rsidRPr="009C05AE">
        <w:t>Wiethaeuper</w:t>
      </w:r>
      <w:proofErr w:type="spellEnd"/>
      <w:r w:rsidRPr="009C05AE">
        <w:t xml:space="preserve"> (2005) e Reina et al (2009), representando assim uma razoável evidenciação das questões propostas. Esse valor condiz com o esperado, devido aos conflitos apontados pela literatura nesse </w:t>
      </w:r>
      <w:r w:rsidRPr="009C05AE">
        <w:lastRenderedPageBreak/>
        <w:t>tipo de divulgação.</w:t>
      </w:r>
    </w:p>
    <w:p w14:paraId="58ABFB4E" w14:textId="77777777" w:rsidR="009C05AE" w:rsidRPr="009C05AE" w:rsidRDefault="009C05AE" w:rsidP="009C05AE">
      <w:r w:rsidRPr="009C05AE">
        <w:t xml:space="preserve">O desvio-padrão da NDCI foi de 18,93%, o que indica uma variação baixa dos dados em relação à média, apresentando-se uma amostra mais homogênea, sem grandes discrepâncias, sendo desnecessárias correções complementares. Destaca-se ainda que o nível mínimo de divulgação de informações do CI foi de 37,03%; já o máximo foi 77,77%. As demais variáveis estudadas também não apresentaram características de alta dispersão nos dados. </w:t>
      </w:r>
    </w:p>
    <w:p w14:paraId="58D4C3F7" w14:textId="77777777" w:rsidR="009C05AE" w:rsidRPr="009C05AE" w:rsidRDefault="009C05AE" w:rsidP="009C05AE">
      <w:r w:rsidRPr="009C05AE">
        <w:t xml:space="preserve">Percebe-se que a amostra apresentou valores de mínimo (22,1148) e máximo (27,4807) em relação a variável </w:t>
      </w:r>
      <w:proofErr w:type="spellStart"/>
      <w:r w:rsidRPr="009C05AE">
        <w:t>TAM</w:t>
      </w:r>
      <w:r w:rsidRPr="009C05AE">
        <w:rPr>
          <w:vertAlign w:val="subscript"/>
        </w:rPr>
        <w:t>it</w:t>
      </w:r>
      <w:proofErr w:type="spellEnd"/>
      <w:r w:rsidRPr="009C05AE">
        <w:t xml:space="preserve"> relativamente próximos, indicando que as empresas da amostra apresentaram mesmo porte. Destas empresas, 87% possuem governança corporativa associada aos seus negócios, classificadas em algum dos níveis da B</w:t>
      </w:r>
      <w:r w:rsidRPr="009C05AE">
        <w:rPr>
          <w:vertAlign w:val="subscript"/>
        </w:rPr>
        <w:t>3</w:t>
      </w:r>
      <w:r w:rsidRPr="009C05AE">
        <w:t>.</w:t>
      </w:r>
    </w:p>
    <w:p w14:paraId="756EB265" w14:textId="77777777" w:rsidR="009C05AE" w:rsidRPr="009C05AE" w:rsidRDefault="009C05AE" w:rsidP="009C05AE">
      <w:r w:rsidRPr="009C05AE">
        <w:t>Em média, a amostra aponta para um nível de rentabilidade (</w:t>
      </w:r>
      <w:proofErr w:type="spellStart"/>
      <w:r w:rsidRPr="009C05AE">
        <w:t>RENT</w:t>
      </w:r>
      <w:r w:rsidRPr="009C05AE">
        <w:rPr>
          <w:vertAlign w:val="subscript"/>
        </w:rPr>
        <w:t>it</w:t>
      </w:r>
      <w:proofErr w:type="spellEnd"/>
      <w:r w:rsidRPr="009C05AE">
        <w:t xml:space="preserve">) de 19,66%, relativamente baixo se levar em consideração que a amostra é composta por empresas de maior volatilidade do mercado. Assim como, tais companhias apresentam um alto índice médio de endividamento (1,54049), demonstrando que na maioria das empresas a alocação de recursos se origina mais pelo capital de terceiros do que pelo capital próprio. </w:t>
      </w:r>
    </w:p>
    <w:p w14:paraId="32BEBA76" w14:textId="77777777" w:rsidR="009C05AE" w:rsidRPr="009C05AE" w:rsidRDefault="009C05AE" w:rsidP="009C05AE">
      <w:r w:rsidRPr="009C05AE">
        <w:t xml:space="preserve">Para estimação do modelo 2, estimou-se os testes de especificação para verificar a adequação do modelo e comportamento das variáveis. O Teste de </w:t>
      </w:r>
      <w:proofErr w:type="spellStart"/>
      <w:r w:rsidRPr="009C05AE">
        <w:t>Chow</w:t>
      </w:r>
      <w:proofErr w:type="spellEnd"/>
      <w:r w:rsidRPr="009C05AE">
        <w:t xml:space="preserve">, </w:t>
      </w:r>
      <w:proofErr w:type="spellStart"/>
      <w:r w:rsidRPr="009C05AE">
        <w:rPr>
          <w:i/>
        </w:rPr>
        <w:t>Hausman</w:t>
      </w:r>
      <w:proofErr w:type="spellEnd"/>
      <w:r w:rsidRPr="009C05AE">
        <w:rPr>
          <w:i/>
        </w:rPr>
        <w:t xml:space="preserve"> e </w:t>
      </w:r>
      <w:proofErr w:type="spellStart"/>
      <w:r w:rsidRPr="009C05AE">
        <w:rPr>
          <w:i/>
        </w:rPr>
        <w:t>Breuch</w:t>
      </w:r>
      <w:proofErr w:type="spellEnd"/>
      <w:r w:rsidRPr="009C05AE">
        <w:rPr>
          <w:i/>
        </w:rPr>
        <w:t xml:space="preserve"> </w:t>
      </w:r>
      <w:proofErr w:type="spellStart"/>
      <w:r w:rsidRPr="009C05AE">
        <w:rPr>
          <w:i/>
        </w:rPr>
        <w:t>and</w:t>
      </w:r>
      <w:proofErr w:type="spellEnd"/>
      <w:r w:rsidRPr="009C05AE">
        <w:rPr>
          <w:i/>
        </w:rPr>
        <w:t xml:space="preserve"> </w:t>
      </w:r>
      <w:proofErr w:type="spellStart"/>
      <w:r w:rsidRPr="009C05AE">
        <w:rPr>
          <w:i/>
        </w:rPr>
        <w:t>Pagan</w:t>
      </w:r>
      <w:proofErr w:type="spellEnd"/>
      <w:r w:rsidRPr="009C05AE">
        <w:rPr>
          <w:i/>
        </w:rPr>
        <w:t xml:space="preserve"> </w:t>
      </w:r>
      <w:r w:rsidRPr="009C05AE">
        <w:t xml:space="preserve">demonstraram que a melhor estimação para o modelo 2 seria por efeitos aleatórios. Pelos Testes de </w:t>
      </w:r>
      <w:proofErr w:type="spellStart"/>
      <w:r w:rsidRPr="009C05AE">
        <w:rPr>
          <w:i/>
        </w:rPr>
        <w:t>Wooldridge</w:t>
      </w:r>
      <w:proofErr w:type="spellEnd"/>
      <w:r w:rsidRPr="009C05AE">
        <w:rPr>
          <w:i/>
        </w:rPr>
        <w:t xml:space="preserve"> </w:t>
      </w:r>
      <w:r w:rsidRPr="009C05AE">
        <w:t xml:space="preserve">(0,07) e </w:t>
      </w:r>
      <w:proofErr w:type="spellStart"/>
      <w:r w:rsidRPr="009C05AE">
        <w:rPr>
          <w:i/>
        </w:rPr>
        <w:t>Breusch-Pagan</w:t>
      </w:r>
      <w:proofErr w:type="spellEnd"/>
      <w:r w:rsidRPr="009C05AE">
        <w:rPr>
          <w:i/>
        </w:rPr>
        <w:t xml:space="preserve"> </w:t>
      </w:r>
      <w:r w:rsidRPr="009C05AE">
        <w:t xml:space="preserve">(0,0001), viu-se que os dados não apresentaram autocorrelação, porém detectou-se problemas de heterocedasticidade, sendo necessário estimação do modelo de regressão com dados em painel, de efeitos aleatórios com robustez, para correção desse problema. Destaca-se, ainda, a ausência de </w:t>
      </w:r>
      <w:proofErr w:type="spellStart"/>
      <w:r w:rsidRPr="009C05AE">
        <w:t>multicolinariedade</w:t>
      </w:r>
      <w:proofErr w:type="spellEnd"/>
      <w:r w:rsidRPr="009C05AE">
        <w:t xml:space="preserve"> entre as variáveis do modelo, visto que pelo indicador </w:t>
      </w:r>
      <w:r w:rsidRPr="009C05AE">
        <w:rPr>
          <w:i/>
        </w:rPr>
        <w:t>VIF</w:t>
      </w:r>
      <w:r w:rsidRPr="009C05AE">
        <w:t xml:space="preserve"> (4,64), e que apesar da não normalidade dos dados ser apresentada, de acordo com o Teste de </w:t>
      </w:r>
      <w:proofErr w:type="spellStart"/>
      <w:r w:rsidRPr="009C05AE">
        <w:rPr>
          <w:i/>
        </w:rPr>
        <w:t>Jarque-Bera</w:t>
      </w:r>
      <w:proofErr w:type="spellEnd"/>
      <w:r w:rsidRPr="009C05AE">
        <w:t xml:space="preserve"> (0,0297), tal pressuposto foi relaxado, mediante a teoria do limite central. A tabela 2 apresenta os resultados encontrados.</w:t>
      </w:r>
    </w:p>
    <w:p w14:paraId="5A041EC0" w14:textId="77777777" w:rsidR="009C05AE" w:rsidRPr="006A4866" w:rsidRDefault="009C05AE" w:rsidP="009C05AE">
      <w:pPr>
        <w:ind w:firstLine="0"/>
        <w:rPr>
          <w:b/>
          <w:bCs/>
        </w:rPr>
      </w:pPr>
    </w:p>
    <w:p w14:paraId="6B1C9C71" w14:textId="2B843CA8" w:rsidR="009C05AE" w:rsidRPr="009C05AE" w:rsidRDefault="009C05AE" w:rsidP="009C05AE">
      <w:pPr>
        <w:ind w:firstLine="0"/>
        <w:jc w:val="center"/>
        <w:rPr>
          <w:sz w:val="20"/>
          <w:szCs w:val="20"/>
        </w:rPr>
      </w:pPr>
      <w:r w:rsidRPr="006A4866">
        <w:rPr>
          <w:b/>
          <w:bCs/>
          <w:sz w:val="20"/>
          <w:szCs w:val="20"/>
        </w:rPr>
        <w:t>Tabela 2</w:t>
      </w:r>
      <w:r w:rsidR="006A4866">
        <w:rPr>
          <w:sz w:val="20"/>
          <w:szCs w:val="20"/>
        </w:rPr>
        <w:t xml:space="preserve"> -</w:t>
      </w:r>
      <w:r w:rsidRPr="009C05AE">
        <w:rPr>
          <w:sz w:val="20"/>
          <w:szCs w:val="20"/>
        </w:rPr>
        <w:t xml:space="preserve"> Resultados da Regressão do Modelo 2</w:t>
      </w:r>
    </w:p>
    <w:tbl>
      <w:tblPr>
        <w:tblW w:w="9389" w:type="dxa"/>
        <w:tblLayout w:type="fixed"/>
        <w:tblLook w:val="0400" w:firstRow="0" w:lastRow="0" w:firstColumn="0" w:lastColumn="0" w:noHBand="0" w:noVBand="1"/>
      </w:tblPr>
      <w:tblGrid>
        <w:gridCol w:w="3106"/>
        <w:gridCol w:w="1572"/>
        <w:gridCol w:w="3161"/>
        <w:gridCol w:w="1550"/>
      </w:tblGrid>
      <w:tr w:rsidR="009C05AE" w:rsidRPr="009C05AE" w14:paraId="61A84C34" w14:textId="77777777" w:rsidTr="009C05AE">
        <w:trPr>
          <w:trHeight w:val="301"/>
        </w:trPr>
        <w:tc>
          <w:tcPr>
            <w:tcW w:w="3106" w:type="dxa"/>
            <w:tcBorders>
              <w:top w:val="single" w:sz="4" w:space="0" w:color="000000"/>
              <w:left w:val="nil"/>
              <w:bottom w:val="single" w:sz="4" w:space="0" w:color="000000"/>
              <w:right w:val="nil"/>
            </w:tcBorders>
            <w:shd w:val="clear" w:color="auto" w:fill="auto"/>
            <w:vAlign w:val="center"/>
          </w:tcPr>
          <w:p w14:paraId="43AA7C15" w14:textId="77777777" w:rsidR="009C05AE" w:rsidRPr="009C05AE" w:rsidRDefault="009C05AE" w:rsidP="009C05AE">
            <w:pPr>
              <w:widowControl/>
              <w:ind w:firstLine="0"/>
              <w:jc w:val="center"/>
              <w:rPr>
                <w:b/>
                <w:color w:val="000000"/>
                <w:sz w:val="20"/>
                <w:szCs w:val="20"/>
              </w:rPr>
            </w:pPr>
            <w:r w:rsidRPr="009C05AE">
              <w:rPr>
                <w:b/>
                <w:color w:val="000000"/>
                <w:sz w:val="20"/>
                <w:szCs w:val="20"/>
              </w:rPr>
              <w:t>Variáveis</w:t>
            </w:r>
          </w:p>
        </w:tc>
        <w:tc>
          <w:tcPr>
            <w:tcW w:w="1572" w:type="dxa"/>
            <w:tcBorders>
              <w:top w:val="single" w:sz="4" w:space="0" w:color="000000"/>
              <w:left w:val="nil"/>
              <w:bottom w:val="single" w:sz="4" w:space="0" w:color="000000"/>
              <w:right w:val="nil"/>
            </w:tcBorders>
            <w:shd w:val="clear" w:color="auto" w:fill="auto"/>
            <w:vAlign w:val="center"/>
          </w:tcPr>
          <w:p w14:paraId="7E671428" w14:textId="77777777" w:rsidR="009C05AE" w:rsidRPr="009C05AE" w:rsidRDefault="009C05AE" w:rsidP="009C05AE">
            <w:pPr>
              <w:widowControl/>
              <w:ind w:firstLine="0"/>
              <w:jc w:val="center"/>
              <w:rPr>
                <w:b/>
                <w:color w:val="000000"/>
                <w:sz w:val="20"/>
                <w:szCs w:val="20"/>
              </w:rPr>
            </w:pPr>
            <w:r w:rsidRPr="009C05AE">
              <w:rPr>
                <w:b/>
                <w:color w:val="000000"/>
                <w:sz w:val="20"/>
                <w:szCs w:val="20"/>
              </w:rPr>
              <w:t>Coeficientes</w:t>
            </w:r>
          </w:p>
        </w:tc>
        <w:tc>
          <w:tcPr>
            <w:tcW w:w="3161" w:type="dxa"/>
            <w:tcBorders>
              <w:top w:val="single" w:sz="4" w:space="0" w:color="000000"/>
              <w:left w:val="single" w:sz="4" w:space="0" w:color="000000"/>
              <w:bottom w:val="single" w:sz="4" w:space="0" w:color="000000"/>
              <w:right w:val="nil"/>
            </w:tcBorders>
            <w:shd w:val="clear" w:color="auto" w:fill="auto"/>
            <w:vAlign w:val="center"/>
          </w:tcPr>
          <w:p w14:paraId="537D3D43" w14:textId="77777777" w:rsidR="009C05AE" w:rsidRPr="009C05AE" w:rsidRDefault="009C05AE" w:rsidP="009C05AE">
            <w:pPr>
              <w:widowControl/>
              <w:ind w:firstLine="0"/>
              <w:jc w:val="center"/>
              <w:rPr>
                <w:b/>
                <w:color w:val="000000"/>
                <w:sz w:val="20"/>
                <w:szCs w:val="20"/>
              </w:rPr>
            </w:pPr>
            <w:r w:rsidRPr="009C05AE">
              <w:rPr>
                <w:b/>
                <w:color w:val="000000"/>
                <w:sz w:val="20"/>
                <w:szCs w:val="20"/>
              </w:rPr>
              <w:t>Testes</w:t>
            </w:r>
          </w:p>
        </w:tc>
        <w:tc>
          <w:tcPr>
            <w:tcW w:w="1550" w:type="dxa"/>
            <w:tcBorders>
              <w:top w:val="single" w:sz="4" w:space="0" w:color="000000"/>
              <w:left w:val="nil"/>
              <w:bottom w:val="single" w:sz="4" w:space="0" w:color="000000"/>
              <w:right w:val="nil"/>
            </w:tcBorders>
            <w:shd w:val="clear" w:color="auto" w:fill="auto"/>
            <w:vAlign w:val="center"/>
          </w:tcPr>
          <w:p w14:paraId="06A42190" w14:textId="77777777" w:rsidR="009C05AE" w:rsidRPr="009C05AE" w:rsidRDefault="009C05AE" w:rsidP="009C05AE">
            <w:pPr>
              <w:widowControl/>
              <w:ind w:firstLine="0"/>
              <w:jc w:val="center"/>
              <w:rPr>
                <w:b/>
                <w:color w:val="000000"/>
                <w:sz w:val="20"/>
                <w:szCs w:val="20"/>
              </w:rPr>
            </w:pPr>
            <w:r w:rsidRPr="009C05AE">
              <w:rPr>
                <w:b/>
                <w:color w:val="000000"/>
                <w:sz w:val="20"/>
                <w:szCs w:val="20"/>
              </w:rPr>
              <w:t>Resultados</w:t>
            </w:r>
          </w:p>
        </w:tc>
      </w:tr>
      <w:tr w:rsidR="009C05AE" w:rsidRPr="009C05AE" w14:paraId="637FDBC0" w14:textId="77777777" w:rsidTr="009C05AE">
        <w:trPr>
          <w:trHeight w:val="301"/>
        </w:trPr>
        <w:tc>
          <w:tcPr>
            <w:tcW w:w="3106" w:type="dxa"/>
            <w:tcBorders>
              <w:top w:val="nil"/>
              <w:left w:val="nil"/>
              <w:bottom w:val="nil"/>
              <w:right w:val="nil"/>
            </w:tcBorders>
            <w:shd w:val="clear" w:color="auto" w:fill="auto"/>
            <w:vAlign w:val="bottom"/>
          </w:tcPr>
          <w:p w14:paraId="10805E41" w14:textId="77777777" w:rsidR="009C05AE" w:rsidRPr="009C05AE" w:rsidRDefault="009C05AE" w:rsidP="009C05AE">
            <w:pPr>
              <w:widowControl/>
              <w:ind w:firstLine="0"/>
              <w:jc w:val="left"/>
              <w:rPr>
                <w:color w:val="000000"/>
                <w:sz w:val="20"/>
                <w:szCs w:val="20"/>
                <w:vertAlign w:val="subscript"/>
              </w:rPr>
            </w:pPr>
            <w:proofErr w:type="spellStart"/>
            <w:r w:rsidRPr="009C05AE">
              <w:rPr>
                <w:color w:val="000000"/>
                <w:sz w:val="20"/>
                <w:szCs w:val="20"/>
              </w:rPr>
              <w:t>TAM</w:t>
            </w:r>
            <w:r w:rsidRPr="009C05AE">
              <w:rPr>
                <w:color w:val="000000"/>
                <w:sz w:val="20"/>
                <w:szCs w:val="20"/>
                <w:vertAlign w:val="subscript"/>
              </w:rPr>
              <w:t>it</w:t>
            </w:r>
            <w:proofErr w:type="spellEnd"/>
          </w:p>
        </w:tc>
        <w:tc>
          <w:tcPr>
            <w:tcW w:w="1572" w:type="dxa"/>
            <w:tcBorders>
              <w:top w:val="nil"/>
              <w:left w:val="nil"/>
              <w:bottom w:val="nil"/>
              <w:right w:val="nil"/>
            </w:tcBorders>
            <w:shd w:val="clear" w:color="auto" w:fill="auto"/>
            <w:vAlign w:val="bottom"/>
          </w:tcPr>
          <w:p w14:paraId="27ACA4A7" w14:textId="77777777" w:rsidR="009C05AE" w:rsidRPr="009C05AE" w:rsidRDefault="009C05AE" w:rsidP="009C05AE">
            <w:pPr>
              <w:widowControl/>
              <w:ind w:firstLine="0"/>
              <w:jc w:val="center"/>
              <w:rPr>
                <w:color w:val="000000"/>
                <w:sz w:val="20"/>
                <w:szCs w:val="20"/>
              </w:rPr>
            </w:pPr>
            <w:r w:rsidRPr="009C05AE">
              <w:rPr>
                <w:color w:val="000000"/>
                <w:sz w:val="20"/>
                <w:szCs w:val="20"/>
              </w:rPr>
              <w:t>0,02307</w:t>
            </w:r>
          </w:p>
        </w:tc>
        <w:tc>
          <w:tcPr>
            <w:tcW w:w="3161" w:type="dxa"/>
            <w:tcBorders>
              <w:top w:val="nil"/>
              <w:left w:val="single" w:sz="4" w:space="0" w:color="000000"/>
              <w:bottom w:val="nil"/>
              <w:right w:val="nil"/>
            </w:tcBorders>
            <w:shd w:val="clear" w:color="auto" w:fill="auto"/>
            <w:vAlign w:val="center"/>
          </w:tcPr>
          <w:p w14:paraId="2535679F" w14:textId="77777777" w:rsidR="009C05AE" w:rsidRPr="009C05AE" w:rsidRDefault="009C05AE" w:rsidP="009C05AE">
            <w:pPr>
              <w:widowControl/>
              <w:ind w:firstLine="0"/>
              <w:jc w:val="center"/>
              <w:rPr>
                <w:color w:val="000000"/>
                <w:sz w:val="20"/>
                <w:szCs w:val="20"/>
              </w:rPr>
            </w:pPr>
            <w:r w:rsidRPr="009C05AE">
              <w:rPr>
                <w:color w:val="000000"/>
                <w:sz w:val="20"/>
                <w:szCs w:val="20"/>
              </w:rPr>
              <w:t xml:space="preserve">Teste de </w:t>
            </w:r>
            <w:proofErr w:type="spellStart"/>
            <w:r w:rsidRPr="009C05AE">
              <w:rPr>
                <w:i/>
                <w:color w:val="000000"/>
                <w:sz w:val="20"/>
                <w:szCs w:val="20"/>
              </w:rPr>
              <w:t>Chow</w:t>
            </w:r>
            <w:proofErr w:type="spellEnd"/>
          </w:p>
        </w:tc>
        <w:tc>
          <w:tcPr>
            <w:tcW w:w="1550" w:type="dxa"/>
            <w:tcBorders>
              <w:top w:val="nil"/>
              <w:left w:val="nil"/>
              <w:bottom w:val="nil"/>
              <w:right w:val="nil"/>
            </w:tcBorders>
            <w:shd w:val="clear" w:color="auto" w:fill="auto"/>
            <w:vAlign w:val="bottom"/>
          </w:tcPr>
          <w:p w14:paraId="0CD50725" w14:textId="77777777" w:rsidR="009C05AE" w:rsidRPr="009C05AE" w:rsidRDefault="009C05AE" w:rsidP="009C05AE">
            <w:pPr>
              <w:widowControl/>
              <w:ind w:firstLine="0"/>
              <w:jc w:val="center"/>
              <w:rPr>
                <w:color w:val="000000"/>
                <w:sz w:val="20"/>
                <w:szCs w:val="20"/>
              </w:rPr>
            </w:pPr>
            <w:r w:rsidRPr="009C05AE">
              <w:rPr>
                <w:color w:val="000000"/>
                <w:sz w:val="20"/>
                <w:szCs w:val="20"/>
              </w:rPr>
              <w:t>0,0000</w:t>
            </w:r>
          </w:p>
        </w:tc>
      </w:tr>
      <w:tr w:rsidR="009C05AE" w:rsidRPr="009C05AE" w14:paraId="0ABEAB4D" w14:textId="77777777" w:rsidTr="009C05AE">
        <w:trPr>
          <w:trHeight w:val="301"/>
        </w:trPr>
        <w:tc>
          <w:tcPr>
            <w:tcW w:w="3106" w:type="dxa"/>
            <w:tcBorders>
              <w:top w:val="nil"/>
              <w:left w:val="nil"/>
              <w:bottom w:val="nil"/>
              <w:right w:val="nil"/>
            </w:tcBorders>
            <w:shd w:val="clear" w:color="auto" w:fill="auto"/>
            <w:vAlign w:val="bottom"/>
          </w:tcPr>
          <w:p w14:paraId="3B1E2F44" w14:textId="77777777" w:rsidR="009C05AE" w:rsidRPr="009C05AE" w:rsidRDefault="009C05AE" w:rsidP="009C05AE">
            <w:pPr>
              <w:widowControl/>
              <w:ind w:firstLine="0"/>
              <w:jc w:val="left"/>
              <w:rPr>
                <w:color w:val="000000"/>
                <w:sz w:val="20"/>
                <w:szCs w:val="20"/>
                <w:vertAlign w:val="subscript"/>
              </w:rPr>
            </w:pPr>
            <w:proofErr w:type="spellStart"/>
            <w:r w:rsidRPr="009C05AE">
              <w:rPr>
                <w:color w:val="000000"/>
                <w:sz w:val="20"/>
                <w:szCs w:val="20"/>
              </w:rPr>
              <w:t>RENT</w:t>
            </w:r>
            <w:r w:rsidRPr="009C05AE">
              <w:rPr>
                <w:color w:val="000000"/>
                <w:sz w:val="20"/>
                <w:szCs w:val="20"/>
                <w:vertAlign w:val="subscript"/>
              </w:rPr>
              <w:t>it</w:t>
            </w:r>
            <w:proofErr w:type="spellEnd"/>
          </w:p>
        </w:tc>
        <w:tc>
          <w:tcPr>
            <w:tcW w:w="1572" w:type="dxa"/>
            <w:tcBorders>
              <w:top w:val="nil"/>
              <w:left w:val="nil"/>
              <w:bottom w:val="nil"/>
              <w:right w:val="nil"/>
            </w:tcBorders>
            <w:shd w:val="clear" w:color="auto" w:fill="auto"/>
            <w:vAlign w:val="bottom"/>
          </w:tcPr>
          <w:p w14:paraId="1008075E" w14:textId="77777777" w:rsidR="009C05AE" w:rsidRPr="009C05AE" w:rsidRDefault="009C05AE" w:rsidP="009C05AE">
            <w:pPr>
              <w:widowControl/>
              <w:ind w:firstLine="0"/>
              <w:jc w:val="center"/>
              <w:rPr>
                <w:color w:val="000000"/>
                <w:sz w:val="20"/>
                <w:szCs w:val="20"/>
              </w:rPr>
            </w:pPr>
            <w:r w:rsidRPr="009C05AE">
              <w:rPr>
                <w:color w:val="000000"/>
                <w:sz w:val="20"/>
                <w:szCs w:val="20"/>
              </w:rPr>
              <w:t>0,06186</w:t>
            </w:r>
          </w:p>
        </w:tc>
        <w:tc>
          <w:tcPr>
            <w:tcW w:w="3161" w:type="dxa"/>
            <w:tcBorders>
              <w:top w:val="nil"/>
              <w:left w:val="single" w:sz="4" w:space="0" w:color="000000"/>
              <w:bottom w:val="nil"/>
              <w:right w:val="nil"/>
            </w:tcBorders>
            <w:shd w:val="clear" w:color="auto" w:fill="auto"/>
            <w:vAlign w:val="center"/>
          </w:tcPr>
          <w:p w14:paraId="1F0F5573" w14:textId="77777777" w:rsidR="009C05AE" w:rsidRPr="009C05AE" w:rsidRDefault="009C05AE" w:rsidP="009C05AE">
            <w:pPr>
              <w:widowControl/>
              <w:ind w:firstLine="0"/>
              <w:jc w:val="center"/>
              <w:rPr>
                <w:color w:val="000000"/>
                <w:sz w:val="20"/>
                <w:szCs w:val="20"/>
              </w:rPr>
            </w:pPr>
            <w:r w:rsidRPr="009C05AE">
              <w:rPr>
                <w:color w:val="000000"/>
                <w:sz w:val="20"/>
                <w:szCs w:val="20"/>
              </w:rPr>
              <w:t xml:space="preserve">Teste de </w:t>
            </w:r>
            <w:proofErr w:type="spellStart"/>
            <w:r w:rsidRPr="009C05AE">
              <w:rPr>
                <w:i/>
                <w:color w:val="000000"/>
                <w:sz w:val="20"/>
                <w:szCs w:val="20"/>
              </w:rPr>
              <w:t>Hausman</w:t>
            </w:r>
            <w:proofErr w:type="spellEnd"/>
          </w:p>
        </w:tc>
        <w:tc>
          <w:tcPr>
            <w:tcW w:w="1550" w:type="dxa"/>
            <w:tcBorders>
              <w:top w:val="nil"/>
              <w:left w:val="nil"/>
              <w:bottom w:val="nil"/>
              <w:right w:val="nil"/>
            </w:tcBorders>
            <w:shd w:val="clear" w:color="auto" w:fill="auto"/>
            <w:vAlign w:val="bottom"/>
          </w:tcPr>
          <w:p w14:paraId="2A4DEE60" w14:textId="77777777" w:rsidR="009C05AE" w:rsidRPr="009C05AE" w:rsidRDefault="009C05AE" w:rsidP="009C05AE">
            <w:pPr>
              <w:widowControl/>
              <w:ind w:firstLine="0"/>
              <w:jc w:val="center"/>
              <w:rPr>
                <w:color w:val="000000"/>
                <w:sz w:val="20"/>
                <w:szCs w:val="20"/>
              </w:rPr>
            </w:pPr>
            <w:r w:rsidRPr="009C05AE">
              <w:rPr>
                <w:color w:val="000000"/>
                <w:sz w:val="20"/>
                <w:szCs w:val="20"/>
              </w:rPr>
              <w:t>0,27</w:t>
            </w:r>
          </w:p>
        </w:tc>
      </w:tr>
      <w:tr w:rsidR="009C05AE" w:rsidRPr="009C05AE" w14:paraId="4AFBECAF" w14:textId="77777777" w:rsidTr="009C05AE">
        <w:trPr>
          <w:trHeight w:val="301"/>
        </w:trPr>
        <w:tc>
          <w:tcPr>
            <w:tcW w:w="3106" w:type="dxa"/>
            <w:tcBorders>
              <w:top w:val="nil"/>
              <w:left w:val="nil"/>
              <w:bottom w:val="nil"/>
              <w:right w:val="nil"/>
            </w:tcBorders>
            <w:shd w:val="clear" w:color="auto" w:fill="auto"/>
            <w:vAlign w:val="bottom"/>
          </w:tcPr>
          <w:p w14:paraId="4FBE54F4" w14:textId="77777777" w:rsidR="009C05AE" w:rsidRPr="009C05AE" w:rsidRDefault="009C05AE" w:rsidP="009C05AE">
            <w:pPr>
              <w:widowControl/>
              <w:ind w:firstLine="0"/>
              <w:jc w:val="left"/>
              <w:rPr>
                <w:color w:val="000000"/>
                <w:sz w:val="20"/>
                <w:szCs w:val="20"/>
                <w:vertAlign w:val="subscript"/>
              </w:rPr>
            </w:pPr>
            <w:proofErr w:type="spellStart"/>
            <w:r w:rsidRPr="009C05AE">
              <w:rPr>
                <w:color w:val="000000"/>
                <w:sz w:val="20"/>
                <w:szCs w:val="20"/>
              </w:rPr>
              <w:t>END</w:t>
            </w:r>
            <w:r w:rsidRPr="009C05AE">
              <w:rPr>
                <w:color w:val="000000"/>
                <w:sz w:val="20"/>
                <w:szCs w:val="20"/>
                <w:vertAlign w:val="subscript"/>
              </w:rPr>
              <w:t>it</w:t>
            </w:r>
            <w:proofErr w:type="spellEnd"/>
          </w:p>
        </w:tc>
        <w:tc>
          <w:tcPr>
            <w:tcW w:w="1572" w:type="dxa"/>
            <w:tcBorders>
              <w:top w:val="nil"/>
              <w:left w:val="nil"/>
              <w:bottom w:val="nil"/>
              <w:right w:val="nil"/>
            </w:tcBorders>
            <w:shd w:val="clear" w:color="auto" w:fill="auto"/>
            <w:vAlign w:val="bottom"/>
          </w:tcPr>
          <w:p w14:paraId="53CE0662" w14:textId="77777777" w:rsidR="009C05AE" w:rsidRPr="009C05AE" w:rsidRDefault="009C05AE" w:rsidP="009C05AE">
            <w:pPr>
              <w:widowControl/>
              <w:ind w:firstLine="0"/>
              <w:jc w:val="center"/>
              <w:rPr>
                <w:color w:val="000000"/>
                <w:sz w:val="20"/>
                <w:szCs w:val="20"/>
              </w:rPr>
            </w:pPr>
            <w:r w:rsidRPr="009C05AE">
              <w:rPr>
                <w:color w:val="000000"/>
                <w:sz w:val="20"/>
                <w:szCs w:val="20"/>
              </w:rPr>
              <w:t>0,01537**</w:t>
            </w:r>
          </w:p>
        </w:tc>
        <w:tc>
          <w:tcPr>
            <w:tcW w:w="3161" w:type="dxa"/>
            <w:tcBorders>
              <w:top w:val="nil"/>
              <w:left w:val="single" w:sz="4" w:space="0" w:color="000000"/>
              <w:bottom w:val="nil"/>
              <w:right w:val="nil"/>
            </w:tcBorders>
            <w:shd w:val="clear" w:color="auto" w:fill="auto"/>
            <w:vAlign w:val="center"/>
          </w:tcPr>
          <w:p w14:paraId="21D7AD1A" w14:textId="77777777" w:rsidR="009C05AE" w:rsidRPr="009C05AE" w:rsidRDefault="009C05AE" w:rsidP="009C05AE">
            <w:pPr>
              <w:widowControl/>
              <w:ind w:firstLine="0"/>
              <w:jc w:val="center"/>
              <w:rPr>
                <w:color w:val="000000"/>
                <w:sz w:val="20"/>
                <w:szCs w:val="20"/>
              </w:rPr>
            </w:pPr>
            <w:r w:rsidRPr="009C05AE">
              <w:rPr>
                <w:color w:val="000000"/>
                <w:sz w:val="20"/>
                <w:szCs w:val="20"/>
              </w:rPr>
              <w:t xml:space="preserve">Teste de </w:t>
            </w:r>
            <w:proofErr w:type="spellStart"/>
            <w:r w:rsidRPr="009C05AE">
              <w:rPr>
                <w:i/>
                <w:color w:val="000000"/>
                <w:sz w:val="20"/>
                <w:szCs w:val="20"/>
              </w:rPr>
              <w:t>Breuch</w:t>
            </w:r>
            <w:proofErr w:type="spellEnd"/>
            <w:r w:rsidRPr="009C05AE">
              <w:rPr>
                <w:i/>
                <w:color w:val="000000"/>
                <w:sz w:val="20"/>
                <w:szCs w:val="20"/>
              </w:rPr>
              <w:t xml:space="preserve"> </w:t>
            </w:r>
            <w:proofErr w:type="spellStart"/>
            <w:r w:rsidRPr="009C05AE">
              <w:rPr>
                <w:i/>
                <w:color w:val="000000"/>
                <w:sz w:val="20"/>
                <w:szCs w:val="20"/>
              </w:rPr>
              <w:t>and</w:t>
            </w:r>
            <w:proofErr w:type="spellEnd"/>
            <w:r w:rsidRPr="009C05AE">
              <w:rPr>
                <w:i/>
                <w:color w:val="000000"/>
                <w:sz w:val="20"/>
                <w:szCs w:val="20"/>
              </w:rPr>
              <w:t xml:space="preserve"> </w:t>
            </w:r>
            <w:proofErr w:type="spellStart"/>
            <w:r w:rsidRPr="009C05AE">
              <w:rPr>
                <w:i/>
                <w:color w:val="000000"/>
                <w:sz w:val="20"/>
                <w:szCs w:val="20"/>
              </w:rPr>
              <w:t>Pagan</w:t>
            </w:r>
            <w:proofErr w:type="spellEnd"/>
          </w:p>
        </w:tc>
        <w:tc>
          <w:tcPr>
            <w:tcW w:w="1550" w:type="dxa"/>
            <w:tcBorders>
              <w:top w:val="nil"/>
              <w:left w:val="nil"/>
              <w:bottom w:val="nil"/>
              <w:right w:val="nil"/>
            </w:tcBorders>
            <w:shd w:val="clear" w:color="auto" w:fill="auto"/>
            <w:vAlign w:val="bottom"/>
          </w:tcPr>
          <w:p w14:paraId="6A188D91" w14:textId="77777777" w:rsidR="009C05AE" w:rsidRPr="009C05AE" w:rsidRDefault="009C05AE" w:rsidP="009C05AE">
            <w:pPr>
              <w:widowControl/>
              <w:ind w:firstLine="0"/>
              <w:jc w:val="center"/>
              <w:rPr>
                <w:color w:val="000000"/>
                <w:sz w:val="20"/>
                <w:szCs w:val="20"/>
              </w:rPr>
            </w:pPr>
            <w:r w:rsidRPr="009C05AE">
              <w:rPr>
                <w:color w:val="000000"/>
                <w:sz w:val="20"/>
                <w:szCs w:val="20"/>
              </w:rPr>
              <w:t>0,0001</w:t>
            </w:r>
          </w:p>
        </w:tc>
      </w:tr>
      <w:tr w:rsidR="009C05AE" w:rsidRPr="009C05AE" w14:paraId="0D4AE15E" w14:textId="77777777" w:rsidTr="009C05AE">
        <w:trPr>
          <w:trHeight w:val="301"/>
        </w:trPr>
        <w:tc>
          <w:tcPr>
            <w:tcW w:w="3106" w:type="dxa"/>
            <w:tcBorders>
              <w:top w:val="nil"/>
              <w:left w:val="nil"/>
              <w:bottom w:val="nil"/>
              <w:right w:val="nil"/>
            </w:tcBorders>
            <w:shd w:val="clear" w:color="auto" w:fill="auto"/>
            <w:vAlign w:val="bottom"/>
          </w:tcPr>
          <w:p w14:paraId="3DB3DCD3" w14:textId="77777777" w:rsidR="009C05AE" w:rsidRPr="009C05AE" w:rsidRDefault="009C05AE" w:rsidP="009C05AE">
            <w:pPr>
              <w:widowControl/>
              <w:ind w:firstLine="0"/>
              <w:jc w:val="left"/>
              <w:rPr>
                <w:color w:val="000000"/>
                <w:sz w:val="20"/>
                <w:szCs w:val="20"/>
                <w:vertAlign w:val="subscript"/>
              </w:rPr>
            </w:pPr>
            <w:proofErr w:type="spellStart"/>
            <w:r w:rsidRPr="009C05AE">
              <w:rPr>
                <w:color w:val="000000"/>
                <w:sz w:val="20"/>
                <w:szCs w:val="20"/>
              </w:rPr>
              <w:t>GOV</w:t>
            </w:r>
            <w:r w:rsidRPr="009C05AE">
              <w:rPr>
                <w:color w:val="000000"/>
                <w:sz w:val="20"/>
                <w:szCs w:val="20"/>
                <w:vertAlign w:val="subscript"/>
              </w:rPr>
              <w:t>it</w:t>
            </w:r>
            <w:proofErr w:type="spellEnd"/>
          </w:p>
        </w:tc>
        <w:tc>
          <w:tcPr>
            <w:tcW w:w="1572" w:type="dxa"/>
            <w:tcBorders>
              <w:top w:val="nil"/>
              <w:left w:val="nil"/>
              <w:bottom w:val="nil"/>
              <w:right w:val="nil"/>
            </w:tcBorders>
            <w:shd w:val="clear" w:color="auto" w:fill="auto"/>
            <w:vAlign w:val="bottom"/>
          </w:tcPr>
          <w:p w14:paraId="382B7008" w14:textId="77777777" w:rsidR="009C05AE" w:rsidRPr="009C05AE" w:rsidRDefault="009C05AE" w:rsidP="009C05AE">
            <w:pPr>
              <w:widowControl/>
              <w:ind w:firstLine="0"/>
              <w:jc w:val="center"/>
              <w:rPr>
                <w:color w:val="000000"/>
                <w:sz w:val="20"/>
                <w:szCs w:val="20"/>
              </w:rPr>
            </w:pPr>
            <w:r w:rsidRPr="009C05AE">
              <w:rPr>
                <w:color w:val="000000"/>
                <w:sz w:val="20"/>
                <w:szCs w:val="20"/>
              </w:rPr>
              <w:t>-0,20251**</w:t>
            </w:r>
          </w:p>
        </w:tc>
        <w:tc>
          <w:tcPr>
            <w:tcW w:w="3161" w:type="dxa"/>
            <w:tcBorders>
              <w:top w:val="nil"/>
              <w:left w:val="single" w:sz="4" w:space="0" w:color="000000"/>
              <w:bottom w:val="nil"/>
              <w:right w:val="nil"/>
            </w:tcBorders>
            <w:shd w:val="clear" w:color="auto" w:fill="auto"/>
            <w:vAlign w:val="center"/>
          </w:tcPr>
          <w:p w14:paraId="7575B387" w14:textId="77777777" w:rsidR="009C05AE" w:rsidRPr="009C05AE" w:rsidRDefault="009C05AE" w:rsidP="009C05AE">
            <w:pPr>
              <w:widowControl/>
              <w:ind w:firstLine="0"/>
              <w:jc w:val="center"/>
              <w:rPr>
                <w:i/>
                <w:color w:val="000000"/>
                <w:sz w:val="20"/>
                <w:szCs w:val="20"/>
              </w:rPr>
            </w:pPr>
            <w:r w:rsidRPr="009C05AE">
              <w:rPr>
                <w:color w:val="000000"/>
                <w:sz w:val="20"/>
                <w:szCs w:val="20"/>
              </w:rPr>
              <w:t xml:space="preserve">Teste de </w:t>
            </w:r>
            <w:proofErr w:type="spellStart"/>
            <w:r w:rsidRPr="009C05AE">
              <w:rPr>
                <w:i/>
                <w:color w:val="000000"/>
                <w:sz w:val="20"/>
                <w:szCs w:val="20"/>
              </w:rPr>
              <w:t>Jarque-Bera</w:t>
            </w:r>
            <w:proofErr w:type="spellEnd"/>
          </w:p>
        </w:tc>
        <w:tc>
          <w:tcPr>
            <w:tcW w:w="1550" w:type="dxa"/>
            <w:tcBorders>
              <w:top w:val="nil"/>
              <w:left w:val="nil"/>
              <w:bottom w:val="nil"/>
              <w:right w:val="nil"/>
            </w:tcBorders>
            <w:shd w:val="clear" w:color="auto" w:fill="auto"/>
            <w:vAlign w:val="bottom"/>
          </w:tcPr>
          <w:p w14:paraId="3F752CF7" w14:textId="77777777" w:rsidR="009C05AE" w:rsidRPr="009C05AE" w:rsidRDefault="009C05AE" w:rsidP="009C05AE">
            <w:pPr>
              <w:widowControl/>
              <w:ind w:firstLine="0"/>
              <w:jc w:val="center"/>
              <w:rPr>
                <w:color w:val="000000"/>
                <w:sz w:val="20"/>
                <w:szCs w:val="20"/>
              </w:rPr>
            </w:pPr>
            <w:r w:rsidRPr="009C05AE">
              <w:rPr>
                <w:color w:val="000000"/>
                <w:sz w:val="20"/>
                <w:szCs w:val="20"/>
              </w:rPr>
              <w:t>0,0297</w:t>
            </w:r>
          </w:p>
        </w:tc>
      </w:tr>
      <w:tr w:rsidR="009C05AE" w:rsidRPr="009C05AE" w14:paraId="0035DE72" w14:textId="77777777" w:rsidTr="009C05AE">
        <w:trPr>
          <w:trHeight w:val="301"/>
        </w:trPr>
        <w:tc>
          <w:tcPr>
            <w:tcW w:w="3106" w:type="dxa"/>
            <w:tcBorders>
              <w:top w:val="nil"/>
              <w:left w:val="nil"/>
              <w:bottom w:val="nil"/>
              <w:right w:val="nil"/>
            </w:tcBorders>
            <w:shd w:val="clear" w:color="auto" w:fill="auto"/>
            <w:vAlign w:val="bottom"/>
          </w:tcPr>
          <w:p w14:paraId="0CB47A44" w14:textId="77777777" w:rsidR="009C05AE" w:rsidRPr="009C05AE" w:rsidRDefault="009C05AE" w:rsidP="009C05AE">
            <w:pPr>
              <w:widowControl/>
              <w:ind w:firstLine="0"/>
              <w:jc w:val="left"/>
              <w:rPr>
                <w:color w:val="000000"/>
                <w:sz w:val="20"/>
                <w:szCs w:val="20"/>
              </w:rPr>
            </w:pPr>
            <w:r w:rsidRPr="009C05AE">
              <w:t>∑</w:t>
            </w:r>
            <w:proofErr w:type="spellStart"/>
            <w:r w:rsidRPr="009C05AE">
              <w:rPr>
                <w:color w:val="000000"/>
                <w:sz w:val="20"/>
                <w:szCs w:val="20"/>
              </w:rPr>
              <w:t>SET</w:t>
            </w:r>
            <w:r w:rsidRPr="009C05AE">
              <w:rPr>
                <w:color w:val="000000"/>
                <w:sz w:val="20"/>
                <w:szCs w:val="20"/>
                <w:vertAlign w:val="subscript"/>
              </w:rPr>
              <w:t>it</w:t>
            </w:r>
            <w:proofErr w:type="spellEnd"/>
            <w:r w:rsidRPr="009C05AE">
              <w:rPr>
                <w:color w:val="000000"/>
                <w:sz w:val="20"/>
                <w:szCs w:val="20"/>
              </w:rPr>
              <w:t>:</w:t>
            </w:r>
          </w:p>
        </w:tc>
        <w:tc>
          <w:tcPr>
            <w:tcW w:w="1572" w:type="dxa"/>
            <w:tcBorders>
              <w:top w:val="nil"/>
              <w:left w:val="nil"/>
              <w:bottom w:val="nil"/>
              <w:right w:val="nil"/>
            </w:tcBorders>
            <w:shd w:val="clear" w:color="auto" w:fill="auto"/>
            <w:vAlign w:val="bottom"/>
          </w:tcPr>
          <w:p w14:paraId="02C32F24" w14:textId="77777777" w:rsidR="009C05AE" w:rsidRPr="009C05AE" w:rsidRDefault="009C05AE" w:rsidP="009C05AE">
            <w:pPr>
              <w:widowControl/>
              <w:ind w:firstLine="0"/>
              <w:jc w:val="center"/>
              <w:rPr>
                <w:color w:val="000000"/>
                <w:sz w:val="20"/>
                <w:szCs w:val="20"/>
              </w:rPr>
            </w:pPr>
          </w:p>
        </w:tc>
        <w:tc>
          <w:tcPr>
            <w:tcW w:w="3161" w:type="dxa"/>
            <w:tcBorders>
              <w:top w:val="nil"/>
              <w:left w:val="single" w:sz="4" w:space="0" w:color="000000"/>
              <w:bottom w:val="nil"/>
              <w:right w:val="nil"/>
            </w:tcBorders>
            <w:shd w:val="clear" w:color="auto" w:fill="auto"/>
            <w:vAlign w:val="center"/>
          </w:tcPr>
          <w:p w14:paraId="14F4208B" w14:textId="77777777" w:rsidR="009C05AE" w:rsidRPr="009C05AE" w:rsidRDefault="009C05AE" w:rsidP="009C05AE">
            <w:pPr>
              <w:widowControl/>
              <w:ind w:firstLine="0"/>
              <w:jc w:val="center"/>
              <w:rPr>
                <w:color w:val="000000"/>
                <w:sz w:val="20"/>
                <w:szCs w:val="20"/>
              </w:rPr>
            </w:pPr>
            <w:r w:rsidRPr="009C05AE">
              <w:rPr>
                <w:i/>
                <w:color w:val="000000"/>
                <w:sz w:val="20"/>
                <w:szCs w:val="20"/>
              </w:rPr>
              <w:t>VIF</w:t>
            </w:r>
          </w:p>
        </w:tc>
        <w:tc>
          <w:tcPr>
            <w:tcW w:w="1550" w:type="dxa"/>
            <w:tcBorders>
              <w:top w:val="nil"/>
              <w:left w:val="nil"/>
              <w:bottom w:val="nil"/>
              <w:right w:val="nil"/>
            </w:tcBorders>
            <w:shd w:val="clear" w:color="auto" w:fill="auto"/>
            <w:vAlign w:val="bottom"/>
          </w:tcPr>
          <w:p w14:paraId="74912B45" w14:textId="77777777" w:rsidR="009C05AE" w:rsidRPr="009C05AE" w:rsidRDefault="009C05AE" w:rsidP="009C05AE">
            <w:pPr>
              <w:widowControl/>
              <w:ind w:firstLine="0"/>
              <w:jc w:val="center"/>
              <w:rPr>
                <w:color w:val="000000"/>
                <w:sz w:val="20"/>
                <w:szCs w:val="20"/>
              </w:rPr>
            </w:pPr>
            <w:r w:rsidRPr="009C05AE">
              <w:rPr>
                <w:color w:val="000000"/>
                <w:sz w:val="20"/>
                <w:szCs w:val="20"/>
              </w:rPr>
              <w:t>4,64</w:t>
            </w:r>
          </w:p>
        </w:tc>
      </w:tr>
      <w:tr w:rsidR="009C05AE" w:rsidRPr="009C05AE" w14:paraId="647DA4E1" w14:textId="77777777" w:rsidTr="009C05AE">
        <w:trPr>
          <w:trHeight w:val="301"/>
        </w:trPr>
        <w:tc>
          <w:tcPr>
            <w:tcW w:w="3106" w:type="dxa"/>
            <w:tcBorders>
              <w:top w:val="nil"/>
              <w:left w:val="nil"/>
              <w:bottom w:val="nil"/>
              <w:right w:val="nil"/>
            </w:tcBorders>
            <w:shd w:val="clear" w:color="auto" w:fill="auto"/>
            <w:vAlign w:val="bottom"/>
          </w:tcPr>
          <w:p w14:paraId="2DA36FF1" w14:textId="77777777" w:rsidR="009C05AE" w:rsidRPr="009C05AE" w:rsidRDefault="009C05AE" w:rsidP="009C05AE">
            <w:pPr>
              <w:widowControl/>
              <w:ind w:firstLine="0"/>
              <w:jc w:val="left"/>
              <w:rPr>
                <w:color w:val="000000"/>
                <w:sz w:val="20"/>
                <w:szCs w:val="20"/>
              </w:rPr>
            </w:pPr>
            <w:r w:rsidRPr="009C05AE">
              <w:rPr>
                <w:color w:val="000000"/>
                <w:sz w:val="20"/>
                <w:szCs w:val="20"/>
              </w:rPr>
              <w:t>Consumo Cíclico</w:t>
            </w:r>
          </w:p>
        </w:tc>
        <w:tc>
          <w:tcPr>
            <w:tcW w:w="1572" w:type="dxa"/>
            <w:tcBorders>
              <w:top w:val="nil"/>
              <w:left w:val="nil"/>
              <w:bottom w:val="nil"/>
              <w:right w:val="nil"/>
            </w:tcBorders>
            <w:shd w:val="clear" w:color="auto" w:fill="auto"/>
            <w:vAlign w:val="bottom"/>
          </w:tcPr>
          <w:p w14:paraId="720A30B0" w14:textId="77777777" w:rsidR="009C05AE" w:rsidRPr="009C05AE" w:rsidRDefault="009C05AE" w:rsidP="009C05AE">
            <w:pPr>
              <w:widowControl/>
              <w:ind w:firstLine="0"/>
              <w:jc w:val="center"/>
              <w:rPr>
                <w:color w:val="000000"/>
                <w:sz w:val="20"/>
                <w:szCs w:val="20"/>
              </w:rPr>
            </w:pPr>
            <w:r w:rsidRPr="009C05AE">
              <w:rPr>
                <w:color w:val="000000"/>
                <w:sz w:val="20"/>
                <w:szCs w:val="20"/>
              </w:rPr>
              <w:t>0,13876**</w:t>
            </w:r>
          </w:p>
        </w:tc>
        <w:tc>
          <w:tcPr>
            <w:tcW w:w="3161" w:type="dxa"/>
            <w:tcBorders>
              <w:top w:val="nil"/>
              <w:left w:val="single" w:sz="4" w:space="0" w:color="000000"/>
              <w:bottom w:val="nil"/>
              <w:right w:val="nil"/>
            </w:tcBorders>
            <w:shd w:val="clear" w:color="auto" w:fill="auto"/>
            <w:vAlign w:val="center"/>
          </w:tcPr>
          <w:p w14:paraId="0BFACAC0" w14:textId="77777777" w:rsidR="009C05AE" w:rsidRPr="009C05AE" w:rsidRDefault="009C05AE" w:rsidP="009C05AE">
            <w:pPr>
              <w:widowControl/>
              <w:ind w:firstLine="0"/>
              <w:jc w:val="center"/>
              <w:rPr>
                <w:color w:val="000000"/>
                <w:sz w:val="20"/>
                <w:szCs w:val="20"/>
              </w:rPr>
            </w:pPr>
            <w:r w:rsidRPr="009C05AE">
              <w:rPr>
                <w:color w:val="000000"/>
                <w:sz w:val="20"/>
                <w:szCs w:val="20"/>
              </w:rPr>
              <w:t xml:space="preserve">Teste de </w:t>
            </w:r>
            <w:proofErr w:type="spellStart"/>
            <w:r w:rsidRPr="009C05AE">
              <w:rPr>
                <w:i/>
                <w:color w:val="000000"/>
                <w:sz w:val="20"/>
                <w:szCs w:val="20"/>
              </w:rPr>
              <w:t>Wooldrige</w:t>
            </w:r>
            <w:proofErr w:type="spellEnd"/>
          </w:p>
        </w:tc>
        <w:tc>
          <w:tcPr>
            <w:tcW w:w="1550" w:type="dxa"/>
            <w:tcBorders>
              <w:top w:val="nil"/>
              <w:left w:val="nil"/>
              <w:bottom w:val="nil"/>
              <w:right w:val="nil"/>
            </w:tcBorders>
            <w:shd w:val="clear" w:color="auto" w:fill="auto"/>
            <w:vAlign w:val="bottom"/>
          </w:tcPr>
          <w:p w14:paraId="2F40D023" w14:textId="77777777" w:rsidR="009C05AE" w:rsidRPr="009C05AE" w:rsidRDefault="009C05AE" w:rsidP="009C05AE">
            <w:pPr>
              <w:widowControl/>
              <w:ind w:firstLine="0"/>
              <w:jc w:val="center"/>
              <w:rPr>
                <w:color w:val="000000"/>
                <w:sz w:val="20"/>
                <w:szCs w:val="20"/>
              </w:rPr>
            </w:pPr>
            <w:r w:rsidRPr="009C05AE">
              <w:rPr>
                <w:color w:val="000000"/>
                <w:sz w:val="20"/>
                <w:szCs w:val="20"/>
              </w:rPr>
              <w:t>0,07</w:t>
            </w:r>
          </w:p>
        </w:tc>
      </w:tr>
      <w:tr w:rsidR="009C05AE" w:rsidRPr="009C05AE" w14:paraId="706D59FE" w14:textId="77777777" w:rsidTr="009C05AE">
        <w:trPr>
          <w:trHeight w:val="301"/>
        </w:trPr>
        <w:tc>
          <w:tcPr>
            <w:tcW w:w="3106" w:type="dxa"/>
            <w:tcBorders>
              <w:top w:val="nil"/>
              <w:left w:val="nil"/>
              <w:bottom w:val="nil"/>
              <w:right w:val="nil"/>
            </w:tcBorders>
            <w:shd w:val="clear" w:color="auto" w:fill="auto"/>
            <w:vAlign w:val="bottom"/>
          </w:tcPr>
          <w:p w14:paraId="432B4798" w14:textId="77777777" w:rsidR="009C05AE" w:rsidRPr="009C05AE" w:rsidRDefault="009C05AE" w:rsidP="009C05AE">
            <w:pPr>
              <w:widowControl/>
              <w:ind w:firstLine="0"/>
              <w:jc w:val="left"/>
              <w:rPr>
                <w:color w:val="000000"/>
                <w:sz w:val="20"/>
                <w:szCs w:val="20"/>
              </w:rPr>
            </w:pPr>
            <w:r w:rsidRPr="009C05AE">
              <w:rPr>
                <w:color w:val="000000"/>
                <w:sz w:val="20"/>
                <w:szCs w:val="20"/>
              </w:rPr>
              <w:t>Consumo Básico</w:t>
            </w:r>
          </w:p>
        </w:tc>
        <w:tc>
          <w:tcPr>
            <w:tcW w:w="1572" w:type="dxa"/>
            <w:tcBorders>
              <w:top w:val="nil"/>
              <w:left w:val="nil"/>
              <w:bottom w:val="nil"/>
              <w:right w:val="nil"/>
            </w:tcBorders>
            <w:shd w:val="clear" w:color="auto" w:fill="auto"/>
            <w:vAlign w:val="bottom"/>
          </w:tcPr>
          <w:p w14:paraId="6E6675B9" w14:textId="77777777" w:rsidR="009C05AE" w:rsidRPr="009C05AE" w:rsidRDefault="009C05AE" w:rsidP="009C05AE">
            <w:pPr>
              <w:widowControl/>
              <w:ind w:firstLine="0"/>
              <w:jc w:val="center"/>
              <w:rPr>
                <w:color w:val="000000"/>
                <w:sz w:val="20"/>
                <w:szCs w:val="20"/>
              </w:rPr>
            </w:pPr>
            <w:r w:rsidRPr="009C05AE">
              <w:rPr>
                <w:color w:val="000000"/>
                <w:sz w:val="20"/>
                <w:szCs w:val="20"/>
              </w:rPr>
              <w:t>0,09731</w:t>
            </w:r>
          </w:p>
        </w:tc>
        <w:tc>
          <w:tcPr>
            <w:tcW w:w="3161" w:type="dxa"/>
            <w:tcBorders>
              <w:top w:val="nil"/>
              <w:left w:val="single" w:sz="4" w:space="0" w:color="000000"/>
              <w:bottom w:val="nil"/>
              <w:right w:val="nil"/>
            </w:tcBorders>
            <w:shd w:val="clear" w:color="auto" w:fill="auto"/>
            <w:vAlign w:val="center"/>
          </w:tcPr>
          <w:p w14:paraId="6BBF1C70" w14:textId="77777777" w:rsidR="009C05AE" w:rsidRPr="009C05AE" w:rsidRDefault="009C05AE" w:rsidP="009C05AE">
            <w:pPr>
              <w:widowControl/>
              <w:ind w:firstLine="0"/>
              <w:jc w:val="center"/>
              <w:rPr>
                <w:color w:val="000000"/>
                <w:sz w:val="20"/>
                <w:szCs w:val="20"/>
              </w:rPr>
            </w:pPr>
          </w:p>
        </w:tc>
        <w:tc>
          <w:tcPr>
            <w:tcW w:w="1550" w:type="dxa"/>
            <w:tcBorders>
              <w:top w:val="nil"/>
              <w:left w:val="nil"/>
              <w:bottom w:val="nil"/>
              <w:right w:val="nil"/>
            </w:tcBorders>
            <w:shd w:val="clear" w:color="auto" w:fill="auto"/>
            <w:vAlign w:val="bottom"/>
          </w:tcPr>
          <w:p w14:paraId="1DB2D3A0" w14:textId="77777777" w:rsidR="009C05AE" w:rsidRPr="009C05AE" w:rsidRDefault="009C05AE" w:rsidP="009C05AE">
            <w:pPr>
              <w:widowControl/>
              <w:ind w:firstLine="0"/>
              <w:jc w:val="center"/>
              <w:rPr>
                <w:color w:val="000000"/>
                <w:sz w:val="20"/>
                <w:szCs w:val="20"/>
              </w:rPr>
            </w:pPr>
          </w:p>
        </w:tc>
      </w:tr>
      <w:tr w:rsidR="009C05AE" w:rsidRPr="009C05AE" w14:paraId="3AC190FC" w14:textId="77777777" w:rsidTr="009C05AE">
        <w:trPr>
          <w:trHeight w:val="301"/>
        </w:trPr>
        <w:tc>
          <w:tcPr>
            <w:tcW w:w="3106" w:type="dxa"/>
            <w:tcBorders>
              <w:top w:val="nil"/>
              <w:left w:val="nil"/>
              <w:bottom w:val="nil"/>
              <w:right w:val="nil"/>
            </w:tcBorders>
            <w:shd w:val="clear" w:color="auto" w:fill="auto"/>
            <w:vAlign w:val="bottom"/>
          </w:tcPr>
          <w:p w14:paraId="2E22604F" w14:textId="77777777" w:rsidR="009C05AE" w:rsidRPr="009C05AE" w:rsidRDefault="009C05AE" w:rsidP="009C05AE">
            <w:pPr>
              <w:widowControl/>
              <w:ind w:firstLine="0"/>
              <w:jc w:val="left"/>
              <w:rPr>
                <w:color w:val="000000"/>
                <w:sz w:val="20"/>
                <w:szCs w:val="20"/>
              </w:rPr>
            </w:pPr>
            <w:r w:rsidRPr="009C05AE">
              <w:rPr>
                <w:color w:val="000000"/>
                <w:sz w:val="20"/>
                <w:szCs w:val="20"/>
              </w:rPr>
              <w:t>Energia</w:t>
            </w:r>
          </w:p>
        </w:tc>
        <w:tc>
          <w:tcPr>
            <w:tcW w:w="1572" w:type="dxa"/>
            <w:tcBorders>
              <w:top w:val="nil"/>
              <w:left w:val="nil"/>
              <w:bottom w:val="nil"/>
              <w:right w:val="nil"/>
            </w:tcBorders>
            <w:shd w:val="clear" w:color="auto" w:fill="auto"/>
            <w:vAlign w:val="bottom"/>
          </w:tcPr>
          <w:p w14:paraId="77D57410" w14:textId="77777777" w:rsidR="009C05AE" w:rsidRPr="009C05AE" w:rsidRDefault="009C05AE" w:rsidP="009C05AE">
            <w:pPr>
              <w:widowControl/>
              <w:ind w:firstLine="0"/>
              <w:jc w:val="center"/>
              <w:rPr>
                <w:color w:val="000000"/>
                <w:sz w:val="20"/>
                <w:szCs w:val="20"/>
              </w:rPr>
            </w:pPr>
            <w:r w:rsidRPr="009C05AE">
              <w:rPr>
                <w:color w:val="000000"/>
                <w:sz w:val="20"/>
                <w:szCs w:val="20"/>
              </w:rPr>
              <w:t>0,14929**</w:t>
            </w:r>
          </w:p>
        </w:tc>
        <w:tc>
          <w:tcPr>
            <w:tcW w:w="3161" w:type="dxa"/>
            <w:tcBorders>
              <w:top w:val="nil"/>
              <w:left w:val="single" w:sz="4" w:space="0" w:color="000000"/>
              <w:bottom w:val="nil"/>
              <w:right w:val="nil"/>
            </w:tcBorders>
            <w:shd w:val="clear" w:color="auto" w:fill="auto"/>
            <w:vAlign w:val="center"/>
          </w:tcPr>
          <w:p w14:paraId="52D280F3" w14:textId="77777777" w:rsidR="009C05AE" w:rsidRPr="009C05AE" w:rsidRDefault="009C05AE" w:rsidP="009C05AE">
            <w:pPr>
              <w:widowControl/>
              <w:ind w:firstLine="0"/>
              <w:jc w:val="center"/>
              <w:rPr>
                <w:i/>
                <w:color w:val="000000"/>
                <w:sz w:val="20"/>
                <w:szCs w:val="20"/>
              </w:rPr>
            </w:pPr>
            <w:proofErr w:type="spellStart"/>
            <w:r w:rsidRPr="009C05AE">
              <w:rPr>
                <w:i/>
                <w:color w:val="000000"/>
                <w:sz w:val="20"/>
                <w:szCs w:val="20"/>
              </w:rPr>
              <w:t>Prob</w:t>
            </w:r>
            <w:proofErr w:type="spellEnd"/>
            <w:r w:rsidRPr="009C05AE">
              <w:rPr>
                <w:i/>
                <w:color w:val="000000"/>
                <w:sz w:val="20"/>
                <w:szCs w:val="20"/>
              </w:rPr>
              <w:t xml:space="preserve"> &gt; Chi2</w:t>
            </w:r>
          </w:p>
        </w:tc>
        <w:tc>
          <w:tcPr>
            <w:tcW w:w="1550" w:type="dxa"/>
            <w:tcBorders>
              <w:top w:val="nil"/>
              <w:left w:val="nil"/>
              <w:bottom w:val="nil"/>
              <w:right w:val="nil"/>
            </w:tcBorders>
            <w:shd w:val="clear" w:color="auto" w:fill="auto"/>
            <w:vAlign w:val="bottom"/>
          </w:tcPr>
          <w:p w14:paraId="70A9BCEC" w14:textId="77777777" w:rsidR="009C05AE" w:rsidRPr="009C05AE" w:rsidRDefault="009C05AE" w:rsidP="009C05AE">
            <w:pPr>
              <w:widowControl/>
              <w:ind w:firstLine="0"/>
              <w:jc w:val="center"/>
              <w:rPr>
                <w:color w:val="000000"/>
                <w:sz w:val="20"/>
                <w:szCs w:val="20"/>
              </w:rPr>
            </w:pPr>
            <w:r w:rsidRPr="009C05AE">
              <w:rPr>
                <w:color w:val="000000"/>
                <w:sz w:val="20"/>
                <w:szCs w:val="20"/>
              </w:rPr>
              <w:t>0,0000</w:t>
            </w:r>
          </w:p>
        </w:tc>
      </w:tr>
      <w:tr w:rsidR="009C05AE" w:rsidRPr="009C05AE" w14:paraId="4CD20EF5" w14:textId="77777777" w:rsidTr="009C05AE">
        <w:trPr>
          <w:trHeight w:val="301"/>
        </w:trPr>
        <w:tc>
          <w:tcPr>
            <w:tcW w:w="3106" w:type="dxa"/>
            <w:tcBorders>
              <w:top w:val="nil"/>
              <w:left w:val="nil"/>
              <w:bottom w:val="nil"/>
              <w:right w:val="nil"/>
            </w:tcBorders>
            <w:shd w:val="clear" w:color="auto" w:fill="auto"/>
            <w:vAlign w:val="bottom"/>
          </w:tcPr>
          <w:p w14:paraId="2EE3F913" w14:textId="77777777" w:rsidR="009C05AE" w:rsidRPr="009C05AE" w:rsidRDefault="009C05AE" w:rsidP="009C05AE">
            <w:pPr>
              <w:widowControl/>
              <w:ind w:firstLine="0"/>
              <w:jc w:val="left"/>
              <w:rPr>
                <w:color w:val="000000"/>
                <w:sz w:val="20"/>
                <w:szCs w:val="20"/>
              </w:rPr>
            </w:pPr>
            <w:r w:rsidRPr="009C05AE">
              <w:rPr>
                <w:color w:val="000000"/>
                <w:sz w:val="20"/>
                <w:szCs w:val="20"/>
              </w:rPr>
              <w:t>Bens Industriais</w:t>
            </w:r>
          </w:p>
        </w:tc>
        <w:tc>
          <w:tcPr>
            <w:tcW w:w="1572" w:type="dxa"/>
            <w:tcBorders>
              <w:top w:val="nil"/>
              <w:left w:val="nil"/>
              <w:bottom w:val="nil"/>
              <w:right w:val="nil"/>
            </w:tcBorders>
            <w:shd w:val="clear" w:color="auto" w:fill="auto"/>
            <w:vAlign w:val="bottom"/>
          </w:tcPr>
          <w:p w14:paraId="7AD72C75" w14:textId="77777777" w:rsidR="009C05AE" w:rsidRPr="009C05AE" w:rsidRDefault="009C05AE" w:rsidP="009C05AE">
            <w:pPr>
              <w:widowControl/>
              <w:ind w:firstLine="0"/>
              <w:jc w:val="center"/>
              <w:rPr>
                <w:color w:val="000000"/>
                <w:sz w:val="20"/>
                <w:szCs w:val="20"/>
              </w:rPr>
            </w:pPr>
            <w:r w:rsidRPr="009C05AE">
              <w:rPr>
                <w:color w:val="000000"/>
                <w:sz w:val="20"/>
                <w:szCs w:val="20"/>
              </w:rPr>
              <w:t>0,09326**</w:t>
            </w:r>
          </w:p>
        </w:tc>
        <w:tc>
          <w:tcPr>
            <w:tcW w:w="3161" w:type="dxa"/>
            <w:tcBorders>
              <w:top w:val="nil"/>
              <w:left w:val="single" w:sz="4" w:space="0" w:color="000000"/>
              <w:bottom w:val="nil"/>
              <w:right w:val="nil"/>
            </w:tcBorders>
            <w:shd w:val="clear" w:color="auto" w:fill="auto"/>
            <w:vAlign w:val="center"/>
          </w:tcPr>
          <w:p w14:paraId="2BD18D8D" w14:textId="77777777" w:rsidR="009C05AE" w:rsidRPr="009C05AE" w:rsidRDefault="009C05AE" w:rsidP="009C05AE">
            <w:pPr>
              <w:widowControl/>
              <w:ind w:firstLine="0"/>
              <w:jc w:val="center"/>
              <w:rPr>
                <w:i/>
                <w:color w:val="000000"/>
                <w:sz w:val="20"/>
                <w:szCs w:val="20"/>
              </w:rPr>
            </w:pPr>
            <w:proofErr w:type="spellStart"/>
            <w:r w:rsidRPr="009C05AE">
              <w:rPr>
                <w:i/>
                <w:color w:val="000000"/>
                <w:sz w:val="20"/>
                <w:szCs w:val="20"/>
              </w:rPr>
              <w:t>Within</w:t>
            </w:r>
            <w:proofErr w:type="spellEnd"/>
          </w:p>
        </w:tc>
        <w:tc>
          <w:tcPr>
            <w:tcW w:w="1550" w:type="dxa"/>
            <w:tcBorders>
              <w:top w:val="nil"/>
              <w:left w:val="nil"/>
              <w:bottom w:val="nil"/>
              <w:right w:val="nil"/>
            </w:tcBorders>
            <w:shd w:val="clear" w:color="auto" w:fill="auto"/>
            <w:vAlign w:val="bottom"/>
          </w:tcPr>
          <w:p w14:paraId="2130163E" w14:textId="77777777" w:rsidR="009C05AE" w:rsidRPr="009C05AE" w:rsidRDefault="009C05AE" w:rsidP="009C05AE">
            <w:pPr>
              <w:widowControl/>
              <w:ind w:firstLine="0"/>
              <w:jc w:val="center"/>
              <w:rPr>
                <w:color w:val="000000"/>
                <w:sz w:val="20"/>
                <w:szCs w:val="20"/>
              </w:rPr>
            </w:pPr>
            <w:r w:rsidRPr="009C05AE">
              <w:rPr>
                <w:color w:val="000000"/>
                <w:sz w:val="20"/>
                <w:szCs w:val="20"/>
              </w:rPr>
              <w:t>0,0056</w:t>
            </w:r>
          </w:p>
        </w:tc>
      </w:tr>
      <w:tr w:rsidR="009C05AE" w:rsidRPr="009C05AE" w14:paraId="05E26057" w14:textId="77777777" w:rsidTr="009C05AE">
        <w:trPr>
          <w:trHeight w:val="301"/>
        </w:trPr>
        <w:tc>
          <w:tcPr>
            <w:tcW w:w="3106" w:type="dxa"/>
            <w:tcBorders>
              <w:top w:val="nil"/>
              <w:left w:val="nil"/>
              <w:bottom w:val="nil"/>
              <w:right w:val="nil"/>
            </w:tcBorders>
            <w:shd w:val="clear" w:color="auto" w:fill="auto"/>
            <w:vAlign w:val="bottom"/>
          </w:tcPr>
          <w:p w14:paraId="31949CF4" w14:textId="77777777" w:rsidR="009C05AE" w:rsidRPr="009C05AE" w:rsidRDefault="009C05AE" w:rsidP="009C05AE">
            <w:pPr>
              <w:widowControl/>
              <w:ind w:firstLine="0"/>
              <w:jc w:val="left"/>
              <w:rPr>
                <w:color w:val="000000"/>
                <w:sz w:val="20"/>
                <w:szCs w:val="20"/>
              </w:rPr>
            </w:pPr>
            <w:r w:rsidRPr="009C05AE">
              <w:rPr>
                <w:color w:val="000000"/>
                <w:sz w:val="20"/>
                <w:szCs w:val="20"/>
              </w:rPr>
              <w:t>Tecnologia da Informação</w:t>
            </w:r>
          </w:p>
        </w:tc>
        <w:tc>
          <w:tcPr>
            <w:tcW w:w="1572" w:type="dxa"/>
            <w:tcBorders>
              <w:top w:val="nil"/>
              <w:left w:val="nil"/>
              <w:bottom w:val="nil"/>
              <w:right w:val="nil"/>
            </w:tcBorders>
            <w:shd w:val="clear" w:color="auto" w:fill="auto"/>
            <w:vAlign w:val="bottom"/>
          </w:tcPr>
          <w:p w14:paraId="2D560F37" w14:textId="77777777" w:rsidR="009C05AE" w:rsidRPr="009C05AE" w:rsidRDefault="009C05AE" w:rsidP="009C05AE">
            <w:pPr>
              <w:widowControl/>
              <w:ind w:firstLine="0"/>
              <w:jc w:val="center"/>
              <w:rPr>
                <w:color w:val="000000"/>
                <w:sz w:val="20"/>
                <w:szCs w:val="20"/>
              </w:rPr>
            </w:pPr>
            <w:r w:rsidRPr="009C05AE">
              <w:rPr>
                <w:color w:val="000000"/>
                <w:sz w:val="20"/>
                <w:szCs w:val="20"/>
              </w:rPr>
              <w:t>0,15345***</w:t>
            </w:r>
          </w:p>
        </w:tc>
        <w:tc>
          <w:tcPr>
            <w:tcW w:w="3161" w:type="dxa"/>
            <w:tcBorders>
              <w:top w:val="nil"/>
              <w:left w:val="single" w:sz="4" w:space="0" w:color="000000"/>
              <w:bottom w:val="nil"/>
              <w:right w:val="nil"/>
            </w:tcBorders>
            <w:shd w:val="clear" w:color="auto" w:fill="auto"/>
            <w:vAlign w:val="center"/>
          </w:tcPr>
          <w:p w14:paraId="59926AE6" w14:textId="77777777" w:rsidR="009C05AE" w:rsidRPr="009C05AE" w:rsidRDefault="009C05AE" w:rsidP="009C05AE">
            <w:pPr>
              <w:widowControl/>
              <w:ind w:firstLine="0"/>
              <w:jc w:val="center"/>
              <w:rPr>
                <w:i/>
                <w:color w:val="000000"/>
                <w:sz w:val="20"/>
                <w:szCs w:val="20"/>
              </w:rPr>
            </w:pPr>
            <w:proofErr w:type="spellStart"/>
            <w:r w:rsidRPr="009C05AE">
              <w:rPr>
                <w:i/>
                <w:color w:val="000000"/>
                <w:sz w:val="20"/>
                <w:szCs w:val="20"/>
              </w:rPr>
              <w:t>Between</w:t>
            </w:r>
            <w:proofErr w:type="spellEnd"/>
          </w:p>
        </w:tc>
        <w:tc>
          <w:tcPr>
            <w:tcW w:w="1550" w:type="dxa"/>
            <w:tcBorders>
              <w:top w:val="nil"/>
              <w:left w:val="nil"/>
              <w:bottom w:val="nil"/>
              <w:right w:val="nil"/>
            </w:tcBorders>
            <w:shd w:val="clear" w:color="auto" w:fill="auto"/>
            <w:vAlign w:val="bottom"/>
          </w:tcPr>
          <w:p w14:paraId="611BE30D" w14:textId="77777777" w:rsidR="009C05AE" w:rsidRPr="009C05AE" w:rsidRDefault="009C05AE" w:rsidP="009C05AE">
            <w:pPr>
              <w:widowControl/>
              <w:ind w:firstLine="0"/>
              <w:jc w:val="center"/>
              <w:rPr>
                <w:color w:val="000000"/>
                <w:sz w:val="20"/>
                <w:szCs w:val="20"/>
              </w:rPr>
            </w:pPr>
            <w:r w:rsidRPr="009C05AE">
              <w:rPr>
                <w:color w:val="000000"/>
                <w:sz w:val="20"/>
                <w:szCs w:val="20"/>
              </w:rPr>
              <w:t>0,7821</w:t>
            </w:r>
          </w:p>
        </w:tc>
      </w:tr>
      <w:tr w:rsidR="009C05AE" w:rsidRPr="009C05AE" w14:paraId="0EB69D65" w14:textId="77777777" w:rsidTr="009C05AE">
        <w:trPr>
          <w:trHeight w:val="301"/>
        </w:trPr>
        <w:tc>
          <w:tcPr>
            <w:tcW w:w="3106" w:type="dxa"/>
            <w:tcBorders>
              <w:top w:val="nil"/>
              <w:left w:val="nil"/>
              <w:bottom w:val="nil"/>
              <w:right w:val="nil"/>
            </w:tcBorders>
            <w:shd w:val="clear" w:color="auto" w:fill="auto"/>
            <w:vAlign w:val="bottom"/>
          </w:tcPr>
          <w:p w14:paraId="58968B52" w14:textId="77777777" w:rsidR="009C05AE" w:rsidRPr="009C05AE" w:rsidRDefault="009C05AE" w:rsidP="009C05AE">
            <w:pPr>
              <w:widowControl/>
              <w:ind w:firstLine="0"/>
              <w:jc w:val="left"/>
              <w:rPr>
                <w:color w:val="000000"/>
                <w:sz w:val="20"/>
                <w:szCs w:val="20"/>
              </w:rPr>
            </w:pPr>
            <w:r w:rsidRPr="009C05AE">
              <w:rPr>
                <w:color w:val="000000"/>
                <w:sz w:val="20"/>
                <w:szCs w:val="20"/>
              </w:rPr>
              <w:t>Materiais Básicos</w:t>
            </w:r>
          </w:p>
        </w:tc>
        <w:tc>
          <w:tcPr>
            <w:tcW w:w="1572" w:type="dxa"/>
            <w:tcBorders>
              <w:top w:val="nil"/>
              <w:left w:val="nil"/>
              <w:bottom w:val="nil"/>
              <w:right w:val="nil"/>
            </w:tcBorders>
            <w:shd w:val="clear" w:color="auto" w:fill="auto"/>
            <w:vAlign w:val="bottom"/>
          </w:tcPr>
          <w:p w14:paraId="226BBEF4" w14:textId="77777777" w:rsidR="009C05AE" w:rsidRPr="009C05AE" w:rsidRDefault="009C05AE" w:rsidP="009C05AE">
            <w:pPr>
              <w:widowControl/>
              <w:ind w:firstLine="0"/>
              <w:jc w:val="center"/>
              <w:rPr>
                <w:color w:val="000000"/>
                <w:sz w:val="20"/>
                <w:szCs w:val="20"/>
              </w:rPr>
            </w:pPr>
            <w:r w:rsidRPr="009C05AE">
              <w:rPr>
                <w:color w:val="000000"/>
                <w:sz w:val="20"/>
                <w:szCs w:val="20"/>
              </w:rPr>
              <w:t>-0,15946***</w:t>
            </w:r>
          </w:p>
        </w:tc>
        <w:tc>
          <w:tcPr>
            <w:tcW w:w="3161" w:type="dxa"/>
            <w:tcBorders>
              <w:top w:val="nil"/>
              <w:left w:val="single" w:sz="4" w:space="0" w:color="000000"/>
              <w:bottom w:val="nil"/>
              <w:right w:val="nil"/>
            </w:tcBorders>
            <w:shd w:val="clear" w:color="auto" w:fill="auto"/>
            <w:vAlign w:val="center"/>
          </w:tcPr>
          <w:p w14:paraId="1A895B47" w14:textId="77777777" w:rsidR="009C05AE" w:rsidRPr="009C05AE" w:rsidRDefault="009C05AE" w:rsidP="009C05AE">
            <w:pPr>
              <w:widowControl/>
              <w:ind w:firstLine="0"/>
              <w:jc w:val="center"/>
              <w:rPr>
                <w:i/>
                <w:color w:val="000000"/>
                <w:sz w:val="20"/>
                <w:szCs w:val="20"/>
              </w:rPr>
            </w:pPr>
            <w:r w:rsidRPr="009C05AE">
              <w:rPr>
                <w:i/>
                <w:color w:val="000000"/>
                <w:sz w:val="20"/>
                <w:szCs w:val="20"/>
              </w:rPr>
              <w:t>Overall</w:t>
            </w:r>
          </w:p>
        </w:tc>
        <w:tc>
          <w:tcPr>
            <w:tcW w:w="1550" w:type="dxa"/>
            <w:tcBorders>
              <w:top w:val="nil"/>
              <w:left w:val="nil"/>
              <w:bottom w:val="nil"/>
              <w:right w:val="nil"/>
            </w:tcBorders>
            <w:shd w:val="clear" w:color="auto" w:fill="auto"/>
            <w:vAlign w:val="bottom"/>
          </w:tcPr>
          <w:p w14:paraId="227F74F5" w14:textId="77777777" w:rsidR="009C05AE" w:rsidRPr="009C05AE" w:rsidRDefault="009C05AE" w:rsidP="009C05AE">
            <w:pPr>
              <w:widowControl/>
              <w:ind w:firstLine="0"/>
              <w:jc w:val="center"/>
              <w:rPr>
                <w:color w:val="000000"/>
                <w:sz w:val="20"/>
                <w:szCs w:val="20"/>
              </w:rPr>
            </w:pPr>
            <w:r w:rsidRPr="009C05AE">
              <w:rPr>
                <w:color w:val="000000"/>
                <w:sz w:val="20"/>
                <w:szCs w:val="20"/>
              </w:rPr>
              <w:t>0,7075</w:t>
            </w:r>
          </w:p>
        </w:tc>
      </w:tr>
      <w:tr w:rsidR="009C05AE" w:rsidRPr="009C05AE" w14:paraId="67183342" w14:textId="77777777" w:rsidTr="009C05AE">
        <w:trPr>
          <w:trHeight w:val="301"/>
        </w:trPr>
        <w:tc>
          <w:tcPr>
            <w:tcW w:w="3106" w:type="dxa"/>
            <w:tcBorders>
              <w:top w:val="nil"/>
              <w:left w:val="nil"/>
              <w:bottom w:val="nil"/>
              <w:right w:val="nil"/>
            </w:tcBorders>
            <w:shd w:val="clear" w:color="auto" w:fill="auto"/>
            <w:vAlign w:val="bottom"/>
          </w:tcPr>
          <w:p w14:paraId="0EC0DC9F" w14:textId="77777777" w:rsidR="009C05AE" w:rsidRPr="009C05AE" w:rsidRDefault="009C05AE" w:rsidP="009C05AE">
            <w:pPr>
              <w:widowControl/>
              <w:ind w:firstLine="0"/>
              <w:jc w:val="left"/>
              <w:rPr>
                <w:color w:val="000000"/>
                <w:sz w:val="20"/>
                <w:szCs w:val="20"/>
              </w:rPr>
            </w:pPr>
            <w:r w:rsidRPr="009C05AE">
              <w:rPr>
                <w:color w:val="000000"/>
                <w:sz w:val="20"/>
                <w:szCs w:val="20"/>
              </w:rPr>
              <w:t>Imobiliária</w:t>
            </w:r>
          </w:p>
        </w:tc>
        <w:tc>
          <w:tcPr>
            <w:tcW w:w="1572" w:type="dxa"/>
            <w:tcBorders>
              <w:top w:val="nil"/>
              <w:left w:val="nil"/>
              <w:bottom w:val="nil"/>
              <w:right w:val="nil"/>
            </w:tcBorders>
            <w:shd w:val="clear" w:color="auto" w:fill="auto"/>
            <w:vAlign w:val="bottom"/>
          </w:tcPr>
          <w:p w14:paraId="17DC8AB1" w14:textId="77777777" w:rsidR="009C05AE" w:rsidRPr="009C05AE" w:rsidRDefault="009C05AE" w:rsidP="009C05AE">
            <w:pPr>
              <w:widowControl/>
              <w:ind w:firstLine="0"/>
              <w:jc w:val="center"/>
              <w:rPr>
                <w:color w:val="000000"/>
                <w:sz w:val="20"/>
                <w:szCs w:val="20"/>
              </w:rPr>
            </w:pPr>
            <w:r w:rsidRPr="009C05AE">
              <w:rPr>
                <w:color w:val="000000"/>
                <w:sz w:val="20"/>
                <w:szCs w:val="20"/>
              </w:rPr>
              <w:t>-0,24718***</w:t>
            </w:r>
          </w:p>
        </w:tc>
        <w:tc>
          <w:tcPr>
            <w:tcW w:w="3161" w:type="dxa"/>
            <w:tcBorders>
              <w:top w:val="nil"/>
              <w:left w:val="single" w:sz="4" w:space="0" w:color="000000"/>
              <w:bottom w:val="nil"/>
              <w:right w:val="nil"/>
            </w:tcBorders>
            <w:shd w:val="clear" w:color="auto" w:fill="auto"/>
            <w:vAlign w:val="center"/>
          </w:tcPr>
          <w:p w14:paraId="02C1745B" w14:textId="77777777" w:rsidR="009C05AE" w:rsidRPr="009C05AE" w:rsidRDefault="009C05AE" w:rsidP="009C05AE">
            <w:pPr>
              <w:widowControl/>
              <w:ind w:firstLine="0"/>
              <w:jc w:val="center"/>
              <w:rPr>
                <w:color w:val="000000"/>
                <w:sz w:val="20"/>
                <w:szCs w:val="20"/>
              </w:rPr>
            </w:pPr>
            <w:r w:rsidRPr="009C05AE">
              <w:rPr>
                <w:color w:val="000000"/>
                <w:sz w:val="20"/>
                <w:szCs w:val="20"/>
              </w:rPr>
              <w:t> </w:t>
            </w:r>
          </w:p>
        </w:tc>
        <w:tc>
          <w:tcPr>
            <w:tcW w:w="1550" w:type="dxa"/>
            <w:tcBorders>
              <w:top w:val="nil"/>
              <w:left w:val="nil"/>
              <w:bottom w:val="nil"/>
              <w:right w:val="nil"/>
            </w:tcBorders>
            <w:shd w:val="clear" w:color="auto" w:fill="auto"/>
            <w:vAlign w:val="bottom"/>
          </w:tcPr>
          <w:p w14:paraId="5299888C" w14:textId="77777777" w:rsidR="009C05AE" w:rsidRPr="009C05AE" w:rsidRDefault="009C05AE" w:rsidP="009C05AE">
            <w:pPr>
              <w:widowControl/>
              <w:ind w:firstLine="0"/>
              <w:jc w:val="center"/>
              <w:rPr>
                <w:color w:val="000000"/>
                <w:sz w:val="20"/>
                <w:szCs w:val="20"/>
              </w:rPr>
            </w:pPr>
          </w:p>
        </w:tc>
      </w:tr>
      <w:tr w:rsidR="009C05AE" w:rsidRPr="009C05AE" w14:paraId="2096F2CB" w14:textId="77777777" w:rsidTr="009C05AE">
        <w:trPr>
          <w:trHeight w:val="301"/>
        </w:trPr>
        <w:tc>
          <w:tcPr>
            <w:tcW w:w="3106" w:type="dxa"/>
            <w:tcBorders>
              <w:top w:val="nil"/>
              <w:left w:val="nil"/>
              <w:bottom w:val="nil"/>
              <w:right w:val="nil"/>
            </w:tcBorders>
            <w:shd w:val="clear" w:color="auto" w:fill="auto"/>
            <w:vAlign w:val="bottom"/>
          </w:tcPr>
          <w:p w14:paraId="26735800" w14:textId="77777777" w:rsidR="009C05AE" w:rsidRPr="009C05AE" w:rsidRDefault="009C05AE" w:rsidP="009C05AE">
            <w:pPr>
              <w:widowControl/>
              <w:ind w:firstLine="0"/>
              <w:jc w:val="left"/>
              <w:rPr>
                <w:color w:val="000000"/>
                <w:sz w:val="20"/>
                <w:szCs w:val="20"/>
              </w:rPr>
            </w:pPr>
            <w:r w:rsidRPr="009C05AE">
              <w:rPr>
                <w:color w:val="000000"/>
                <w:sz w:val="20"/>
                <w:szCs w:val="20"/>
              </w:rPr>
              <w:t>Serviços de Utilidade Pública</w:t>
            </w:r>
          </w:p>
        </w:tc>
        <w:tc>
          <w:tcPr>
            <w:tcW w:w="1572" w:type="dxa"/>
            <w:tcBorders>
              <w:top w:val="nil"/>
              <w:left w:val="nil"/>
              <w:bottom w:val="nil"/>
              <w:right w:val="nil"/>
            </w:tcBorders>
            <w:shd w:val="clear" w:color="auto" w:fill="auto"/>
            <w:vAlign w:val="bottom"/>
          </w:tcPr>
          <w:p w14:paraId="3203B67E" w14:textId="77777777" w:rsidR="009C05AE" w:rsidRPr="009C05AE" w:rsidRDefault="009C05AE" w:rsidP="009C05AE">
            <w:pPr>
              <w:widowControl/>
              <w:ind w:firstLine="0"/>
              <w:jc w:val="center"/>
              <w:rPr>
                <w:color w:val="000000"/>
                <w:sz w:val="20"/>
                <w:szCs w:val="20"/>
              </w:rPr>
            </w:pPr>
            <w:r w:rsidRPr="009C05AE">
              <w:rPr>
                <w:color w:val="000000"/>
                <w:sz w:val="20"/>
                <w:szCs w:val="20"/>
              </w:rPr>
              <w:t>-0,12928***</w:t>
            </w:r>
          </w:p>
        </w:tc>
        <w:tc>
          <w:tcPr>
            <w:tcW w:w="3161" w:type="dxa"/>
            <w:tcBorders>
              <w:top w:val="nil"/>
              <w:left w:val="single" w:sz="4" w:space="0" w:color="000000"/>
              <w:bottom w:val="nil"/>
              <w:right w:val="nil"/>
            </w:tcBorders>
            <w:shd w:val="clear" w:color="auto" w:fill="auto"/>
            <w:vAlign w:val="center"/>
          </w:tcPr>
          <w:p w14:paraId="537CC5FB" w14:textId="77777777" w:rsidR="009C05AE" w:rsidRPr="009C05AE" w:rsidRDefault="009C05AE" w:rsidP="009C05AE">
            <w:pPr>
              <w:widowControl/>
              <w:ind w:firstLine="0"/>
              <w:jc w:val="center"/>
              <w:rPr>
                <w:color w:val="000000"/>
                <w:sz w:val="20"/>
                <w:szCs w:val="20"/>
              </w:rPr>
            </w:pPr>
            <w:r w:rsidRPr="009C05AE">
              <w:rPr>
                <w:color w:val="000000"/>
                <w:sz w:val="20"/>
                <w:szCs w:val="20"/>
              </w:rPr>
              <w:t>Nº. de Empresas</w:t>
            </w:r>
          </w:p>
        </w:tc>
        <w:tc>
          <w:tcPr>
            <w:tcW w:w="1550" w:type="dxa"/>
            <w:tcBorders>
              <w:top w:val="nil"/>
              <w:left w:val="nil"/>
              <w:bottom w:val="nil"/>
              <w:right w:val="nil"/>
            </w:tcBorders>
            <w:shd w:val="clear" w:color="auto" w:fill="auto"/>
            <w:vAlign w:val="bottom"/>
          </w:tcPr>
          <w:p w14:paraId="74C40F96" w14:textId="77777777" w:rsidR="009C05AE" w:rsidRPr="009C05AE" w:rsidRDefault="009C05AE" w:rsidP="009C05AE">
            <w:pPr>
              <w:widowControl/>
              <w:ind w:firstLine="0"/>
              <w:jc w:val="center"/>
              <w:rPr>
                <w:color w:val="000000"/>
                <w:sz w:val="20"/>
                <w:szCs w:val="20"/>
              </w:rPr>
            </w:pPr>
            <w:r w:rsidRPr="009C05AE">
              <w:rPr>
                <w:color w:val="000000"/>
                <w:sz w:val="20"/>
                <w:szCs w:val="20"/>
              </w:rPr>
              <w:t>32</w:t>
            </w:r>
          </w:p>
        </w:tc>
      </w:tr>
      <w:tr w:rsidR="009C05AE" w:rsidRPr="009C05AE" w14:paraId="626E37BF" w14:textId="77777777" w:rsidTr="009C05AE">
        <w:trPr>
          <w:trHeight w:val="301"/>
        </w:trPr>
        <w:tc>
          <w:tcPr>
            <w:tcW w:w="3106" w:type="dxa"/>
            <w:tcBorders>
              <w:top w:val="nil"/>
              <w:left w:val="nil"/>
              <w:bottom w:val="single" w:sz="4" w:space="0" w:color="000000"/>
              <w:right w:val="nil"/>
            </w:tcBorders>
            <w:shd w:val="clear" w:color="auto" w:fill="auto"/>
            <w:vAlign w:val="bottom"/>
          </w:tcPr>
          <w:p w14:paraId="59ED0E9E" w14:textId="77777777" w:rsidR="009C05AE" w:rsidRPr="009C05AE" w:rsidRDefault="009C05AE" w:rsidP="009C05AE">
            <w:pPr>
              <w:widowControl/>
              <w:ind w:firstLine="0"/>
              <w:jc w:val="left"/>
              <w:rPr>
                <w:color w:val="000000"/>
                <w:sz w:val="20"/>
                <w:szCs w:val="20"/>
              </w:rPr>
            </w:pPr>
            <w:r w:rsidRPr="009C05AE">
              <w:rPr>
                <w:color w:val="000000"/>
                <w:sz w:val="20"/>
                <w:szCs w:val="20"/>
              </w:rPr>
              <w:t>Constante</w:t>
            </w:r>
          </w:p>
        </w:tc>
        <w:tc>
          <w:tcPr>
            <w:tcW w:w="1572" w:type="dxa"/>
            <w:tcBorders>
              <w:top w:val="nil"/>
              <w:left w:val="nil"/>
              <w:bottom w:val="single" w:sz="4" w:space="0" w:color="000000"/>
              <w:right w:val="nil"/>
            </w:tcBorders>
            <w:shd w:val="clear" w:color="auto" w:fill="auto"/>
            <w:vAlign w:val="bottom"/>
          </w:tcPr>
          <w:p w14:paraId="76569810" w14:textId="77777777" w:rsidR="009C05AE" w:rsidRPr="009C05AE" w:rsidRDefault="009C05AE" w:rsidP="009C05AE">
            <w:pPr>
              <w:widowControl/>
              <w:ind w:firstLine="0"/>
              <w:jc w:val="center"/>
              <w:rPr>
                <w:color w:val="000000"/>
                <w:sz w:val="20"/>
                <w:szCs w:val="20"/>
              </w:rPr>
            </w:pPr>
            <w:r w:rsidRPr="009C05AE">
              <w:rPr>
                <w:color w:val="000000"/>
                <w:sz w:val="20"/>
                <w:szCs w:val="20"/>
              </w:rPr>
              <w:t>0,11258</w:t>
            </w:r>
          </w:p>
        </w:tc>
        <w:tc>
          <w:tcPr>
            <w:tcW w:w="3161" w:type="dxa"/>
            <w:tcBorders>
              <w:top w:val="nil"/>
              <w:left w:val="single" w:sz="4" w:space="0" w:color="000000"/>
              <w:bottom w:val="single" w:sz="4" w:space="0" w:color="000000"/>
              <w:right w:val="nil"/>
            </w:tcBorders>
            <w:shd w:val="clear" w:color="auto" w:fill="auto"/>
            <w:vAlign w:val="center"/>
          </w:tcPr>
          <w:p w14:paraId="7314A7C1" w14:textId="77777777" w:rsidR="009C05AE" w:rsidRPr="009C05AE" w:rsidRDefault="009C05AE" w:rsidP="009C05AE">
            <w:pPr>
              <w:widowControl/>
              <w:ind w:firstLine="0"/>
              <w:jc w:val="center"/>
              <w:rPr>
                <w:color w:val="000000"/>
                <w:sz w:val="20"/>
                <w:szCs w:val="20"/>
              </w:rPr>
            </w:pPr>
            <w:r w:rsidRPr="009C05AE">
              <w:rPr>
                <w:color w:val="000000"/>
                <w:sz w:val="20"/>
                <w:szCs w:val="20"/>
              </w:rPr>
              <w:t>Observações</w:t>
            </w:r>
          </w:p>
        </w:tc>
        <w:tc>
          <w:tcPr>
            <w:tcW w:w="1550" w:type="dxa"/>
            <w:tcBorders>
              <w:top w:val="nil"/>
              <w:left w:val="nil"/>
              <w:bottom w:val="single" w:sz="4" w:space="0" w:color="000000"/>
              <w:right w:val="nil"/>
            </w:tcBorders>
            <w:shd w:val="clear" w:color="auto" w:fill="auto"/>
            <w:vAlign w:val="bottom"/>
          </w:tcPr>
          <w:p w14:paraId="7A748062" w14:textId="77777777" w:rsidR="009C05AE" w:rsidRPr="009C05AE" w:rsidRDefault="009C05AE" w:rsidP="009C05AE">
            <w:pPr>
              <w:widowControl/>
              <w:ind w:firstLine="0"/>
              <w:jc w:val="center"/>
              <w:rPr>
                <w:color w:val="000000"/>
                <w:sz w:val="20"/>
                <w:szCs w:val="20"/>
              </w:rPr>
            </w:pPr>
            <w:r w:rsidRPr="009C05AE">
              <w:rPr>
                <w:color w:val="000000"/>
                <w:sz w:val="20"/>
                <w:szCs w:val="20"/>
              </w:rPr>
              <w:t>96</w:t>
            </w:r>
          </w:p>
        </w:tc>
      </w:tr>
    </w:tbl>
    <w:p w14:paraId="395D75E0" w14:textId="77777777" w:rsidR="009C05AE" w:rsidRPr="009C05AE" w:rsidRDefault="009C05AE" w:rsidP="009C05AE">
      <w:pPr>
        <w:ind w:firstLine="0"/>
        <w:jc w:val="left"/>
        <w:rPr>
          <w:sz w:val="20"/>
          <w:szCs w:val="20"/>
        </w:rPr>
      </w:pPr>
      <w:r w:rsidRPr="006A4866">
        <w:rPr>
          <w:b/>
          <w:bCs/>
          <w:sz w:val="20"/>
          <w:szCs w:val="20"/>
        </w:rPr>
        <w:t>Fonte:</w:t>
      </w:r>
      <w:r w:rsidRPr="009C05AE">
        <w:rPr>
          <w:sz w:val="20"/>
          <w:szCs w:val="20"/>
        </w:rPr>
        <w:t xml:space="preserve"> Dados da Pesquisa, 2019.</w:t>
      </w:r>
    </w:p>
    <w:p w14:paraId="517FE3E5" w14:textId="77777777" w:rsidR="009C05AE" w:rsidRPr="009C05AE" w:rsidRDefault="009C05AE" w:rsidP="009C05AE">
      <w:pPr>
        <w:ind w:firstLine="0"/>
      </w:pPr>
    </w:p>
    <w:p w14:paraId="3256BA02" w14:textId="77777777" w:rsidR="009C05AE" w:rsidRPr="009C05AE" w:rsidRDefault="009C05AE" w:rsidP="009C05AE">
      <w:r w:rsidRPr="009C05AE">
        <w:t xml:space="preserve">Com relação ao grau de explicação dos fatores, escolhidos no estudo como determinantes </w:t>
      </w:r>
      <w:r w:rsidRPr="009C05AE">
        <w:lastRenderedPageBreak/>
        <w:t xml:space="preserve">no </w:t>
      </w:r>
      <w:proofErr w:type="spellStart"/>
      <w:r w:rsidRPr="009C05AE">
        <w:rPr>
          <w:i/>
        </w:rPr>
        <w:t>disclosure</w:t>
      </w:r>
      <w:proofErr w:type="spellEnd"/>
      <w:r w:rsidRPr="009C05AE">
        <w:t xml:space="preserve"> de informações do capital intelectual, é possível diagnosticar que o tamanho (</w:t>
      </w:r>
      <w:proofErr w:type="spellStart"/>
      <w:r w:rsidRPr="009C05AE">
        <w:t>TAM</w:t>
      </w:r>
      <w:r w:rsidRPr="009C05AE">
        <w:rPr>
          <w:vertAlign w:val="subscript"/>
        </w:rPr>
        <w:t>it</w:t>
      </w:r>
      <w:proofErr w:type="spellEnd"/>
      <w:r w:rsidRPr="009C05AE">
        <w:t>) (p-valor = 0,222) e a rentabilidade (</w:t>
      </w:r>
      <w:proofErr w:type="spellStart"/>
      <w:r w:rsidRPr="009C05AE">
        <w:t>RENT</w:t>
      </w:r>
      <w:r w:rsidRPr="009C05AE">
        <w:rPr>
          <w:vertAlign w:val="subscript"/>
        </w:rPr>
        <w:t>it</w:t>
      </w:r>
      <w:proofErr w:type="spellEnd"/>
      <w:r w:rsidRPr="009C05AE">
        <w:t>) (p-valor = 0,161) não foram considerados fatores de influência no grau de divulgação do CI, para esta amostra, negando assim as hipóteses 1 e 2 anteriormente formuladas para o estudo.</w:t>
      </w:r>
    </w:p>
    <w:p w14:paraId="442AB532" w14:textId="77777777" w:rsidR="009C05AE" w:rsidRPr="009C05AE" w:rsidRDefault="009C05AE" w:rsidP="009C05AE">
      <w:r w:rsidRPr="009C05AE">
        <w:t xml:space="preserve">Tais resultados contradizem as perspectivas de </w:t>
      </w:r>
      <w:proofErr w:type="spellStart"/>
      <w:r w:rsidRPr="009C05AE">
        <w:t>Bhayani</w:t>
      </w:r>
      <w:proofErr w:type="spellEnd"/>
      <w:r w:rsidRPr="009C05AE">
        <w:t xml:space="preserve"> (2012), </w:t>
      </w:r>
      <w:proofErr w:type="spellStart"/>
      <w:r w:rsidRPr="009C05AE">
        <w:t>Alkhatib</w:t>
      </w:r>
      <w:proofErr w:type="spellEnd"/>
      <w:r w:rsidRPr="009C05AE">
        <w:t xml:space="preserve"> (2014) e Romero e Cortés (2014). Porém, corroboram com alguns estudos anteriores, como </w:t>
      </w:r>
      <w:proofErr w:type="spellStart"/>
      <w:r w:rsidRPr="009C05AE">
        <w:t>Bontis</w:t>
      </w:r>
      <w:proofErr w:type="spellEnd"/>
      <w:r w:rsidRPr="009C05AE">
        <w:t xml:space="preserve"> (2003), Williams (2001) e Góis, De Luca, e </w:t>
      </w:r>
      <w:proofErr w:type="spellStart"/>
      <w:r w:rsidRPr="009C05AE">
        <w:t>Alcántara</w:t>
      </w:r>
      <w:proofErr w:type="spellEnd"/>
      <w:r w:rsidRPr="009C05AE">
        <w:t xml:space="preserve"> (2016), que também não encontraram, em seus resultados, relação significativa entre o tamanho e o nível de </w:t>
      </w:r>
      <w:proofErr w:type="spellStart"/>
      <w:r w:rsidRPr="006A4866">
        <w:rPr>
          <w:i/>
          <w:iCs/>
        </w:rPr>
        <w:t>disclosure</w:t>
      </w:r>
      <w:proofErr w:type="spellEnd"/>
      <w:r w:rsidRPr="006A4866">
        <w:rPr>
          <w:i/>
          <w:iCs/>
        </w:rPr>
        <w:t xml:space="preserve"> </w:t>
      </w:r>
      <w:r w:rsidRPr="009C05AE">
        <w:t xml:space="preserve">do CI; e, </w:t>
      </w:r>
      <w:proofErr w:type="spellStart"/>
      <w:r w:rsidRPr="009C05AE">
        <w:t>Kateb</w:t>
      </w:r>
      <w:proofErr w:type="spellEnd"/>
      <w:r w:rsidRPr="009C05AE">
        <w:t xml:space="preserve"> (2015), </w:t>
      </w:r>
      <w:proofErr w:type="spellStart"/>
      <w:r w:rsidRPr="009C05AE">
        <w:t>Ghasempour</w:t>
      </w:r>
      <w:proofErr w:type="spellEnd"/>
      <w:r w:rsidRPr="009C05AE">
        <w:t xml:space="preserve"> e </w:t>
      </w:r>
      <w:proofErr w:type="spellStart"/>
      <w:r w:rsidRPr="009C05AE">
        <w:t>Yusof</w:t>
      </w:r>
      <w:proofErr w:type="spellEnd"/>
      <w:r w:rsidRPr="009C05AE">
        <w:t xml:space="preserve"> (2014b), e Oliveira et al (2006), ao não observarem significância entre a rentabilidade e o </w:t>
      </w:r>
      <w:proofErr w:type="spellStart"/>
      <w:r w:rsidRPr="009C05AE">
        <w:rPr>
          <w:i/>
        </w:rPr>
        <w:t>disclosure</w:t>
      </w:r>
      <w:proofErr w:type="spellEnd"/>
      <w:r w:rsidRPr="009C05AE">
        <w:t xml:space="preserve"> do CI.</w:t>
      </w:r>
    </w:p>
    <w:p w14:paraId="35760A2B" w14:textId="77777777" w:rsidR="009C05AE" w:rsidRPr="009C05AE" w:rsidRDefault="009C05AE" w:rsidP="009C05AE">
      <w:r w:rsidRPr="009C05AE">
        <w:t>Já as variáveis de endividamento (</w:t>
      </w:r>
      <w:proofErr w:type="spellStart"/>
      <w:r w:rsidRPr="009C05AE">
        <w:t>END</w:t>
      </w:r>
      <w:r w:rsidRPr="009C05AE">
        <w:rPr>
          <w:vertAlign w:val="subscript"/>
        </w:rPr>
        <w:t>it</w:t>
      </w:r>
      <w:proofErr w:type="spellEnd"/>
      <w:r w:rsidRPr="009C05AE">
        <w:t>) e governança (</w:t>
      </w:r>
      <w:proofErr w:type="spellStart"/>
      <w:r w:rsidRPr="009C05AE">
        <w:t>GOV</w:t>
      </w:r>
      <w:r w:rsidRPr="009C05AE">
        <w:rPr>
          <w:vertAlign w:val="subscript"/>
        </w:rPr>
        <w:t>it</w:t>
      </w:r>
      <w:proofErr w:type="spellEnd"/>
      <w:r w:rsidRPr="009C05AE">
        <w:t>) apresentaram um possível impacto na divulgação de tais informações a um nível de 5%. O endividamento apresentou-se com coeficiente positivo, confirmando à hipótese 3 formulada no estudo, respaldada em estudos anteriores como os de Chen et al (2005) e Góis et al (2016), os quais afirmaram haver uma relação significativa e positiva entre o endividamento e a divulgação de informações voluntárias como o CI, demonstrando que empresas endividadas tendem a investir na divulgação do CI, visando uma possível melhora financeira futura da empresa.</w:t>
      </w:r>
    </w:p>
    <w:p w14:paraId="0C70E6A5" w14:textId="77777777" w:rsidR="009C05AE" w:rsidRPr="009C05AE" w:rsidRDefault="009C05AE" w:rsidP="009C05AE">
      <w:r w:rsidRPr="009C05AE">
        <w:t>A variável governança cuja significância também foi a 5%, apresentou o coeficiente negativo, rejeitando a hipótese 4. Tal variável mostrou-se adversa ao que a literatura respaldava, pois acreditava-se que a presença de governança corporativa otimizasse o índice de divulgação de informações voluntárias, como o CI (HIDALGO et al., 2011; KAVESKI et al., 2016).</w:t>
      </w:r>
    </w:p>
    <w:p w14:paraId="624D054E" w14:textId="77777777" w:rsidR="009C05AE" w:rsidRPr="009C05AE" w:rsidRDefault="009C05AE" w:rsidP="009C05AE">
      <w:r w:rsidRPr="009C05AE">
        <w:t xml:space="preserve">No entanto, estudo realizado por Hidalgo et al (2011) forneceram indícios do porquê do resultado apresentado na análise acima. Segundo tais autores, mecanismos internos de governança corporativa podem influenciar positiva ou negativamente na divulgação de informações de capital intelectual. A quantidade de membros no conselho é um exemplo testado por eles, cujo até certo ponto impactam positivamente na divulgação de tais informações, porém em uma quantidade elevada podem causar efeito reverso. </w:t>
      </w:r>
    </w:p>
    <w:p w14:paraId="3FD17879" w14:textId="77777777" w:rsidR="009C05AE" w:rsidRPr="009C05AE" w:rsidRDefault="009C05AE" w:rsidP="009C05AE">
      <w:r w:rsidRPr="009C05AE">
        <w:t xml:space="preserve">Com relação à última hipótese formulada, cujos setores são considerados fatores de impacto na divulgação de informações sobre o CI, foi possível observar que todos os setores, com exceção do consumo básico (p-valor = 0,0973), influenciaram no </w:t>
      </w:r>
      <w:proofErr w:type="spellStart"/>
      <w:r w:rsidRPr="009C05AE">
        <w:rPr>
          <w:i/>
        </w:rPr>
        <w:t>disclosure</w:t>
      </w:r>
      <w:proofErr w:type="spellEnd"/>
      <w:r w:rsidRPr="009C05AE">
        <w:t xml:space="preserve"> do CI.</w:t>
      </w:r>
    </w:p>
    <w:p w14:paraId="62078C74" w14:textId="77777777" w:rsidR="009C05AE" w:rsidRPr="009C05AE" w:rsidRDefault="009C05AE" w:rsidP="009C05AE">
      <w:r w:rsidRPr="009C05AE">
        <w:t xml:space="preserve">Os setores de maior influência nesse </w:t>
      </w:r>
      <w:proofErr w:type="spellStart"/>
      <w:r w:rsidRPr="009C05AE">
        <w:rPr>
          <w:i/>
        </w:rPr>
        <w:t>disclosure</w:t>
      </w:r>
      <w:proofErr w:type="spellEnd"/>
      <w:r w:rsidRPr="009C05AE">
        <w:t xml:space="preserve"> são os de tecnologia da informação, materiais básicos, imobiliária e serviços de utilidade pública, todos com significância de 1%. No que diz respeito ao coeficiente das variáveis, os setores: consumidor discricionário, energia, bens industriais e tecnologia da informação apresentam relação positiva quanto ao </w:t>
      </w:r>
      <w:proofErr w:type="spellStart"/>
      <w:r w:rsidRPr="009C05AE">
        <w:rPr>
          <w:i/>
        </w:rPr>
        <w:t>disclosure</w:t>
      </w:r>
      <w:proofErr w:type="spellEnd"/>
      <w:r w:rsidRPr="009C05AE">
        <w:t xml:space="preserve"> de informações do CI, sendo o setor de tecnologia da informação o que apresentou o maior coeficiente positivo (0,1535). </w:t>
      </w:r>
    </w:p>
    <w:p w14:paraId="56A41774" w14:textId="77777777" w:rsidR="009C05AE" w:rsidRPr="009C05AE" w:rsidRDefault="009C05AE" w:rsidP="009C05AE">
      <w:r w:rsidRPr="009C05AE">
        <w:t>Os setores de materiais básicos, imobiliária e serviços de utilidade pública apresentaram coeficientes negativos. Estes resultados eram esperados e congruentes com a literatura no sentido de não existir um consenso dos setores mais impactantes e que existem diferenças reais na divulgação desse tipo de informação de um setor para outro (WILLIAMS, 2001), corroborando com a hipótese 5.</w:t>
      </w:r>
    </w:p>
    <w:p w14:paraId="7024AAC2" w14:textId="77777777" w:rsidR="009C05AE" w:rsidRPr="009C05AE" w:rsidRDefault="009C05AE" w:rsidP="009C05AE">
      <w:r w:rsidRPr="009C05AE">
        <w:t>As empresas de diferentes tipos de indústria, e de acordo com condições determinantes, podem adotar distintas práticas de divulgação de informação voluntária sobre CI, seguindo a ideia de que cada setor tem sua própria base de ativos intangíveis exclusivos, modelo de negócios e recursos competitivos essenciais, o que pode impactar no nível de divulgação e credibilidade destinada a esse tipo de informação (DAVEY et al., 2009).</w:t>
      </w:r>
    </w:p>
    <w:p w14:paraId="49B7CAB7" w14:textId="77777777" w:rsidR="009C05AE" w:rsidRPr="009C05AE" w:rsidRDefault="009C05AE" w:rsidP="009C05AE">
      <w:r w:rsidRPr="009C05AE">
        <w:t xml:space="preserve">As empresas de conhecimento intensivo, que possuem o conhecimento como uma das </w:t>
      </w:r>
      <w:r w:rsidRPr="009C05AE">
        <w:lastRenderedPageBreak/>
        <w:t xml:space="preserve">ferramentas básicas para sua operação, são mais propensas em divulgar informação sobre os ativos do conhecimento ou capital intelectual nos seus relatórios, assim como reforça os postulados da Teoria da Sinalização e dos </w:t>
      </w:r>
      <w:r w:rsidRPr="009C05AE">
        <w:rPr>
          <w:i/>
        </w:rPr>
        <w:t>Stakeholders</w:t>
      </w:r>
      <w:r w:rsidRPr="009C05AE">
        <w:t xml:space="preserve"> (BOZZOLAN; FAVOTTO; RICCERI, 2003).</w:t>
      </w:r>
    </w:p>
    <w:p w14:paraId="2AE89A3C" w14:textId="77777777" w:rsidR="009C05AE" w:rsidRPr="009C05AE" w:rsidRDefault="009C05AE" w:rsidP="009C05AE">
      <w:r w:rsidRPr="009C05AE">
        <w:t xml:space="preserve">Desse modo, percebeu-se que o endividamento, a governança e os setores de atuação puderam ser fatores determinantes para a divulgação voluntária das informações relacionadas ao CI das empresas componentes do IBRx50. Os achados desse estudo podem ser considerados um diferencial para os </w:t>
      </w:r>
      <w:r w:rsidRPr="009C05AE">
        <w:rPr>
          <w:i/>
        </w:rPr>
        <w:t>stakeholders</w:t>
      </w:r>
      <w:r w:rsidRPr="009C05AE">
        <w:t xml:space="preserve"> poderem analisar seus investimentos nessas empresas, mediante tais variáveis.</w:t>
      </w:r>
    </w:p>
    <w:p w14:paraId="3871BBC6" w14:textId="77777777" w:rsidR="009C05AE" w:rsidRPr="009C05AE" w:rsidRDefault="009C05AE" w:rsidP="009C05AE">
      <w:pPr>
        <w:ind w:firstLine="0"/>
      </w:pPr>
    </w:p>
    <w:p w14:paraId="7E3D7BCF" w14:textId="77777777" w:rsidR="009C05AE" w:rsidRPr="009C05AE" w:rsidRDefault="009C05AE" w:rsidP="009C05AE">
      <w:pPr>
        <w:ind w:firstLine="0"/>
        <w:rPr>
          <w:b/>
        </w:rPr>
      </w:pPr>
      <w:r w:rsidRPr="009C05AE">
        <w:rPr>
          <w:b/>
        </w:rPr>
        <w:t>5 Conclusões</w:t>
      </w:r>
    </w:p>
    <w:p w14:paraId="17C3AF16" w14:textId="77777777" w:rsidR="009C05AE" w:rsidRPr="009C05AE" w:rsidRDefault="009C05AE" w:rsidP="009C05AE">
      <w:r w:rsidRPr="009C05AE">
        <w:t xml:space="preserve">O presente estudo teve o propósito de identificar quais os fatores determinantes no </w:t>
      </w:r>
      <w:proofErr w:type="spellStart"/>
      <w:r w:rsidRPr="009C05AE">
        <w:rPr>
          <w:i/>
        </w:rPr>
        <w:t>disclosure</w:t>
      </w:r>
      <w:proofErr w:type="spellEnd"/>
      <w:r w:rsidRPr="009C05AE">
        <w:rPr>
          <w:i/>
        </w:rPr>
        <w:t xml:space="preserve"> </w:t>
      </w:r>
      <w:r w:rsidRPr="009C05AE">
        <w:t>do capital intelectual das empresas brasileiras de capital aberto, listadas na B3 – Brasil, Bolsa e Balcão. Para isto, buscou-se investigar se as empresas da amostra estavam divulgando informações referentes ao CI. Assim, trabalhou-se com uma amostra de 32 empresas que fizeram parte do Índice Brasil 50 (IBrX50), no período de 2016 a 2018.</w:t>
      </w:r>
    </w:p>
    <w:p w14:paraId="49208E46" w14:textId="77777777" w:rsidR="009C05AE" w:rsidRPr="009C05AE" w:rsidRDefault="009C05AE" w:rsidP="009C05AE">
      <w:r w:rsidRPr="009C05AE">
        <w:t>Com relação a variável dependente, calculada por meio da análise de conteúdo, foi possível verificar que em média as empresas estão fazendo uma divulgação razoável de informações acerca do CI. Tal fato justifica-se na literatura devido à percepção dessas empresas, no sentido de que estes ativos agregam valor, e também devido às pressões sofridas no mercado financeiro por informações cada vez mais realistas. Do mesmo modo, a ausência de um nível elevado de divulgação pode estar associada a um conflito de mensuração e do respaldo nas normas contábeis a respeito da conceituação de ativos.</w:t>
      </w:r>
    </w:p>
    <w:p w14:paraId="00FEDE83" w14:textId="77777777" w:rsidR="009C05AE" w:rsidRPr="009C05AE" w:rsidRDefault="009C05AE" w:rsidP="009C05AE">
      <w:r w:rsidRPr="009C05AE">
        <w:t xml:space="preserve">Com relação às hipóteses formuladas, por meio do conhecimento da variável dependente “Nível de </w:t>
      </w:r>
      <w:proofErr w:type="spellStart"/>
      <w:r w:rsidRPr="009C05AE">
        <w:rPr>
          <w:i/>
        </w:rPr>
        <w:t>Disclosure</w:t>
      </w:r>
      <w:proofErr w:type="spellEnd"/>
      <w:r w:rsidRPr="009C05AE">
        <w:t xml:space="preserve"> do Capital Intelectual" e do modelo de regressão com dados em painel, de efeitos aleatórios com robustez, constatou-se que a divulgação de informações referente ao CI poderia ser influenciada por alguns fatores como o endividamento, a governança e setores de atuação, nomeados no estudo como fatores determinantes do </w:t>
      </w:r>
      <w:proofErr w:type="spellStart"/>
      <w:r w:rsidRPr="009C05AE">
        <w:rPr>
          <w:i/>
        </w:rPr>
        <w:t>disclosure</w:t>
      </w:r>
      <w:proofErr w:type="spellEnd"/>
      <w:r w:rsidRPr="009C05AE">
        <w:t xml:space="preserve"> do CI, corroborando com as hipóteses H</w:t>
      </w:r>
      <w:r w:rsidRPr="009C05AE">
        <w:rPr>
          <w:vertAlign w:val="subscript"/>
        </w:rPr>
        <w:t>3</w:t>
      </w:r>
      <w:r w:rsidRPr="009C05AE">
        <w:t>, H</w:t>
      </w:r>
      <w:r w:rsidRPr="009C05AE">
        <w:rPr>
          <w:vertAlign w:val="subscript"/>
        </w:rPr>
        <w:t>4</w:t>
      </w:r>
      <w:r w:rsidRPr="009C05AE">
        <w:t xml:space="preserve"> e H</w:t>
      </w:r>
      <w:r w:rsidRPr="009C05AE">
        <w:rPr>
          <w:vertAlign w:val="subscript"/>
        </w:rPr>
        <w:t>5</w:t>
      </w:r>
      <w:r w:rsidRPr="009C05AE">
        <w:t xml:space="preserve">. Tal resultado converge com os achados de alguns estudos observados em outras localidades, tais como: Espanha (REVERTE, 2009); México (HIDALGO et al, 2011); e Itália (BOZZOLAN et al, 2003). </w:t>
      </w:r>
    </w:p>
    <w:p w14:paraId="4CAAFB37" w14:textId="77777777" w:rsidR="009C05AE" w:rsidRPr="009C05AE" w:rsidRDefault="009C05AE" w:rsidP="009C05AE">
      <w:r w:rsidRPr="009C05AE">
        <w:t xml:space="preserve">Portanto, empresas com maior nível de endividamento tendem a ter mais preocupação e atenção na evidenciação de itens intangíveis, como o capital intelectual, como forma a manterem-se competitivas no mercado, demonstrando muitas vezes perspectivas futuras de melhoria, que poderiam visar um aumento de recursos por parte dos investidores, em garantir a redução de dívidas. </w:t>
      </w:r>
    </w:p>
    <w:p w14:paraId="56744C97" w14:textId="77777777" w:rsidR="009C05AE" w:rsidRPr="009C05AE" w:rsidRDefault="009C05AE" w:rsidP="009C05AE">
      <w:r w:rsidRPr="009C05AE">
        <w:t>A governança apesar de impactar no nível de evidenciação desse tipo de informação, diferentemente de alguns estudos já citados, dependendo de sua composição, pode induzir a uma divulgação mais baixa acerca de informações do CI, explicado, por exemplo, pelo tamanho do conselho assim como respaldaram Hidalgo et al (2011) em seus achados.</w:t>
      </w:r>
    </w:p>
    <w:p w14:paraId="46AB1977" w14:textId="77777777" w:rsidR="009C05AE" w:rsidRPr="009C05AE" w:rsidRDefault="009C05AE" w:rsidP="009C05AE">
      <w:r w:rsidRPr="009C05AE">
        <w:t xml:space="preserve">Quanto aos setores, o estudo pôde reforçar a ênfase adotada em algumas pesquisas quanto às empresas cujos setores utilizaram de conhecimento intensivo ser mais propensa em divulgar informação sobre o CI, e que por meio do estudo empírico realizado, constatou que os setores de tecnologia da informação, materiais básicos, imobiliária e serviços de utilidade pública, como variáveis que impactaram positivamente no </w:t>
      </w:r>
      <w:proofErr w:type="spellStart"/>
      <w:r w:rsidRPr="009C05AE">
        <w:rPr>
          <w:i/>
        </w:rPr>
        <w:t>disclosure</w:t>
      </w:r>
      <w:proofErr w:type="spellEnd"/>
      <w:r w:rsidRPr="009C05AE">
        <w:t>.</w:t>
      </w:r>
    </w:p>
    <w:p w14:paraId="2CFCD78D" w14:textId="77777777" w:rsidR="009C05AE" w:rsidRPr="009C05AE" w:rsidRDefault="009C05AE" w:rsidP="009C05AE">
      <w:r w:rsidRPr="009C05AE">
        <w:t xml:space="preserve">No mais, muitas teorias, como a Teoria da Divulgação Voluntária, buscam explicar as possíveis influências sofridas pelas empresas para a divulgação de informações sobre o CI. Tais teorias servem de embasamento para mais testes empíricos e um possível consenso a respeito desse </w:t>
      </w:r>
      <w:r w:rsidRPr="009C05AE">
        <w:lastRenderedPageBreak/>
        <w:t>tema, outrora importante, e que passou a atrair os olhares de pesquisadores por todo o mundo.</w:t>
      </w:r>
    </w:p>
    <w:p w14:paraId="7AE61695" w14:textId="77777777" w:rsidR="009C05AE" w:rsidRPr="009C05AE" w:rsidRDefault="009C05AE" w:rsidP="009C05AE">
      <w:r w:rsidRPr="009C05AE">
        <w:t>A relevância de algumas variáveis na determinação das práticas de divulgação, podem levar a uma comparação interessante com os resultados de outros estudos, em nível nacional e internacional. Na busca por semelhanças ou na descoberta sobre o que caracterizam as supostas diferenças encontradas. Ressalta-se que as conclusões se limitam à amostra e ao período analisado, tendo em vista a metodologia empregada na construção da pesquisa empírica.</w:t>
      </w:r>
    </w:p>
    <w:p w14:paraId="67FD5494" w14:textId="77777777" w:rsidR="009C05AE" w:rsidRPr="009C05AE" w:rsidRDefault="009C05AE" w:rsidP="009C05AE">
      <w:pPr>
        <w:ind w:firstLine="0"/>
      </w:pPr>
    </w:p>
    <w:p w14:paraId="7CA294BE" w14:textId="77777777" w:rsidR="009C05AE" w:rsidRPr="009C05AE" w:rsidRDefault="009C05AE" w:rsidP="009C05AE">
      <w:pPr>
        <w:ind w:firstLine="0"/>
        <w:rPr>
          <w:b/>
        </w:rPr>
      </w:pPr>
      <w:r w:rsidRPr="009C05AE">
        <w:rPr>
          <w:b/>
        </w:rPr>
        <w:t>Referências</w:t>
      </w:r>
    </w:p>
    <w:p w14:paraId="04313B35" w14:textId="77777777" w:rsidR="009C05AE" w:rsidRPr="009C05AE" w:rsidRDefault="009C05AE" w:rsidP="009C05AE">
      <w:pPr>
        <w:ind w:firstLine="0"/>
        <w:rPr>
          <w:b/>
        </w:rPr>
      </w:pPr>
    </w:p>
    <w:p w14:paraId="6FB90F3B" w14:textId="77777777" w:rsidR="009C05AE" w:rsidRPr="009C05AE" w:rsidRDefault="009C05AE" w:rsidP="009C05AE">
      <w:pPr>
        <w:ind w:firstLine="0"/>
      </w:pPr>
      <w:r w:rsidRPr="009C05AE">
        <w:t xml:space="preserve">ALKHATIB, Khalid. The </w:t>
      </w:r>
      <w:proofErr w:type="spellStart"/>
      <w:r w:rsidRPr="009C05AE">
        <w:t>determinants</w:t>
      </w:r>
      <w:proofErr w:type="spellEnd"/>
      <w:r w:rsidRPr="009C05AE">
        <w:t xml:space="preserve"> </w:t>
      </w:r>
      <w:proofErr w:type="spellStart"/>
      <w:r w:rsidRPr="009C05AE">
        <w:t>of</w:t>
      </w:r>
      <w:proofErr w:type="spellEnd"/>
      <w:r w:rsidRPr="009C05AE">
        <w:t xml:space="preserve"> </w:t>
      </w:r>
      <w:proofErr w:type="spellStart"/>
      <w:r w:rsidRPr="009C05AE">
        <w:t>forward-looking</w:t>
      </w:r>
      <w:proofErr w:type="spellEnd"/>
      <w:r w:rsidRPr="009C05AE">
        <w:t xml:space="preserve"> </w:t>
      </w:r>
      <w:proofErr w:type="spellStart"/>
      <w:r w:rsidRPr="009C05AE">
        <w:t>information</w:t>
      </w:r>
      <w:proofErr w:type="spellEnd"/>
      <w:r w:rsidRPr="009C05AE">
        <w:t xml:space="preserve"> </w:t>
      </w:r>
      <w:proofErr w:type="spellStart"/>
      <w:r w:rsidRPr="009C05AE">
        <w:t>disclosure</w:t>
      </w:r>
      <w:proofErr w:type="spellEnd"/>
      <w:r w:rsidRPr="009C05AE">
        <w:t>. </w:t>
      </w:r>
      <w:r w:rsidRPr="009C05AE">
        <w:rPr>
          <w:b/>
          <w:bCs/>
        </w:rPr>
        <w:t xml:space="preserve">Procedia-Social </w:t>
      </w:r>
      <w:proofErr w:type="spellStart"/>
      <w:r w:rsidRPr="009C05AE">
        <w:rPr>
          <w:b/>
          <w:bCs/>
        </w:rPr>
        <w:t>and</w:t>
      </w:r>
      <w:proofErr w:type="spellEnd"/>
      <w:r w:rsidRPr="009C05AE">
        <w:rPr>
          <w:b/>
          <w:bCs/>
        </w:rPr>
        <w:t xml:space="preserve"> </w:t>
      </w:r>
      <w:proofErr w:type="spellStart"/>
      <w:r w:rsidRPr="009C05AE">
        <w:rPr>
          <w:b/>
          <w:bCs/>
        </w:rPr>
        <w:t>Behavioral</w:t>
      </w:r>
      <w:proofErr w:type="spellEnd"/>
      <w:r w:rsidRPr="009C05AE">
        <w:rPr>
          <w:b/>
          <w:bCs/>
        </w:rPr>
        <w:t xml:space="preserve"> </w:t>
      </w:r>
      <w:proofErr w:type="spellStart"/>
      <w:r w:rsidRPr="009C05AE">
        <w:rPr>
          <w:b/>
          <w:bCs/>
        </w:rPr>
        <w:t>Sciences</w:t>
      </w:r>
      <w:proofErr w:type="spellEnd"/>
      <w:r w:rsidRPr="009C05AE">
        <w:t>, v. 109, p. 858-864, 2014.</w:t>
      </w:r>
    </w:p>
    <w:p w14:paraId="298A465E" w14:textId="77777777" w:rsidR="009C05AE" w:rsidRPr="009C05AE" w:rsidRDefault="009C05AE" w:rsidP="009C05AE">
      <w:pPr>
        <w:ind w:firstLine="0"/>
      </w:pPr>
    </w:p>
    <w:p w14:paraId="38BA4869" w14:textId="77777777" w:rsidR="009C05AE" w:rsidRPr="009C05AE" w:rsidRDefault="009C05AE" w:rsidP="009C05AE">
      <w:pPr>
        <w:ind w:firstLine="0"/>
      </w:pPr>
      <w:r w:rsidRPr="009C05AE">
        <w:t xml:space="preserve">ALLAMEH, Sayyed </w:t>
      </w:r>
      <w:proofErr w:type="spellStart"/>
      <w:r w:rsidRPr="009C05AE">
        <w:t>Mohsen</w:t>
      </w:r>
      <w:proofErr w:type="spellEnd"/>
      <w:r w:rsidRPr="009C05AE">
        <w:t xml:space="preserve">. </w:t>
      </w:r>
      <w:proofErr w:type="spellStart"/>
      <w:r w:rsidRPr="009C05AE">
        <w:t>Antecedents</w:t>
      </w:r>
      <w:proofErr w:type="spellEnd"/>
      <w:r w:rsidRPr="009C05AE">
        <w:t xml:space="preserve"> </w:t>
      </w:r>
      <w:proofErr w:type="spellStart"/>
      <w:r w:rsidRPr="009C05AE">
        <w:t>and</w:t>
      </w:r>
      <w:proofErr w:type="spellEnd"/>
      <w:r w:rsidRPr="009C05AE">
        <w:t xml:space="preserve"> </w:t>
      </w:r>
      <w:proofErr w:type="spellStart"/>
      <w:r w:rsidRPr="009C05AE">
        <w:t>consequences</w:t>
      </w:r>
      <w:proofErr w:type="spellEnd"/>
      <w:r w:rsidRPr="009C05AE">
        <w:t xml:space="preserve"> </w:t>
      </w:r>
      <w:proofErr w:type="spellStart"/>
      <w:r w:rsidRPr="009C05AE">
        <w:t>of</w:t>
      </w:r>
      <w:proofErr w:type="spellEnd"/>
      <w:r w:rsidRPr="009C05AE">
        <w:t xml:space="preserve"> </w:t>
      </w:r>
      <w:proofErr w:type="spellStart"/>
      <w:r w:rsidRPr="009C05AE">
        <w:t>intellectual</w:t>
      </w:r>
      <w:proofErr w:type="spellEnd"/>
      <w:r w:rsidRPr="009C05AE">
        <w:t xml:space="preserve"> capital.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2018.</w:t>
      </w:r>
    </w:p>
    <w:p w14:paraId="5D78A9D4" w14:textId="77777777" w:rsidR="009C05AE" w:rsidRPr="009C05AE" w:rsidRDefault="009C05AE" w:rsidP="009C05AE">
      <w:pPr>
        <w:ind w:firstLine="0"/>
      </w:pPr>
    </w:p>
    <w:p w14:paraId="79180101" w14:textId="77777777" w:rsidR="009C05AE" w:rsidRPr="009C05AE" w:rsidRDefault="009C05AE" w:rsidP="009C05AE">
      <w:pPr>
        <w:ind w:firstLine="0"/>
      </w:pPr>
      <w:r w:rsidRPr="009C05AE">
        <w:t xml:space="preserve">BACKES, Rosemary </w:t>
      </w:r>
      <w:proofErr w:type="spellStart"/>
      <w:r w:rsidRPr="009C05AE">
        <w:t>Gelatti</w:t>
      </w:r>
      <w:proofErr w:type="spellEnd"/>
      <w:r w:rsidRPr="009C05AE">
        <w:t>; OTT, Ernani; WIETHAEUPER, Daniela. A evidenciação do capital intelectual por companhias abertas brasileiras: uma análise de conteúdo. In: </w:t>
      </w:r>
      <w:r w:rsidRPr="009C05AE">
        <w:rPr>
          <w:b/>
          <w:bCs/>
        </w:rPr>
        <w:t>Anais do Congresso Brasileiro de Custos-ABC</w:t>
      </w:r>
      <w:r w:rsidRPr="009C05AE">
        <w:t>. 2005.</w:t>
      </w:r>
    </w:p>
    <w:p w14:paraId="28EB7F26" w14:textId="77777777" w:rsidR="009C05AE" w:rsidRPr="009C05AE" w:rsidRDefault="009C05AE" w:rsidP="009C05AE">
      <w:pPr>
        <w:ind w:firstLine="0"/>
      </w:pPr>
    </w:p>
    <w:p w14:paraId="6D798AFA" w14:textId="77777777" w:rsidR="009C05AE" w:rsidRPr="009C05AE" w:rsidRDefault="009C05AE" w:rsidP="009C05AE">
      <w:pPr>
        <w:ind w:firstLine="0"/>
      </w:pPr>
      <w:r w:rsidRPr="009C05AE">
        <w:t xml:space="preserve">BHAYANI, S. The </w:t>
      </w:r>
      <w:proofErr w:type="spellStart"/>
      <w:r w:rsidRPr="009C05AE">
        <w:t>relationship</w:t>
      </w:r>
      <w:proofErr w:type="spellEnd"/>
      <w:r w:rsidRPr="009C05AE">
        <w:t xml:space="preserve"> </w:t>
      </w:r>
      <w:proofErr w:type="spellStart"/>
      <w:r w:rsidRPr="009C05AE">
        <w:t>between</w:t>
      </w:r>
      <w:proofErr w:type="spellEnd"/>
      <w:r w:rsidRPr="009C05AE">
        <w:t xml:space="preserve"> </w:t>
      </w:r>
      <w:proofErr w:type="spellStart"/>
      <w:r w:rsidRPr="009C05AE">
        <w:t>comprehensiveness</w:t>
      </w:r>
      <w:proofErr w:type="spellEnd"/>
      <w:r w:rsidRPr="009C05AE">
        <w:t xml:space="preserve"> </w:t>
      </w:r>
      <w:proofErr w:type="spellStart"/>
      <w:r w:rsidRPr="009C05AE">
        <w:t>of</w:t>
      </w:r>
      <w:proofErr w:type="spellEnd"/>
      <w:r w:rsidRPr="009C05AE">
        <w:t xml:space="preserve"> </w:t>
      </w:r>
      <w:proofErr w:type="spellStart"/>
      <w:r w:rsidRPr="009C05AE">
        <w:t>corporate</w:t>
      </w:r>
      <w:proofErr w:type="spellEnd"/>
      <w:r w:rsidRPr="009C05AE">
        <w:t xml:space="preserve"> </w:t>
      </w:r>
      <w:proofErr w:type="spellStart"/>
      <w:r w:rsidRPr="009C05AE">
        <w:t>disclosure</w:t>
      </w:r>
      <w:proofErr w:type="spellEnd"/>
      <w:r w:rsidRPr="009C05AE">
        <w:t xml:space="preserve"> </w:t>
      </w:r>
      <w:proofErr w:type="spellStart"/>
      <w:r w:rsidRPr="009C05AE">
        <w:t>and</w:t>
      </w:r>
      <w:proofErr w:type="spellEnd"/>
      <w:r w:rsidRPr="009C05AE">
        <w:t xml:space="preserve"> </w:t>
      </w:r>
      <w:proofErr w:type="spellStart"/>
      <w:r w:rsidRPr="009C05AE">
        <w:t>firm</w:t>
      </w:r>
      <w:proofErr w:type="spellEnd"/>
      <w:r w:rsidRPr="009C05AE">
        <w:t xml:space="preserve"> </w:t>
      </w:r>
      <w:proofErr w:type="spellStart"/>
      <w:r w:rsidRPr="009C05AE">
        <w:t>characteristics</w:t>
      </w:r>
      <w:proofErr w:type="spellEnd"/>
      <w:r w:rsidRPr="009C05AE">
        <w:t xml:space="preserve"> in </w:t>
      </w:r>
      <w:proofErr w:type="spellStart"/>
      <w:r w:rsidRPr="009C05AE">
        <w:t>India</w:t>
      </w:r>
      <w:proofErr w:type="spellEnd"/>
      <w:r w:rsidRPr="009C05AE">
        <w:t>. </w:t>
      </w:r>
      <w:r w:rsidRPr="009C05AE">
        <w:rPr>
          <w:b/>
          <w:bCs/>
        </w:rPr>
        <w:t xml:space="preserve">Asia-Pacific </w:t>
      </w:r>
      <w:proofErr w:type="spellStart"/>
      <w:r w:rsidRPr="009C05AE">
        <w:rPr>
          <w:b/>
          <w:bCs/>
        </w:rPr>
        <w:t>Finance</w:t>
      </w:r>
      <w:proofErr w:type="spellEnd"/>
      <w:r w:rsidRPr="009C05AE">
        <w:rPr>
          <w:b/>
          <w:bCs/>
        </w:rPr>
        <w:t xml:space="preserve"> </w:t>
      </w:r>
      <w:proofErr w:type="spellStart"/>
      <w:r w:rsidRPr="009C05AE">
        <w:rPr>
          <w:b/>
          <w:bCs/>
        </w:rPr>
        <w:t>and</w:t>
      </w:r>
      <w:proofErr w:type="spellEnd"/>
      <w:r w:rsidRPr="009C05AE">
        <w:rPr>
          <w:b/>
          <w:bCs/>
        </w:rPr>
        <w:t xml:space="preserve"> </w:t>
      </w:r>
      <w:proofErr w:type="spellStart"/>
      <w:r w:rsidRPr="009C05AE">
        <w:rPr>
          <w:b/>
          <w:bCs/>
        </w:rPr>
        <w:t>Accounting</w:t>
      </w:r>
      <w:proofErr w:type="spellEnd"/>
      <w:r w:rsidRPr="009C05AE">
        <w:rPr>
          <w:b/>
          <w:bCs/>
        </w:rPr>
        <w:t xml:space="preserve"> Review</w:t>
      </w:r>
      <w:r w:rsidRPr="009C05AE">
        <w:t>, v. 1, n. 1, p. 52-66, 2012.</w:t>
      </w:r>
    </w:p>
    <w:p w14:paraId="161E2C20" w14:textId="77777777" w:rsidR="009C05AE" w:rsidRPr="009C05AE" w:rsidRDefault="009C05AE" w:rsidP="009C05AE">
      <w:pPr>
        <w:ind w:firstLine="0"/>
      </w:pPr>
    </w:p>
    <w:p w14:paraId="1E8F866B" w14:textId="4B598344" w:rsidR="009C05AE" w:rsidRDefault="009C05AE" w:rsidP="009C05AE">
      <w:pPr>
        <w:ind w:firstLine="0"/>
      </w:pPr>
      <w:r w:rsidRPr="009C05AE">
        <w:t xml:space="preserve">BONTIS, Nick. </w:t>
      </w:r>
      <w:proofErr w:type="spellStart"/>
      <w:r w:rsidRPr="009C05AE">
        <w:t>Intellectual</w:t>
      </w:r>
      <w:proofErr w:type="spellEnd"/>
      <w:r w:rsidRPr="009C05AE">
        <w:t xml:space="preserve"> capital </w:t>
      </w:r>
      <w:proofErr w:type="spellStart"/>
      <w:r w:rsidRPr="009C05AE">
        <w:t>disclosure</w:t>
      </w:r>
      <w:proofErr w:type="spellEnd"/>
      <w:r w:rsidRPr="009C05AE">
        <w:t xml:space="preserve"> in Canadian </w:t>
      </w:r>
      <w:proofErr w:type="spellStart"/>
      <w:r w:rsidRPr="009C05AE">
        <w:t>corporations</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human</w:t>
      </w:r>
      <w:proofErr w:type="spellEnd"/>
      <w:r w:rsidRPr="009C05AE">
        <w:rPr>
          <w:b/>
          <w:bCs/>
        </w:rPr>
        <w:t xml:space="preserve"> </w:t>
      </w:r>
      <w:proofErr w:type="spellStart"/>
      <w:r w:rsidRPr="009C05AE">
        <w:rPr>
          <w:b/>
          <w:bCs/>
        </w:rPr>
        <w:t>resource</w:t>
      </w:r>
      <w:proofErr w:type="spellEnd"/>
      <w:r w:rsidRPr="009C05AE">
        <w:rPr>
          <w:b/>
          <w:bCs/>
        </w:rPr>
        <w:t xml:space="preserve"> </w:t>
      </w:r>
      <w:proofErr w:type="spellStart"/>
      <w:r w:rsidRPr="009C05AE">
        <w:rPr>
          <w:b/>
          <w:bCs/>
        </w:rPr>
        <w:t>costing</w:t>
      </w:r>
      <w:proofErr w:type="spellEnd"/>
      <w:r w:rsidRPr="009C05AE">
        <w:rPr>
          <w:b/>
          <w:bCs/>
        </w:rPr>
        <w:t xml:space="preserve"> &amp; </w:t>
      </w:r>
      <w:proofErr w:type="spellStart"/>
      <w:r w:rsidRPr="009C05AE">
        <w:rPr>
          <w:b/>
          <w:bCs/>
        </w:rPr>
        <w:t>accounting</w:t>
      </w:r>
      <w:proofErr w:type="spellEnd"/>
      <w:r w:rsidRPr="009C05AE">
        <w:t>, v.7, n. 1, p. 9-20, 2003.</w:t>
      </w:r>
    </w:p>
    <w:p w14:paraId="440DAEF4" w14:textId="77777777" w:rsidR="00C77C81" w:rsidRPr="009C05AE" w:rsidRDefault="00C77C81" w:rsidP="009C05AE">
      <w:pPr>
        <w:ind w:firstLine="0"/>
      </w:pPr>
    </w:p>
    <w:p w14:paraId="0B6FAAC5" w14:textId="77777777" w:rsidR="00C77C81" w:rsidRPr="00C77C81" w:rsidRDefault="00C77C81" w:rsidP="00C77C81">
      <w:pPr>
        <w:ind w:firstLine="0"/>
      </w:pPr>
      <w:r w:rsidRPr="00C77C81">
        <w:t xml:space="preserve">BOUNFOUR, Ahmed; BISMUTH, Annabel; TOJO, Yoshiaki. </w:t>
      </w:r>
      <w:proofErr w:type="spellStart"/>
      <w:r w:rsidRPr="00C77C81">
        <w:t>Creating</w:t>
      </w:r>
      <w:proofErr w:type="spellEnd"/>
      <w:r w:rsidRPr="00C77C81">
        <w:t xml:space="preserve"> </w:t>
      </w:r>
      <w:proofErr w:type="spellStart"/>
      <w:r w:rsidRPr="00C77C81">
        <w:t>value</w:t>
      </w:r>
      <w:proofErr w:type="spellEnd"/>
      <w:r w:rsidRPr="00C77C81">
        <w:t xml:space="preserve"> </w:t>
      </w:r>
      <w:proofErr w:type="spellStart"/>
      <w:r w:rsidRPr="00C77C81">
        <w:t>from</w:t>
      </w:r>
      <w:proofErr w:type="spellEnd"/>
      <w:r w:rsidRPr="00C77C81">
        <w:t xml:space="preserve"> </w:t>
      </w:r>
      <w:proofErr w:type="spellStart"/>
      <w:r w:rsidRPr="00C77C81">
        <w:t>intellectual</w:t>
      </w:r>
      <w:proofErr w:type="spellEnd"/>
      <w:r w:rsidRPr="00C77C81">
        <w:t xml:space="preserve"> </w:t>
      </w:r>
      <w:proofErr w:type="spellStart"/>
      <w:r w:rsidRPr="00C77C81">
        <w:t>assets</w:t>
      </w:r>
      <w:proofErr w:type="spellEnd"/>
      <w:r w:rsidRPr="00C77C81">
        <w:t>. </w:t>
      </w:r>
      <w:proofErr w:type="spellStart"/>
      <w:r w:rsidRPr="00C77C81">
        <w:rPr>
          <w:b/>
          <w:bCs/>
        </w:rPr>
        <w:t>Journal</w:t>
      </w:r>
      <w:proofErr w:type="spellEnd"/>
      <w:r w:rsidRPr="00C77C81">
        <w:rPr>
          <w:b/>
          <w:bCs/>
        </w:rPr>
        <w:t xml:space="preserve"> </w:t>
      </w:r>
      <w:proofErr w:type="spellStart"/>
      <w:r w:rsidRPr="00C77C81">
        <w:rPr>
          <w:b/>
          <w:bCs/>
        </w:rPr>
        <w:t>of</w:t>
      </w:r>
      <w:proofErr w:type="spellEnd"/>
      <w:r w:rsidRPr="00C77C81">
        <w:rPr>
          <w:b/>
          <w:bCs/>
        </w:rPr>
        <w:t xml:space="preserve"> </w:t>
      </w:r>
      <w:proofErr w:type="spellStart"/>
      <w:r w:rsidRPr="00C77C81">
        <w:rPr>
          <w:b/>
          <w:bCs/>
        </w:rPr>
        <w:t>intellectual</w:t>
      </w:r>
      <w:proofErr w:type="spellEnd"/>
      <w:r w:rsidRPr="00C77C81">
        <w:rPr>
          <w:b/>
          <w:bCs/>
        </w:rPr>
        <w:t xml:space="preserve"> capital</w:t>
      </w:r>
      <w:r w:rsidRPr="00C77C81">
        <w:t>, v.9, p. 228–245, 2008.</w:t>
      </w:r>
    </w:p>
    <w:p w14:paraId="03247298" w14:textId="77777777" w:rsidR="009C05AE" w:rsidRPr="009C05AE" w:rsidRDefault="009C05AE" w:rsidP="009C05AE">
      <w:pPr>
        <w:ind w:firstLine="0"/>
      </w:pPr>
    </w:p>
    <w:p w14:paraId="284CDBC8" w14:textId="77777777" w:rsidR="009C05AE" w:rsidRPr="009C05AE" w:rsidRDefault="009C05AE" w:rsidP="009C05AE">
      <w:pPr>
        <w:ind w:firstLine="0"/>
      </w:pPr>
      <w:r w:rsidRPr="009C05AE">
        <w:t xml:space="preserve">BOZZOLAN, </w:t>
      </w:r>
      <w:proofErr w:type="spellStart"/>
      <w:r w:rsidRPr="009C05AE">
        <w:t>Saverio</w:t>
      </w:r>
      <w:proofErr w:type="spellEnd"/>
      <w:r w:rsidRPr="009C05AE">
        <w:t xml:space="preserve">; FAVOTTO, Francesco; RICCERI, </w:t>
      </w:r>
      <w:proofErr w:type="spellStart"/>
      <w:r w:rsidRPr="009C05AE">
        <w:t>Federica</w:t>
      </w:r>
      <w:proofErr w:type="spellEnd"/>
      <w:r w:rsidRPr="009C05AE">
        <w:t xml:space="preserve">. Italian </w:t>
      </w:r>
      <w:proofErr w:type="spellStart"/>
      <w:r w:rsidRPr="009C05AE">
        <w:t>annual</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v.4, n.4, p. 543-558, 2003.</w:t>
      </w:r>
    </w:p>
    <w:p w14:paraId="279841BB" w14:textId="77777777" w:rsidR="009C05AE" w:rsidRPr="009C05AE" w:rsidRDefault="009C05AE" w:rsidP="009C05AE">
      <w:pPr>
        <w:ind w:firstLine="0"/>
      </w:pPr>
    </w:p>
    <w:p w14:paraId="171E64A6" w14:textId="77777777" w:rsidR="009C05AE" w:rsidRPr="009C05AE" w:rsidRDefault="009C05AE" w:rsidP="009C05AE">
      <w:pPr>
        <w:ind w:firstLine="0"/>
      </w:pPr>
      <w:r w:rsidRPr="009C05AE">
        <w:t xml:space="preserve">BRÜGGEN, Alexander; VERGAUWEN, Philip; DAO, Mai. </w:t>
      </w:r>
      <w:proofErr w:type="spellStart"/>
      <w:r w:rsidRPr="009C05AE">
        <w:t>Determinants</w:t>
      </w:r>
      <w:proofErr w:type="spellEnd"/>
      <w:r w:rsidRPr="009C05AE">
        <w:t xml:space="preserve"> </w:t>
      </w:r>
      <w:proofErr w:type="spellStart"/>
      <w:r w:rsidRPr="009C05AE">
        <w:t>of</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xml:space="preserve">: </w:t>
      </w:r>
      <w:proofErr w:type="spellStart"/>
      <w:r w:rsidRPr="009C05AE">
        <w:t>evidence</w:t>
      </w:r>
      <w:proofErr w:type="spellEnd"/>
      <w:r w:rsidRPr="009C05AE">
        <w:t xml:space="preserve"> </w:t>
      </w:r>
      <w:proofErr w:type="spellStart"/>
      <w:r w:rsidRPr="009C05AE">
        <w:t>from</w:t>
      </w:r>
      <w:proofErr w:type="spellEnd"/>
      <w:r w:rsidRPr="009C05AE">
        <w:t xml:space="preserve"> Australia. </w:t>
      </w:r>
      <w:r w:rsidRPr="009C05AE">
        <w:rPr>
          <w:b/>
          <w:bCs/>
        </w:rPr>
        <w:t xml:space="preserve">Management </w:t>
      </w:r>
      <w:proofErr w:type="spellStart"/>
      <w:r w:rsidRPr="009C05AE">
        <w:rPr>
          <w:b/>
          <w:bCs/>
        </w:rPr>
        <w:t>decision</w:t>
      </w:r>
      <w:proofErr w:type="spellEnd"/>
      <w:r w:rsidRPr="009C05AE">
        <w:t>, v.47, n.2, p. 233-245, 2009.</w:t>
      </w:r>
    </w:p>
    <w:p w14:paraId="0407F340" w14:textId="77777777" w:rsidR="009C05AE" w:rsidRPr="009C05AE" w:rsidRDefault="009C05AE" w:rsidP="009C05AE">
      <w:pPr>
        <w:ind w:firstLine="0"/>
      </w:pPr>
    </w:p>
    <w:p w14:paraId="400B818B" w14:textId="77777777" w:rsidR="009C05AE" w:rsidRPr="009C05AE" w:rsidRDefault="009C05AE" w:rsidP="009C05AE">
      <w:pPr>
        <w:ind w:firstLine="0"/>
      </w:pPr>
      <w:r w:rsidRPr="009C05AE">
        <w:t xml:space="preserve">CHEN, M. C.; CHENG, S. J.; HWANG, Y. </w:t>
      </w:r>
      <w:proofErr w:type="spellStart"/>
      <w:r w:rsidRPr="009C05AE">
        <w:t>An</w:t>
      </w:r>
      <w:proofErr w:type="spellEnd"/>
      <w:r w:rsidRPr="009C05AE">
        <w:t xml:space="preserve"> </w:t>
      </w:r>
      <w:proofErr w:type="spellStart"/>
      <w:r w:rsidRPr="009C05AE">
        <w:t>empirical</w:t>
      </w:r>
      <w:proofErr w:type="spellEnd"/>
      <w:r w:rsidRPr="009C05AE">
        <w:t xml:space="preserve"> </w:t>
      </w:r>
      <w:proofErr w:type="spellStart"/>
      <w:r w:rsidRPr="009C05AE">
        <w:t>investigation</w:t>
      </w:r>
      <w:proofErr w:type="spellEnd"/>
      <w:r w:rsidRPr="009C05AE">
        <w:t xml:space="preserve"> </w:t>
      </w:r>
      <w:proofErr w:type="spellStart"/>
      <w:r w:rsidRPr="009C05AE">
        <w:t>of</w:t>
      </w:r>
      <w:proofErr w:type="spellEnd"/>
      <w:r w:rsidRPr="009C05AE">
        <w:t xml:space="preserve"> </w:t>
      </w:r>
      <w:proofErr w:type="spellStart"/>
      <w:r w:rsidRPr="009C05AE">
        <w:t>the</w:t>
      </w:r>
      <w:proofErr w:type="spellEnd"/>
      <w:r w:rsidRPr="009C05AE">
        <w:t xml:space="preserve"> </w:t>
      </w:r>
      <w:proofErr w:type="spellStart"/>
      <w:r w:rsidRPr="009C05AE">
        <w:t>relationship</w:t>
      </w:r>
      <w:proofErr w:type="spellEnd"/>
      <w:r w:rsidRPr="009C05AE">
        <w:t xml:space="preserve"> </w:t>
      </w:r>
      <w:proofErr w:type="spellStart"/>
      <w:r w:rsidRPr="009C05AE">
        <w:t>between</w:t>
      </w:r>
      <w:proofErr w:type="spellEnd"/>
      <w:r w:rsidRPr="009C05AE">
        <w:t xml:space="preserve"> </w:t>
      </w:r>
      <w:proofErr w:type="spellStart"/>
      <w:r w:rsidRPr="009C05AE">
        <w:t>intellectual</w:t>
      </w:r>
      <w:proofErr w:type="spellEnd"/>
      <w:r w:rsidRPr="009C05AE">
        <w:t xml:space="preserve"> capital </w:t>
      </w:r>
      <w:proofErr w:type="spellStart"/>
      <w:r w:rsidRPr="009C05AE">
        <w:t>and</w:t>
      </w:r>
      <w:proofErr w:type="spellEnd"/>
      <w:r w:rsidRPr="009C05AE">
        <w:t xml:space="preserve"> </w:t>
      </w:r>
      <w:proofErr w:type="spellStart"/>
      <w:r w:rsidRPr="009C05AE">
        <w:t>firms</w:t>
      </w:r>
      <w:proofErr w:type="spellEnd"/>
      <w:r w:rsidRPr="009C05AE">
        <w:t xml:space="preserve">’ </w:t>
      </w:r>
      <w:proofErr w:type="spellStart"/>
      <w:r w:rsidRPr="009C05AE">
        <w:t>market</w:t>
      </w:r>
      <w:proofErr w:type="spellEnd"/>
      <w:r w:rsidRPr="009C05AE">
        <w:t xml:space="preserve"> </w:t>
      </w:r>
      <w:proofErr w:type="spellStart"/>
      <w:r w:rsidRPr="009C05AE">
        <w:t>value</w:t>
      </w:r>
      <w:proofErr w:type="spellEnd"/>
      <w:r w:rsidRPr="009C05AE">
        <w:t xml:space="preserve"> </w:t>
      </w:r>
      <w:proofErr w:type="spellStart"/>
      <w:r w:rsidRPr="009C05AE">
        <w:t>and</w:t>
      </w:r>
      <w:proofErr w:type="spellEnd"/>
      <w:r w:rsidRPr="009C05AE">
        <w:t xml:space="preserve"> financial performance.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v.6, n.2, p. 159-176, 2005.</w:t>
      </w:r>
    </w:p>
    <w:p w14:paraId="14757A2E" w14:textId="77777777" w:rsidR="009C05AE" w:rsidRPr="009C05AE" w:rsidRDefault="009C05AE" w:rsidP="009C05AE">
      <w:pPr>
        <w:ind w:firstLine="0"/>
      </w:pPr>
    </w:p>
    <w:p w14:paraId="79DCF187" w14:textId="77777777" w:rsidR="009C05AE" w:rsidRPr="009C05AE" w:rsidRDefault="009C05AE" w:rsidP="009C05AE">
      <w:pPr>
        <w:ind w:firstLine="0"/>
      </w:pPr>
      <w:r w:rsidRPr="009C05AE">
        <w:t xml:space="preserve">CHEN, M.; WANG, Y.; SUN, V. Capital intelectual e compromisso organizacional. </w:t>
      </w:r>
      <w:r w:rsidRPr="009C05AE">
        <w:rPr>
          <w:b/>
          <w:bCs/>
          <w:iCs/>
        </w:rPr>
        <w:t>Revisão de Pessoal</w:t>
      </w:r>
      <w:r w:rsidRPr="009C05AE">
        <w:t>, v.41, n.3, p. 321-339, 2012.</w:t>
      </w:r>
    </w:p>
    <w:p w14:paraId="2C2AB870" w14:textId="77777777" w:rsidR="009C05AE" w:rsidRPr="009C05AE" w:rsidRDefault="009C05AE" w:rsidP="009C05AE">
      <w:pPr>
        <w:ind w:firstLine="0"/>
      </w:pPr>
    </w:p>
    <w:p w14:paraId="7DF265D8" w14:textId="77777777" w:rsidR="009C05AE" w:rsidRPr="009C05AE" w:rsidRDefault="009C05AE" w:rsidP="009C05AE">
      <w:pPr>
        <w:ind w:firstLine="0"/>
      </w:pPr>
      <w:r w:rsidRPr="009C05AE">
        <w:t xml:space="preserve">CHOONG, </w:t>
      </w:r>
      <w:proofErr w:type="spellStart"/>
      <w:r w:rsidRPr="009C05AE">
        <w:t>Kwee</w:t>
      </w:r>
      <w:proofErr w:type="spellEnd"/>
      <w:r w:rsidRPr="009C05AE">
        <w:t xml:space="preserve"> </w:t>
      </w:r>
      <w:proofErr w:type="spellStart"/>
      <w:r w:rsidRPr="009C05AE">
        <w:t>Keong</w:t>
      </w:r>
      <w:proofErr w:type="spellEnd"/>
      <w:r w:rsidRPr="009C05AE">
        <w:t xml:space="preserve">. </w:t>
      </w:r>
      <w:proofErr w:type="spellStart"/>
      <w:r w:rsidRPr="009C05AE">
        <w:t>Intellectual</w:t>
      </w:r>
      <w:proofErr w:type="spellEnd"/>
      <w:r w:rsidRPr="009C05AE">
        <w:t xml:space="preserve"> capital: </w:t>
      </w:r>
      <w:proofErr w:type="spellStart"/>
      <w:r w:rsidRPr="009C05AE">
        <w:t>definitions</w:t>
      </w:r>
      <w:proofErr w:type="spellEnd"/>
      <w:r w:rsidRPr="009C05AE">
        <w:t xml:space="preserve">, </w:t>
      </w:r>
      <w:proofErr w:type="spellStart"/>
      <w:r w:rsidRPr="009C05AE">
        <w:t>categorization</w:t>
      </w:r>
      <w:proofErr w:type="spellEnd"/>
      <w:r w:rsidRPr="009C05AE">
        <w:t xml:space="preserve"> </w:t>
      </w:r>
      <w:proofErr w:type="spellStart"/>
      <w:r w:rsidRPr="009C05AE">
        <w:t>and</w:t>
      </w:r>
      <w:proofErr w:type="spellEnd"/>
      <w:r w:rsidRPr="009C05AE">
        <w:t xml:space="preserve"> </w:t>
      </w:r>
      <w:proofErr w:type="spellStart"/>
      <w:r w:rsidRPr="009C05AE">
        <w:t>reporting</w:t>
      </w:r>
      <w:proofErr w:type="spellEnd"/>
      <w:r w:rsidRPr="009C05AE">
        <w:t xml:space="preserve"> models.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v.9, n.4, p. 609-638, 2008.</w:t>
      </w:r>
    </w:p>
    <w:p w14:paraId="573A0268" w14:textId="77777777" w:rsidR="009C05AE" w:rsidRPr="009C05AE" w:rsidRDefault="009C05AE" w:rsidP="009C05AE">
      <w:pPr>
        <w:ind w:firstLine="0"/>
      </w:pPr>
    </w:p>
    <w:p w14:paraId="677B4232" w14:textId="77777777" w:rsidR="009C05AE" w:rsidRPr="009C05AE" w:rsidRDefault="009C05AE" w:rsidP="009C05AE">
      <w:pPr>
        <w:ind w:firstLine="0"/>
      </w:pPr>
      <w:r w:rsidRPr="009C05AE">
        <w:t xml:space="preserve">COOPER, David J.; SHERER, Michael J. The </w:t>
      </w:r>
      <w:proofErr w:type="spellStart"/>
      <w:r w:rsidRPr="009C05AE">
        <w:t>value</w:t>
      </w:r>
      <w:proofErr w:type="spellEnd"/>
      <w:r w:rsidRPr="009C05AE">
        <w:t xml:space="preserve"> </w:t>
      </w:r>
      <w:proofErr w:type="spellStart"/>
      <w:r w:rsidRPr="009C05AE">
        <w:t>of</w:t>
      </w:r>
      <w:proofErr w:type="spellEnd"/>
      <w:r w:rsidRPr="009C05AE">
        <w:t xml:space="preserve"> </w:t>
      </w:r>
      <w:proofErr w:type="spellStart"/>
      <w:r w:rsidRPr="009C05AE">
        <w:t>corporate</w:t>
      </w:r>
      <w:proofErr w:type="spellEnd"/>
      <w:r w:rsidRPr="009C05AE">
        <w:t xml:space="preserve"> </w:t>
      </w:r>
      <w:proofErr w:type="spellStart"/>
      <w:r w:rsidRPr="009C05AE">
        <w:t>accounting</w:t>
      </w:r>
      <w:proofErr w:type="spellEnd"/>
      <w:r w:rsidRPr="009C05AE">
        <w:t xml:space="preserve"> </w:t>
      </w:r>
      <w:proofErr w:type="spellStart"/>
      <w:r w:rsidRPr="009C05AE">
        <w:t>reports</w:t>
      </w:r>
      <w:proofErr w:type="spellEnd"/>
      <w:r w:rsidRPr="009C05AE">
        <w:t xml:space="preserve">: </w:t>
      </w:r>
      <w:proofErr w:type="spellStart"/>
      <w:r w:rsidRPr="009C05AE">
        <w:t>arguments</w:t>
      </w:r>
      <w:proofErr w:type="spellEnd"/>
      <w:r w:rsidRPr="009C05AE">
        <w:t xml:space="preserve"> for a </w:t>
      </w:r>
      <w:proofErr w:type="spellStart"/>
      <w:r w:rsidRPr="009C05AE">
        <w:t>political</w:t>
      </w:r>
      <w:proofErr w:type="spellEnd"/>
      <w:r w:rsidRPr="009C05AE">
        <w:t xml:space="preserve"> </w:t>
      </w:r>
      <w:proofErr w:type="spellStart"/>
      <w:r w:rsidRPr="009C05AE">
        <w:t>economy</w:t>
      </w:r>
      <w:proofErr w:type="spellEnd"/>
      <w:r w:rsidRPr="009C05AE">
        <w:t xml:space="preserve"> </w:t>
      </w:r>
      <w:proofErr w:type="spellStart"/>
      <w:r w:rsidRPr="009C05AE">
        <w:t>of</w:t>
      </w:r>
      <w:proofErr w:type="spellEnd"/>
      <w:r w:rsidRPr="009C05AE">
        <w:t xml:space="preserve"> </w:t>
      </w:r>
      <w:proofErr w:type="spellStart"/>
      <w:r w:rsidRPr="009C05AE">
        <w:t>accounting</w:t>
      </w:r>
      <w:proofErr w:type="spellEnd"/>
      <w:r w:rsidRPr="009C05AE">
        <w:t>. </w:t>
      </w:r>
      <w:proofErr w:type="spellStart"/>
      <w:r w:rsidRPr="009C05AE">
        <w:rPr>
          <w:b/>
          <w:bCs/>
        </w:rPr>
        <w:t>Accounting</w:t>
      </w:r>
      <w:proofErr w:type="spellEnd"/>
      <w:r w:rsidRPr="009C05AE">
        <w:rPr>
          <w:b/>
          <w:bCs/>
        </w:rPr>
        <w:t xml:space="preserve">, </w:t>
      </w:r>
      <w:proofErr w:type="spellStart"/>
      <w:r w:rsidRPr="009C05AE">
        <w:rPr>
          <w:b/>
          <w:bCs/>
        </w:rPr>
        <w:t>Organizations</w:t>
      </w:r>
      <w:proofErr w:type="spellEnd"/>
      <w:r w:rsidRPr="009C05AE">
        <w:rPr>
          <w:b/>
          <w:bCs/>
        </w:rPr>
        <w:t xml:space="preserve"> </w:t>
      </w:r>
      <w:proofErr w:type="spellStart"/>
      <w:r w:rsidRPr="009C05AE">
        <w:rPr>
          <w:b/>
          <w:bCs/>
        </w:rPr>
        <w:t>and</w:t>
      </w:r>
      <w:proofErr w:type="spellEnd"/>
      <w:r w:rsidRPr="009C05AE">
        <w:rPr>
          <w:b/>
          <w:bCs/>
        </w:rPr>
        <w:t xml:space="preserve"> Society</w:t>
      </w:r>
      <w:r w:rsidRPr="009C05AE">
        <w:t>, v. 9, n. 3-4, p. 207-232, 1984.</w:t>
      </w:r>
    </w:p>
    <w:p w14:paraId="7EA76003" w14:textId="77777777" w:rsidR="009C05AE" w:rsidRPr="009C05AE" w:rsidRDefault="009C05AE" w:rsidP="009C05AE">
      <w:pPr>
        <w:ind w:firstLine="0"/>
      </w:pPr>
    </w:p>
    <w:p w14:paraId="761B49D9" w14:textId="77777777" w:rsidR="009C05AE" w:rsidRPr="009C05AE" w:rsidRDefault="009C05AE" w:rsidP="009C05AE">
      <w:pPr>
        <w:ind w:firstLine="0"/>
      </w:pPr>
      <w:r w:rsidRPr="009C05AE">
        <w:t>CRUZ, Juliana Catarina Santos; ALVES, Maria Teresa Venâncio Dores. Capital intelectual: práticas de divulgação de informação em empresas portuguesas. </w:t>
      </w:r>
      <w:r w:rsidRPr="009C05AE">
        <w:rPr>
          <w:b/>
          <w:bCs/>
        </w:rPr>
        <w:t>Revista Universo Contábil</w:t>
      </w:r>
      <w:r w:rsidRPr="009C05AE">
        <w:t>, v. 9, n. 2, p. 174-194, 2013.</w:t>
      </w:r>
    </w:p>
    <w:p w14:paraId="0FED064B" w14:textId="77777777" w:rsidR="009C05AE" w:rsidRPr="009C05AE" w:rsidRDefault="009C05AE" w:rsidP="009C05AE">
      <w:pPr>
        <w:ind w:firstLine="0"/>
      </w:pPr>
    </w:p>
    <w:p w14:paraId="1317137C" w14:textId="77777777" w:rsidR="009C05AE" w:rsidRPr="009C05AE" w:rsidRDefault="009C05AE" w:rsidP="009C05AE">
      <w:pPr>
        <w:ind w:firstLine="0"/>
      </w:pPr>
      <w:r w:rsidRPr="009C05AE">
        <w:t xml:space="preserve">DAVEY, Janet; SCHNEIDER, Lily; DAVEY, Howard. </w:t>
      </w:r>
      <w:proofErr w:type="spellStart"/>
      <w:r w:rsidRPr="009C05AE">
        <w:t>Intellectual</w:t>
      </w:r>
      <w:proofErr w:type="spellEnd"/>
      <w:r w:rsidRPr="009C05AE">
        <w:t xml:space="preserve"> capital </w:t>
      </w:r>
      <w:proofErr w:type="spellStart"/>
      <w:r w:rsidRPr="009C05AE">
        <w:t>disclosure</w:t>
      </w:r>
      <w:proofErr w:type="spellEnd"/>
      <w:r w:rsidRPr="009C05AE">
        <w:t xml:space="preserve"> </w:t>
      </w:r>
      <w:proofErr w:type="spellStart"/>
      <w:r w:rsidRPr="009C05AE">
        <w:t>and</w:t>
      </w:r>
      <w:proofErr w:type="spellEnd"/>
      <w:r w:rsidRPr="009C05AE">
        <w:t xml:space="preserve"> </w:t>
      </w:r>
      <w:proofErr w:type="spellStart"/>
      <w:r w:rsidRPr="009C05AE">
        <w:t>the</w:t>
      </w:r>
      <w:proofErr w:type="spellEnd"/>
      <w:r w:rsidRPr="009C05AE">
        <w:t xml:space="preserve"> </w:t>
      </w:r>
      <w:proofErr w:type="spellStart"/>
      <w:r w:rsidRPr="009C05AE">
        <w:t>fashion</w:t>
      </w:r>
      <w:proofErr w:type="spellEnd"/>
      <w:r w:rsidRPr="009C05AE">
        <w:t xml:space="preserve"> </w:t>
      </w:r>
      <w:proofErr w:type="spellStart"/>
      <w:r w:rsidRPr="009C05AE">
        <w:t>industry</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v.10, n.3, p. 401-424, 2009.</w:t>
      </w:r>
    </w:p>
    <w:p w14:paraId="77534446" w14:textId="77777777" w:rsidR="009C05AE" w:rsidRPr="009C05AE" w:rsidRDefault="009C05AE" w:rsidP="009C05AE">
      <w:pPr>
        <w:ind w:firstLine="0"/>
      </w:pPr>
    </w:p>
    <w:p w14:paraId="506F3587" w14:textId="77777777" w:rsidR="009C05AE" w:rsidRPr="009C05AE" w:rsidRDefault="009C05AE" w:rsidP="009C05AE">
      <w:pPr>
        <w:ind w:firstLine="0"/>
      </w:pPr>
      <w:r w:rsidRPr="009C05AE">
        <w:t xml:space="preserve">GHASEMPOUR, </w:t>
      </w:r>
      <w:proofErr w:type="spellStart"/>
      <w:r w:rsidRPr="009C05AE">
        <w:t>Abdolreza</w:t>
      </w:r>
      <w:proofErr w:type="spellEnd"/>
      <w:r w:rsidRPr="009C05AE">
        <w:t xml:space="preserve">; YUSOF, </w:t>
      </w:r>
      <w:proofErr w:type="spellStart"/>
      <w:r w:rsidRPr="009C05AE">
        <w:t>Mohd</w:t>
      </w:r>
      <w:proofErr w:type="spellEnd"/>
      <w:r w:rsidRPr="009C05AE">
        <w:t xml:space="preserve"> Atef Bin </w:t>
      </w:r>
      <w:proofErr w:type="spellStart"/>
      <w:r w:rsidRPr="009C05AE">
        <w:t>Md</w:t>
      </w:r>
      <w:proofErr w:type="spellEnd"/>
      <w:r w:rsidRPr="009C05AE">
        <w:t xml:space="preserve">. The </w:t>
      </w:r>
      <w:proofErr w:type="spellStart"/>
      <w:r w:rsidRPr="009C05AE">
        <w:t>effect</w:t>
      </w:r>
      <w:proofErr w:type="spellEnd"/>
      <w:r w:rsidRPr="009C05AE">
        <w:t xml:space="preserve"> </w:t>
      </w:r>
      <w:proofErr w:type="spellStart"/>
      <w:r w:rsidRPr="009C05AE">
        <w:t>of</w:t>
      </w:r>
      <w:proofErr w:type="spellEnd"/>
      <w:r w:rsidRPr="009C05AE">
        <w:t xml:space="preserve"> fundamental </w:t>
      </w:r>
      <w:proofErr w:type="spellStart"/>
      <w:r w:rsidRPr="009C05AE">
        <w:t>determinants</w:t>
      </w:r>
      <w:proofErr w:type="spellEnd"/>
      <w:r w:rsidRPr="009C05AE">
        <w:t xml:space="preserve"> </w:t>
      </w:r>
      <w:proofErr w:type="spellStart"/>
      <w:r w:rsidRPr="009C05AE">
        <w:t>on</w:t>
      </w:r>
      <w:proofErr w:type="spellEnd"/>
      <w:r w:rsidRPr="009C05AE">
        <w:t xml:space="preserve"> </w:t>
      </w:r>
      <w:proofErr w:type="spellStart"/>
      <w:r w:rsidRPr="009C05AE">
        <w:t>voluntary</w:t>
      </w:r>
      <w:proofErr w:type="spellEnd"/>
      <w:r w:rsidRPr="009C05AE">
        <w:t xml:space="preserve"> </w:t>
      </w:r>
      <w:proofErr w:type="spellStart"/>
      <w:r w:rsidRPr="009C05AE">
        <w:t>disclosure</w:t>
      </w:r>
      <w:proofErr w:type="spellEnd"/>
      <w:r w:rsidRPr="009C05AE">
        <w:t xml:space="preserve"> </w:t>
      </w:r>
      <w:proofErr w:type="spellStart"/>
      <w:r w:rsidRPr="009C05AE">
        <w:t>of</w:t>
      </w:r>
      <w:proofErr w:type="spellEnd"/>
      <w:r w:rsidRPr="009C05AE">
        <w:t xml:space="preserve"> financial </w:t>
      </w:r>
      <w:proofErr w:type="spellStart"/>
      <w:r w:rsidRPr="009C05AE">
        <w:t>and</w:t>
      </w:r>
      <w:proofErr w:type="spellEnd"/>
      <w:r w:rsidRPr="009C05AE">
        <w:t xml:space="preserve"> </w:t>
      </w:r>
      <w:proofErr w:type="spellStart"/>
      <w:r w:rsidRPr="009C05AE">
        <w:t>nonfinancial</w:t>
      </w:r>
      <w:proofErr w:type="spellEnd"/>
      <w:r w:rsidRPr="009C05AE">
        <w:t xml:space="preserve"> </w:t>
      </w:r>
      <w:proofErr w:type="spellStart"/>
      <w:r w:rsidRPr="009C05AE">
        <w:t>information</w:t>
      </w:r>
      <w:proofErr w:type="spellEnd"/>
      <w:r w:rsidRPr="009C05AE">
        <w:t xml:space="preserve">: </w:t>
      </w:r>
      <w:proofErr w:type="spellStart"/>
      <w:r w:rsidRPr="009C05AE">
        <w:t>the</w:t>
      </w:r>
      <w:proofErr w:type="spellEnd"/>
      <w:r w:rsidRPr="009C05AE">
        <w:t xml:space="preserve"> case </w:t>
      </w:r>
      <w:proofErr w:type="spellStart"/>
      <w:r w:rsidRPr="009C05AE">
        <w:t>of</w:t>
      </w:r>
      <w:proofErr w:type="spellEnd"/>
      <w:r w:rsidRPr="009C05AE">
        <w:t xml:space="preserve"> internet </w:t>
      </w:r>
      <w:proofErr w:type="spellStart"/>
      <w:r w:rsidRPr="009C05AE">
        <w:t>reporting</w:t>
      </w:r>
      <w:proofErr w:type="spellEnd"/>
      <w:r w:rsidRPr="009C05AE">
        <w:t xml:space="preserve"> </w:t>
      </w:r>
      <w:proofErr w:type="spellStart"/>
      <w:r w:rsidRPr="009C05AE">
        <w:t>on</w:t>
      </w:r>
      <w:proofErr w:type="spellEnd"/>
      <w:r w:rsidRPr="009C05AE">
        <w:t xml:space="preserve"> </w:t>
      </w:r>
      <w:proofErr w:type="spellStart"/>
      <w:r w:rsidRPr="009C05AE">
        <w:t>the</w:t>
      </w:r>
      <w:proofErr w:type="spellEnd"/>
      <w:r w:rsidRPr="009C05AE">
        <w:t xml:space="preserve"> </w:t>
      </w:r>
      <w:proofErr w:type="spellStart"/>
      <w:r w:rsidRPr="009C05AE">
        <w:t>Tehran</w:t>
      </w:r>
      <w:proofErr w:type="spellEnd"/>
      <w:r w:rsidRPr="009C05AE">
        <w:t xml:space="preserve"> stock </w:t>
      </w:r>
      <w:proofErr w:type="spellStart"/>
      <w:r w:rsidRPr="009C05AE">
        <w:t>exchange</w:t>
      </w:r>
      <w:proofErr w:type="spellEnd"/>
      <w:r w:rsidRPr="009C05AE">
        <w:t>. </w:t>
      </w:r>
      <w:r w:rsidRPr="009C05AE">
        <w:rPr>
          <w:b/>
          <w:bCs/>
        </w:rPr>
        <w:t xml:space="preserve">The </w:t>
      </w:r>
      <w:proofErr w:type="spellStart"/>
      <w:r w:rsidRPr="009C05AE">
        <w:rPr>
          <w:b/>
          <w:bCs/>
        </w:rPr>
        <w:t>International</w:t>
      </w:r>
      <w:proofErr w:type="spellEnd"/>
      <w:r w:rsidRPr="009C05AE">
        <w:rPr>
          <w:b/>
          <w:bCs/>
        </w:rPr>
        <w:t xml:space="preserve">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Digital </w:t>
      </w:r>
      <w:proofErr w:type="spellStart"/>
      <w:r w:rsidRPr="009C05AE">
        <w:rPr>
          <w:b/>
          <w:bCs/>
        </w:rPr>
        <w:t>Accounting</w:t>
      </w:r>
      <w:proofErr w:type="spellEnd"/>
      <w:r w:rsidRPr="009C05AE">
        <w:rPr>
          <w:b/>
          <w:bCs/>
        </w:rPr>
        <w:t xml:space="preserve"> </w:t>
      </w:r>
      <w:proofErr w:type="spellStart"/>
      <w:r w:rsidRPr="009C05AE">
        <w:rPr>
          <w:b/>
          <w:bCs/>
        </w:rPr>
        <w:t>Research</w:t>
      </w:r>
      <w:proofErr w:type="spellEnd"/>
      <w:r w:rsidRPr="009C05AE">
        <w:t>, v. 14, n. 4, p. 37-56, 2014.</w:t>
      </w:r>
    </w:p>
    <w:p w14:paraId="55655EDF" w14:textId="77777777" w:rsidR="009C05AE" w:rsidRPr="009C05AE" w:rsidRDefault="009C05AE" w:rsidP="009C05AE">
      <w:pPr>
        <w:ind w:firstLine="0"/>
      </w:pPr>
    </w:p>
    <w:p w14:paraId="2CF58141" w14:textId="77777777" w:rsidR="009C05AE" w:rsidRPr="009C05AE" w:rsidRDefault="009C05AE" w:rsidP="009C05AE">
      <w:pPr>
        <w:ind w:firstLine="0"/>
      </w:pPr>
      <w:r w:rsidRPr="009C05AE">
        <w:t xml:space="preserve">GÓIS, Alan Diógenes; DE LUCA, Márcia Martins Mendes; ALCÁNTARA, José A. Fatores determinantes do </w:t>
      </w:r>
      <w:proofErr w:type="spellStart"/>
      <w:r w:rsidRPr="009C05AE">
        <w:t>disclosure</w:t>
      </w:r>
      <w:proofErr w:type="spellEnd"/>
      <w:r w:rsidRPr="009C05AE">
        <w:t xml:space="preserve"> do capital humano. </w:t>
      </w:r>
      <w:proofErr w:type="spellStart"/>
      <w:r w:rsidRPr="009C05AE">
        <w:rPr>
          <w:b/>
          <w:bCs/>
        </w:rPr>
        <w:t>Race</w:t>
      </w:r>
      <w:proofErr w:type="spellEnd"/>
      <w:r w:rsidRPr="009C05AE">
        <w:rPr>
          <w:b/>
          <w:bCs/>
        </w:rPr>
        <w:t>: revista de administração, contabilidade e economia</w:t>
      </w:r>
      <w:r w:rsidRPr="009C05AE">
        <w:t>, v. 15, n. 1, p. 201-226, 2016.</w:t>
      </w:r>
    </w:p>
    <w:p w14:paraId="616C7832" w14:textId="77777777" w:rsidR="009C05AE" w:rsidRPr="009C05AE" w:rsidRDefault="009C05AE" w:rsidP="009C05AE">
      <w:pPr>
        <w:ind w:firstLine="0"/>
      </w:pPr>
    </w:p>
    <w:p w14:paraId="194C1159" w14:textId="77777777" w:rsidR="009C05AE" w:rsidRPr="009C05AE" w:rsidRDefault="009C05AE" w:rsidP="009C05AE">
      <w:pPr>
        <w:ind w:firstLine="0"/>
      </w:pPr>
      <w:r w:rsidRPr="009C05AE">
        <w:t xml:space="preserve">GRAAFLAND, Johan et al. </w:t>
      </w:r>
      <w:proofErr w:type="spellStart"/>
      <w:r w:rsidRPr="009C05AE">
        <w:t>National</w:t>
      </w:r>
      <w:proofErr w:type="spellEnd"/>
      <w:r w:rsidRPr="009C05AE">
        <w:t xml:space="preserve"> </w:t>
      </w:r>
      <w:proofErr w:type="spellStart"/>
      <w:r w:rsidRPr="009C05AE">
        <w:t>culture</w:t>
      </w:r>
      <w:proofErr w:type="spellEnd"/>
      <w:r w:rsidRPr="009C05AE">
        <w:t xml:space="preserve"> </w:t>
      </w:r>
      <w:proofErr w:type="spellStart"/>
      <w:r w:rsidRPr="009C05AE">
        <w:t>and</w:t>
      </w:r>
      <w:proofErr w:type="spellEnd"/>
      <w:r w:rsidRPr="009C05AE">
        <w:t xml:space="preserve"> </w:t>
      </w:r>
      <w:proofErr w:type="spellStart"/>
      <w:r w:rsidRPr="009C05AE">
        <w:t>environmental</w:t>
      </w:r>
      <w:proofErr w:type="spellEnd"/>
      <w:r w:rsidRPr="009C05AE">
        <w:t xml:space="preserve"> </w:t>
      </w:r>
      <w:proofErr w:type="spellStart"/>
      <w:r w:rsidRPr="009C05AE">
        <w:t>responsibility</w:t>
      </w:r>
      <w:proofErr w:type="spellEnd"/>
      <w:r w:rsidRPr="009C05AE">
        <w:t xml:space="preserve"> </w:t>
      </w:r>
      <w:proofErr w:type="spellStart"/>
      <w:r w:rsidRPr="009C05AE">
        <w:t>research</w:t>
      </w:r>
      <w:proofErr w:type="spellEnd"/>
      <w:r w:rsidRPr="009C05AE">
        <w:t xml:space="preserve"> </w:t>
      </w:r>
      <w:proofErr w:type="spellStart"/>
      <w:r w:rsidRPr="009C05AE">
        <w:t>revisited</w:t>
      </w:r>
      <w:proofErr w:type="spellEnd"/>
      <w:r w:rsidRPr="009C05AE">
        <w:t>. </w:t>
      </w:r>
      <w:proofErr w:type="spellStart"/>
      <w:r w:rsidRPr="009C05AE">
        <w:rPr>
          <w:b/>
          <w:bCs/>
        </w:rPr>
        <w:t>International</w:t>
      </w:r>
      <w:proofErr w:type="spellEnd"/>
      <w:r w:rsidRPr="009C05AE">
        <w:rPr>
          <w:b/>
          <w:bCs/>
        </w:rPr>
        <w:t xml:space="preserve"> Business Review</w:t>
      </w:r>
      <w:r w:rsidRPr="009C05AE">
        <w:t>, v. 27, n. 5, p. 958-968, 2018.</w:t>
      </w:r>
    </w:p>
    <w:p w14:paraId="16424E7D" w14:textId="77777777" w:rsidR="009C05AE" w:rsidRPr="009C05AE" w:rsidRDefault="009C05AE" w:rsidP="009C05AE">
      <w:pPr>
        <w:ind w:firstLine="0"/>
      </w:pPr>
    </w:p>
    <w:p w14:paraId="08C9CC02" w14:textId="77777777" w:rsidR="009C05AE" w:rsidRPr="009C05AE" w:rsidRDefault="009C05AE" w:rsidP="009C05AE">
      <w:pPr>
        <w:ind w:firstLine="0"/>
      </w:pPr>
      <w:r w:rsidRPr="009C05AE">
        <w:t xml:space="preserve">GUTHRIE, James; PETTY, Richard; RICCERI, </w:t>
      </w:r>
      <w:proofErr w:type="spellStart"/>
      <w:r w:rsidRPr="009C05AE">
        <w:t>Federica</w:t>
      </w:r>
      <w:proofErr w:type="spellEnd"/>
      <w:r w:rsidRPr="009C05AE">
        <w:t xml:space="preserve">. The </w:t>
      </w:r>
      <w:proofErr w:type="spellStart"/>
      <w:r w:rsidRPr="009C05AE">
        <w:t>voluntary</w:t>
      </w:r>
      <w:proofErr w:type="spellEnd"/>
      <w:r w:rsidRPr="009C05AE">
        <w:t xml:space="preserve"> </w:t>
      </w:r>
      <w:proofErr w:type="spellStart"/>
      <w:r w:rsidRPr="009C05AE">
        <w:t>reporting</w:t>
      </w:r>
      <w:proofErr w:type="spellEnd"/>
      <w:r w:rsidRPr="009C05AE">
        <w:t xml:space="preserve"> </w:t>
      </w:r>
      <w:proofErr w:type="spellStart"/>
      <w:r w:rsidRPr="009C05AE">
        <w:t>of</w:t>
      </w:r>
      <w:proofErr w:type="spellEnd"/>
      <w:r w:rsidRPr="009C05AE">
        <w:t xml:space="preserve"> </w:t>
      </w:r>
      <w:proofErr w:type="spellStart"/>
      <w:r w:rsidRPr="009C05AE">
        <w:t>intellectual</w:t>
      </w:r>
      <w:proofErr w:type="spellEnd"/>
      <w:r w:rsidRPr="009C05AE">
        <w:t xml:space="preserve"> capital: </w:t>
      </w:r>
      <w:proofErr w:type="spellStart"/>
      <w:r w:rsidRPr="009C05AE">
        <w:t>comparing</w:t>
      </w:r>
      <w:proofErr w:type="spellEnd"/>
      <w:r w:rsidRPr="009C05AE">
        <w:t xml:space="preserve"> </w:t>
      </w:r>
      <w:proofErr w:type="spellStart"/>
      <w:r w:rsidRPr="009C05AE">
        <w:t>evidence</w:t>
      </w:r>
      <w:proofErr w:type="spellEnd"/>
      <w:r w:rsidRPr="009C05AE">
        <w:t xml:space="preserve"> </w:t>
      </w:r>
      <w:proofErr w:type="spellStart"/>
      <w:r w:rsidRPr="009C05AE">
        <w:t>from</w:t>
      </w:r>
      <w:proofErr w:type="spellEnd"/>
      <w:r w:rsidRPr="009C05AE">
        <w:t xml:space="preserve"> Hong Kong </w:t>
      </w:r>
      <w:proofErr w:type="spellStart"/>
      <w:r w:rsidRPr="009C05AE">
        <w:t>and</w:t>
      </w:r>
      <w:proofErr w:type="spellEnd"/>
      <w:r w:rsidRPr="009C05AE">
        <w:t xml:space="preserve"> Australia.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v.7, n.2, p. 254-271, 2006.</w:t>
      </w:r>
    </w:p>
    <w:p w14:paraId="40A41DDA" w14:textId="77777777" w:rsidR="009C05AE" w:rsidRPr="009C05AE" w:rsidRDefault="009C05AE" w:rsidP="009C05AE">
      <w:pPr>
        <w:ind w:firstLine="0"/>
      </w:pPr>
    </w:p>
    <w:p w14:paraId="731A05B7" w14:textId="77777777" w:rsidR="009C05AE" w:rsidRPr="009C05AE" w:rsidRDefault="009C05AE" w:rsidP="009C05AE">
      <w:pPr>
        <w:ind w:firstLine="0"/>
      </w:pPr>
      <w:r w:rsidRPr="009C05AE">
        <w:t xml:space="preserve">HENDRIKSEN, </w:t>
      </w:r>
      <w:proofErr w:type="spellStart"/>
      <w:r w:rsidRPr="009C05AE">
        <w:t>Eldon</w:t>
      </w:r>
      <w:proofErr w:type="spellEnd"/>
      <w:r w:rsidRPr="009C05AE">
        <w:t xml:space="preserve"> S.; VAN BREDA, Michael F. Teoria da contabilidade; tradução de </w:t>
      </w:r>
      <w:proofErr w:type="spellStart"/>
      <w:r w:rsidRPr="009C05AE">
        <w:t>Antonio</w:t>
      </w:r>
      <w:proofErr w:type="spellEnd"/>
      <w:r w:rsidRPr="009C05AE">
        <w:t xml:space="preserve"> </w:t>
      </w:r>
      <w:proofErr w:type="spellStart"/>
      <w:r w:rsidRPr="009C05AE">
        <w:t>Zoratto</w:t>
      </w:r>
      <w:proofErr w:type="spellEnd"/>
      <w:r w:rsidRPr="009C05AE">
        <w:t xml:space="preserve"> </w:t>
      </w:r>
      <w:proofErr w:type="spellStart"/>
      <w:r w:rsidRPr="009C05AE">
        <w:t>Sanvicente</w:t>
      </w:r>
      <w:proofErr w:type="spellEnd"/>
      <w:r w:rsidRPr="009C05AE">
        <w:t>. </w:t>
      </w:r>
      <w:r w:rsidRPr="009C05AE">
        <w:rPr>
          <w:b/>
          <w:bCs/>
        </w:rPr>
        <w:t>São Paulo: Atlas</w:t>
      </w:r>
      <w:r w:rsidRPr="009C05AE">
        <w:t>, p. 277-297, 1999.</w:t>
      </w:r>
    </w:p>
    <w:p w14:paraId="485A2F4C" w14:textId="77777777" w:rsidR="009C05AE" w:rsidRPr="009C05AE" w:rsidRDefault="009C05AE" w:rsidP="009C05AE">
      <w:pPr>
        <w:ind w:firstLine="0"/>
      </w:pPr>
    </w:p>
    <w:p w14:paraId="46D54D27" w14:textId="77777777" w:rsidR="009C05AE" w:rsidRPr="009C05AE" w:rsidRDefault="009C05AE" w:rsidP="009C05AE">
      <w:pPr>
        <w:ind w:firstLine="0"/>
      </w:pPr>
      <w:r w:rsidRPr="009C05AE">
        <w:t xml:space="preserve">HIDALGO, Ruth L.; GARCÍA-MECA, Emma; MARTÍNEZ, Isabel. Corporate </w:t>
      </w:r>
      <w:proofErr w:type="spellStart"/>
      <w:r w:rsidRPr="009C05AE">
        <w:t>governance</w:t>
      </w:r>
      <w:proofErr w:type="spellEnd"/>
      <w:r w:rsidRPr="009C05AE">
        <w:t xml:space="preserve"> </w:t>
      </w:r>
      <w:proofErr w:type="spellStart"/>
      <w:r w:rsidRPr="009C05AE">
        <w:t>and</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business </w:t>
      </w:r>
      <w:proofErr w:type="spellStart"/>
      <w:r w:rsidRPr="009C05AE">
        <w:rPr>
          <w:b/>
          <w:bCs/>
        </w:rPr>
        <w:t>ethics</w:t>
      </w:r>
      <w:proofErr w:type="spellEnd"/>
      <w:r w:rsidRPr="009C05AE">
        <w:t>, v. 100, n. 3, p. 483-495, 2011.</w:t>
      </w:r>
    </w:p>
    <w:p w14:paraId="7FFDA323" w14:textId="77777777" w:rsidR="009C05AE" w:rsidRPr="009C05AE" w:rsidRDefault="009C05AE" w:rsidP="009C05AE">
      <w:pPr>
        <w:ind w:firstLine="0"/>
      </w:pPr>
    </w:p>
    <w:p w14:paraId="40686AFA" w14:textId="77777777" w:rsidR="009C05AE" w:rsidRPr="009C05AE" w:rsidRDefault="009C05AE" w:rsidP="009C05AE">
      <w:pPr>
        <w:ind w:firstLine="0"/>
      </w:pPr>
      <w:bookmarkStart w:id="4" w:name="_2et92p0" w:colFirst="0" w:colLast="0"/>
      <w:bookmarkEnd w:id="4"/>
      <w:r w:rsidRPr="009C05AE">
        <w:t xml:space="preserve">JORDAAN, Lauren A.; DE KLERK, Marna; DE VILLIERS, </w:t>
      </w:r>
      <w:proofErr w:type="spellStart"/>
      <w:r w:rsidRPr="009C05AE">
        <w:t>Charl</w:t>
      </w:r>
      <w:proofErr w:type="spellEnd"/>
      <w:r w:rsidRPr="009C05AE">
        <w:t xml:space="preserve"> J. Corporate social </w:t>
      </w:r>
      <w:proofErr w:type="spellStart"/>
      <w:r w:rsidRPr="009C05AE">
        <w:t>responsibility</w:t>
      </w:r>
      <w:proofErr w:type="spellEnd"/>
      <w:r w:rsidRPr="009C05AE">
        <w:t xml:space="preserve"> </w:t>
      </w:r>
      <w:proofErr w:type="spellStart"/>
      <w:r w:rsidRPr="009C05AE">
        <w:t>and</w:t>
      </w:r>
      <w:proofErr w:type="spellEnd"/>
      <w:r w:rsidRPr="009C05AE">
        <w:t xml:space="preserve"> </w:t>
      </w:r>
      <w:proofErr w:type="spellStart"/>
      <w:r w:rsidRPr="009C05AE">
        <w:t>earnings</w:t>
      </w:r>
      <w:proofErr w:type="spellEnd"/>
      <w:r w:rsidRPr="009C05AE">
        <w:t xml:space="preserve"> management </w:t>
      </w:r>
      <w:proofErr w:type="spellStart"/>
      <w:r w:rsidRPr="009C05AE">
        <w:t>of</w:t>
      </w:r>
      <w:proofErr w:type="spellEnd"/>
      <w:r w:rsidRPr="009C05AE">
        <w:t xml:space="preserve"> South African </w:t>
      </w:r>
      <w:proofErr w:type="spellStart"/>
      <w:r w:rsidRPr="009C05AE">
        <w:t>companies</w:t>
      </w:r>
      <w:proofErr w:type="spellEnd"/>
      <w:r w:rsidRPr="009C05AE">
        <w:t>. </w:t>
      </w:r>
      <w:r w:rsidRPr="009C05AE">
        <w:rPr>
          <w:b/>
          <w:bCs/>
        </w:rPr>
        <w:t xml:space="preserve">South African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Economic </w:t>
      </w:r>
      <w:proofErr w:type="spellStart"/>
      <w:r w:rsidRPr="009C05AE">
        <w:rPr>
          <w:b/>
          <w:bCs/>
        </w:rPr>
        <w:t>and</w:t>
      </w:r>
      <w:proofErr w:type="spellEnd"/>
      <w:r w:rsidRPr="009C05AE">
        <w:rPr>
          <w:b/>
          <w:bCs/>
        </w:rPr>
        <w:t xml:space="preserve"> Management </w:t>
      </w:r>
      <w:proofErr w:type="spellStart"/>
      <w:r w:rsidRPr="009C05AE">
        <w:rPr>
          <w:b/>
          <w:bCs/>
        </w:rPr>
        <w:t>Sciences</w:t>
      </w:r>
      <w:proofErr w:type="spellEnd"/>
      <w:r w:rsidRPr="009C05AE">
        <w:t>, v. 21, n. 1, p. 1-13, 2018.</w:t>
      </w:r>
    </w:p>
    <w:p w14:paraId="00DCDD01" w14:textId="77777777" w:rsidR="009C05AE" w:rsidRPr="009C05AE" w:rsidRDefault="009C05AE" w:rsidP="009C05AE">
      <w:pPr>
        <w:ind w:firstLine="0"/>
      </w:pPr>
    </w:p>
    <w:p w14:paraId="34171D38" w14:textId="77777777" w:rsidR="009C05AE" w:rsidRPr="009C05AE" w:rsidRDefault="009C05AE" w:rsidP="009C05AE">
      <w:pPr>
        <w:ind w:firstLine="0"/>
      </w:pPr>
      <w:r w:rsidRPr="009C05AE">
        <w:t xml:space="preserve">KATEB, </w:t>
      </w:r>
      <w:proofErr w:type="spellStart"/>
      <w:r w:rsidRPr="009C05AE">
        <w:t>Inès</w:t>
      </w:r>
      <w:proofErr w:type="spellEnd"/>
      <w:r w:rsidRPr="009C05AE">
        <w:t xml:space="preserve">. </w:t>
      </w:r>
      <w:proofErr w:type="spellStart"/>
      <w:r w:rsidRPr="009C05AE">
        <w:t>Voluntary</w:t>
      </w:r>
      <w:proofErr w:type="spellEnd"/>
      <w:r w:rsidRPr="009C05AE">
        <w:t xml:space="preserve"> </w:t>
      </w:r>
      <w:proofErr w:type="spellStart"/>
      <w:r w:rsidRPr="009C05AE">
        <w:t>human</w:t>
      </w:r>
      <w:proofErr w:type="spellEnd"/>
      <w:r w:rsidRPr="009C05AE">
        <w:t xml:space="preserve"> capital </w:t>
      </w:r>
      <w:proofErr w:type="spellStart"/>
      <w:r w:rsidRPr="009C05AE">
        <w:t>disclosure</w:t>
      </w:r>
      <w:proofErr w:type="spellEnd"/>
      <w:r w:rsidRPr="009C05AE">
        <w:t xml:space="preserve"> in </w:t>
      </w:r>
      <w:proofErr w:type="spellStart"/>
      <w:r w:rsidRPr="009C05AE">
        <w:t>French</w:t>
      </w:r>
      <w:proofErr w:type="spellEnd"/>
      <w:r w:rsidRPr="009C05AE">
        <w:t xml:space="preserve"> </w:t>
      </w:r>
      <w:proofErr w:type="spellStart"/>
      <w:r w:rsidRPr="009C05AE">
        <w:t>annual</w:t>
      </w:r>
      <w:proofErr w:type="spellEnd"/>
      <w:r w:rsidRPr="009C05AE">
        <w:t xml:space="preserve"> </w:t>
      </w:r>
      <w:proofErr w:type="spellStart"/>
      <w:r w:rsidRPr="009C05AE">
        <w:t>reports</w:t>
      </w:r>
      <w:proofErr w:type="spellEnd"/>
      <w:r w:rsidRPr="009C05AE">
        <w:t>. </w:t>
      </w:r>
      <w:proofErr w:type="spellStart"/>
      <w:r w:rsidRPr="009C05AE">
        <w:rPr>
          <w:b/>
          <w:bCs/>
        </w:rPr>
        <w:t>International</w:t>
      </w:r>
      <w:proofErr w:type="spellEnd"/>
      <w:r w:rsidRPr="009C05AE">
        <w:rPr>
          <w:b/>
          <w:bCs/>
        </w:rPr>
        <w:t xml:space="preserve">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Learning </w:t>
      </w:r>
      <w:proofErr w:type="spellStart"/>
      <w:r w:rsidRPr="009C05AE">
        <w:rPr>
          <w:b/>
          <w:bCs/>
        </w:rPr>
        <w:t>and</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 12, n. 4, p. 323-341, 2015.</w:t>
      </w:r>
    </w:p>
    <w:p w14:paraId="75C8CD7A" w14:textId="77777777" w:rsidR="009C05AE" w:rsidRPr="009C05AE" w:rsidRDefault="009C05AE" w:rsidP="009C05AE">
      <w:pPr>
        <w:ind w:firstLine="0"/>
      </w:pPr>
    </w:p>
    <w:p w14:paraId="337FA863" w14:textId="77777777" w:rsidR="009C05AE" w:rsidRPr="009C05AE" w:rsidRDefault="009C05AE" w:rsidP="009C05AE">
      <w:pPr>
        <w:ind w:firstLine="0"/>
      </w:pPr>
      <w:r w:rsidRPr="009C05AE">
        <w:t xml:space="preserve">KAVESKI, </w:t>
      </w:r>
      <w:proofErr w:type="spellStart"/>
      <w:r w:rsidRPr="009C05AE">
        <w:t>Itzhak</w:t>
      </w:r>
      <w:proofErr w:type="spellEnd"/>
      <w:r w:rsidRPr="009C05AE">
        <w:t xml:space="preserve"> David Simão et al. Governança Corporativa e Capital Intelectual das Empresas Brasileiras Pertencentes ao Índice BM&amp;FBOVESPA de Consumo (ICON). </w:t>
      </w:r>
      <w:r w:rsidRPr="009C05AE">
        <w:rPr>
          <w:b/>
          <w:bCs/>
        </w:rPr>
        <w:t>Revista de Gestão e Contabilidade da UFPI</w:t>
      </w:r>
      <w:r w:rsidRPr="009C05AE">
        <w:t>, v. 2, n. 2, 2015.</w:t>
      </w:r>
    </w:p>
    <w:p w14:paraId="436B9EC7" w14:textId="77777777" w:rsidR="009C05AE" w:rsidRPr="009C05AE" w:rsidRDefault="009C05AE" w:rsidP="009C05AE">
      <w:pPr>
        <w:ind w:firstLine="0"/>
      </w:pPr>
    </w:p>
    <w:p w14:paraId="12B716B5" w14:textId="77777777" w:rsidR="009C05AE" w:rsidRPr="009C05AE" w:rsidRDefault="009C05AE" w:rsidP="009C05AE">
      <w:pPr>
        <w:ind w:firstLine="0"/>
      </w:pPr>
      <w:r w:rsidRPr="009C05AE">
        <w:t xml:space="preserve">KEENAN, James; AGGESTAM, Maria. Corporate </w:t>
      </w:r>
      <w:proofErr w:type="spellStart"/>
      <w:r w:rsidRPr="009C05AE">
        <w:t>governance</w:t>
      </w:r>
      <w:proofErr w:type="spellEnd"/>
      <w:r w:rsidRPr="009C05AE">
        <w:t xml:space="preserve"> </w:t>
      </w:r>
      <w:proofErr w:type="spellStart"/>
      <w:r w:rsidRPr="009C05AE">
        <w:t>and</w:t>
      </w:r>
      <w:proofErr w:type="spellEnd"/>
      <w:r w:rsidRPr="009C05AE">
        <w:t xml:space="preserve"> </w:t>
      </w:r>
      <w:proofErr w:type="spellStart"/>
      <w:r w:rsidRPr="009C05AE">
        <w:t>intellectual</w:t>
      </w:r>
      <w:proofErr w:type="spellEnd"/>
      <w:r w:rsidRPr="009C05AE">
        <w:t xml:space="preserve"> capital: some </w:t>
      </w:r>
      <w:proofErr w:type="spellStart"/>
      <w:r w:rsidRPr="009C05AE">
        <w:t>conceptualisations</w:t>
      </w:r>
      <w:proofErr w:type="spellEnd"/>
      <w:r w:rsidRPr="009C05AE">
        <w:t>. </w:t>
      </w:r>
      <w:r w:rsidRPr="009C05AE">
        <w:rPr>
          <w:b/>
          <w:bCs/>
        </w:rPr>
        <w:t xml:space="preserve">Corporate </w:t>
      </w:r>
      <w:proofErr w:type="spellStart"/>
      <w:r w:rsidRPr="009C05AE">
        <w:rPr>
          <w:b/>
          <w:bCs/>
        </w:rPr>
        <w:t>Governance</w:t>
      </w:r>
      <w:proofErr w:type="spellEnd"/>
      <w:r w:rsidRPr="009C05AE">
        <w:rPr>
          <w:b/>
          <w:bCs/>
        </w:rPr>
        <w:t xml:space="preserve">: </w:t>
      </w:r>
      <w:proofErr w:type="spellStart"/>
      <w:r w:rsidRPr="009C05AE">
        <w:rPr>
          <w:b/>
          <w:bCs/>
        </w:rPr>
        <w:t>An</w:t>
      </w:r>
      <w:proofErr w:type="spellEnd"/>
      <w:r w:rsidRPr="009C05AE">
        <w:rPr>
          <w:b/>
          <w:bCs/>
        </w:rPr>
        <w:t xml:space="preserve"> </w:t>
      </w:r>
      <w:proofErr w:type="spellStart"/>
      <w:r w:rsidRPr="009C05AE">
        <w:rPr>
          <w:b/>
          <w:bCs/>
        </w:rPr>
        <w:t>International</w:t>
      </w:r>
      <w:proofErr w:type="spellEnd"/>
      <w:r w:rsidRPr="009C05AE">
        <w:rPr>
          <w:b/>
          <w:bCs/>
        </w:rPr>
        <w:t xml:space="preserve"> Review</w:t>
      </w:r>
      <w:r w:rsidRPr="009C05AE">
        <w:t>, v. 9, n. 4, p. 259-275, 2001.</w:t>
      </w:r>
    </w:p>
    <w:p w14:paraId="14EECC23" w14:textId="77777777" w:rsidR="009C05AE" w:rsidRPr="009C05AE" w:rsidRDefault="009C05AE" w:rsidP="009C05AE">
      <w:pPr>
        <w:ind w:firstLine="0"/>
      </w:pPr>
    </w:p>
    <w:p w14:paraId="281A1EE7" w14:textId="77777777" w:rsidR="009C05AE" w:rsidRPr="009C05AE" w:rsidRDefault="009C05AE" w:rsidP="009C05AE">
      <w:pPr>
        <w:ind w:firstLine="0"/>
      </w:pPr>
      <w:bookmarkStart w:id="5" w:name="_tyjcwt" w:colFirst="0" w:colLast="0"/>
      <w:bookmarkEnd w:id="5"/>
      <w:r w:rsidRPr="009C05AE">
        <w:t xml:space="preserve">LAMBERT, Richard A. </w:t>
      </w:r>
      <w:proofErr w:type="spellStart"/>
      <w:r w:rsidRPr="009C05AE">
        <w:t>Customer</w:t>
      </w:r>
      <w:proofErr w:type="spellEnd"/>
      <w:r w:rsidRPr="009C05AE">
        <w:t xml:space="preserve"> </w:t>
      </w:r>
      <w:proofErr w:type="spellStart"/>
      <w:r w:rsidRPr="009C05AE">
        <w:t>satisfaction</w:t>
      </w:r>
      <w:proofErr w:type="spellEnd"/>
      <w:r w:rsidRPr="009C05AE">
        <w:t xml:space="preserve"> </w:t>
      </w:r>
      <w:proofErr w:type="spellStart"/>
      <w:r w:rsidRPr="009C05AE">
        <w:t>and</w:t>
      </w:r>
      <w:proofErr w:type="spellEnd"/>
      <w:r w:rsidRPr="009C05AE">
        <w:t xml:space="preserve"> future financial performance </w:t>
      </w:r>
      <w:proofErr w:type="spellStart"/>
      <w:r w:rsidRPr="009C05AE">
        <w:t>discussion</w:t>
      </w:r>
      <w:proofErr w:type="spellEnd"/>
      <w:r w:rsidRPr="009C05AE">
        <w:t xml:space="preserve"> </w:t>
      </w:r>
      <w:proofErr w:type="spellStart"/>
      <w:r w:rsidRPr="009C05AE">
        <w:t>of</w:t>
      </w:r>
      <w:proofErr w:type="spellEnd"/>
      <w:r w:rsidRPr="009C05AE">
        <w:t xml:space="preserve"> are </w:t>
      </w:r>
      <w:proofErr w:type="spellStart"/>
      <w:r w:rsidRPr="009C05AE">
        <w:t>nonfinancial</w:t>
      </w:r>
      <w:proofErr w:type="spellEnd"/>
      <w:r w:rsidRPr="009C05AE">
        <w:t xml:space="preserve"> </w:t>
      </w:r>
      <w:proofErr w:type="spellStart"/>
      <w:r w:rsidRPr="009C05AE">
        <w:t>measures</w:t>
      </w:r>
      <w:proofErr w:type="spellEnd"/>
      <w:r w:rsidRPr="009C05AE">
        <w:t xml:space="preserve"> </w:t>
      </w:r>
      <w:proofErr w:type="spellStart"/>
      <w:r w:rsidRPr="009C05AE">
        <w:t>leading</w:t>
      </w:r>
      <w:proofErr w:type="spellEnd"/>
      <w:r w:rsidRPr="009C05AE">
        <w:t xml:space="preserve"> </w:t>
      </w:r>
      <w:proofErr w:type="spellStart"/>
      <w:r w:rsidRPr="009C05AE">
        <w:t>indicators</w:t>
      </w:r>
      <w:proofErr w:type="spellEnd"/>
      <w:r w:rsidRPr="009C05AE">
        <w:t xml:space="preserve"> </w:t>
      </w:r>
      <w:proofErr w:type="spellStart"/>
      <w:r w:rsidRPr="009C05AE">
        <w:t>of</w:t>
      </w:r>
      <w:proofErr w:type="spellEnd"/>
      <w:r w:rsidRPr="009C05AE">
        <w:t xml:space="preserve"> financial performance? </w:t>
      </w:r>
      <w:proofErr w:type="spellStart"/>
      <w:r w:rsidRPr="009C05AE">
        <w:t>An</w:t>
      </w:r>
      <w:proofErr w:type="spellEnd"/>
      <w:r w:rsidRPr="009C05AE">
        <w:t xml:space="preserve"> </w:t>
      </w:r>
      <w:proofErr w:type="spellStart"/>
      <w:r w:rsidRPr="009C05AE">
        <w:t>analysis</w:t>
      </w:r>
      <w:proofErr w:type="spellEnd"/>
      <w:r w:rsidRPr="009C05AE">
        <w:t xml:space="preserve"> </w:t>
      </w:r>
      <w:proofErr w:type="spellStart"/>
      <w:r w:rsidRPr="009C05AE">
        <w:t>of</w:t>
      </w:r>
      <w:proofErr w:type="spellEnd"/>
      <w:r w:rsidRPr="009C05AE">
        <w:t xml:space="preserve"> </w:t>
      </w:r>
      <w:proofErr w:type="spellStart"/>
      <w:r w:rsidRPr="009C05AE">
        <w:t>customer</w:t>
      </w:r>
      <w:proofErr w:type="spellEnd"/>
      <w:r w:rsidRPr="009C05AE">
        <w:t xml:space="preserve"> </w:t>
      </w:r>
      <w:proofErr w:type="spellStart"/>
      <w:r w:rsidRPr="009C05AE">
        <w:lastRenderedPageBreak/>
        <w:t>satisfaction</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Accounting</w:t>
      </w:r>
      <w:proofErr w:type="spellEnd"/>
      <w:r w:rsidRPr="009C05AE">
        <w:rPr>
          <w:b/>
          <w:bCs/>
        </w:rPr>
        <w:t xml:space="preserve"> </w:t>
      </w:r>
      <w:proofErr w:type="spellStart"/>
      <w:r w:rsidRPr="009C05AE">
        <w:rPr>
          <w:b/>
          <w:bCs/>
        </w:rPr>
        <w:t>Research</w:t>
      </w:r>
      <w:proofErr w:type="spellEnd"/>
      <w:r w:rsidRPr="009C05AE">
        <w:t>, v. 36, p. 37-46, 1998.</w:t>
      </w:r>
    </w:p>
    <w:p w14:paraId="0D2042A3" w14:textId="77777777" w:rsidR="009C05AE" w:rsidRPr="009C05AE" w:rsidRDefault="009C05AE" w:rsidP="009C05AE">
      <w:pPr>
        <w:ind w:firstLine="0"/>
      </w:pPr>
    </w:p>
    <w:p w14:paraId="29A91BF7" w14:textId="77777777" w:rsidR="009C05AE" w:rsidRPr="009C05AE" w:rsidRDefault="009C05AE" w:rsidP="009C05AE">
      <w:pPr>
        <w:ind w:firstLine="0"/>
      </w:pPr>
      <w:r w:rsidRPr="009C05AE">
        <w:t xml:space="preserve">LI, Jing; PIKE, Richard; HANIFFA, </w:t>
      </w:r>
      <w:proofErr w:type="spellStart"/>
      <w:r w:rsidRPr="009C05AE">
        <w:t>Roszaini</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xml:space="preserve"> </w:t>
      </w:r>
      <w:proofErr w:type="spellStart"/>
      <w:r w:rsidRPr="009C05AE">
        <w:t>and</w:t>
      </w:r>
      <w:proofErr w:type="spellEnd"/>
      <w:r w:rsidRPr="009C05AE">
        <w:t xml:space="preserve"> </w:t>
      </w:r>
      <w:proofErr w:type="spellStart"/>
      <w:r w:rsidRPr="009C05AE">
        <w:t>corporate</w:t>
      </w:r>
      <w:proofErr w:type="spellEnd"/>
      <w:r w:rsidRPr="009C05AE">
        <w:t xml:space="preserve"> </w:t>
      </w:r>
      <w:proofErr w:type="spellStart"/>
      <w:r w:rsidRPr="009C05AE">
        <w:t>governance</w:t>
      </w:r>
      <w:proofErr w:type="spellEnd"/>
      <w:r w:rsidRPr="009C05AE">
        <w:t xml:space="preserve"> </w:t>
      </w:r>
      <w:proofErr w:type="spellStart"/>
      <w:r w:rsidRPr="009C05AE">
        <w:t>structure</w:t>
      </w:r>
      <w:proofErr w:type="spellEnd"/>
      <w:r w:rsidRPr="009C05AE">
        <w:t xml:space="preserve"> in UK </w:t>
      </w:r>
      <w:proofErr w:type="spellStart"/>
      <w:r w:rsidRPr="009C05AE">
        <w:t>firms</w:t>
      </w:r>
      <w:proofErr w:type="spellEnd"/>
      <w:r w:rsidRPr="009C05AE">
        <w:t>. </w:t>
      </w:r>
      <w:proofErr w:type="spellStart"/>
      <w:r w:rsidRPr="009C05AE">
        <w:rPr>
          <w:b/>
          <w:bCs/>
        </w:rPr>
        <w:t>Accounting</w:t>
      </w:r>
      <w:proofErr w:type="spellEnd"/>
      <w:r w:rsidRPr="009C05AE">
        <w:rPr>
          <w:b/>
          <w:bCs/>
        </w:rPr>
        <w:t xml:space="preserve"> </w:t>
      </w:r>
      <w:proofErr w:type="spellStart"/>
      <w:r w:rsidRPr="009C05AE">
        <w:rPr>
          <w:b/>
          <w:bCs/>
        </w:rPr>
        <w:t>and</w:t>
      </w:r>
      <w:proofErr w:type="spellEnd"/>
      <w:r w:rsidRPr="009C05AE">
        <w:rPr>
          <w:b/>
          <w:bCs/>
        </w:rPr>
        <w:t xml:space="preserve"> business </w:t>
      </w:r>
      <w:proofErr w:type="spellStart"/>
      <w:r w:rsidRPr="009C05AE">
        <w:rPr>
          <w:b/>
          <w:bCs/>
        </w:rPr>
        <w:t>research</w:t>
      </w:r>
      <w:proofErr w:type="spellEnd"/>
      <w:r w:rsidRPr="009C05AE">
        <w:t>, v. 38, n. 2, p. 137-159, 2008.</w:t>
      </w:r>
    </w:p>
    <w:p w14:paraId="57A2A7C6" w14:textId="77777777" w:rsidR="009C05AE" w:rsidRPr="009C05AE" w:rsidRDefault="009C05AE" w:rsidP="009C05AE">
      <w:pPr>
        <w:ind w:firstLine="0"/>
      </w:pPr>
    </w:p>
    <w:p w14:paraId="160B36FE" w14:textId="77777777" w:rsidR="009C05AE" w:rsidRPr="009C05AE" w:rsidRDefault="009C05AE" w:rsidP="009C05AE">
      <w:pPr>
        <w:ind w:firstLine="0"/>
      </w:pPr>
      <w:bookmarkStart w:id="6" w:name="_3dy6vkm" w:colFirst="0" w:colLast="0"/>
      <w:bookmarkEnd w:id="6"/>
      <w:r w:rsidRPr="009C05AE">
        <w:rPr>
          <w:highlight w:val="white"/>
        </w:rPr>
        <w:t xml:space="preserve">LOPES, Alexsandro </w:t>
      </w:r>
      <w:proofErr w:type="spellStart"/>
      <w:r w:rsidRPr="009C05AE">
        <w:rPr>
          <w:highlight w:val="white"/>
        </w:rPr>
        <w:t>Broedel</w:t>
      </w:r>
      <w:proofErr w:type="spellEnd"/>
      <w:r w:rsidRPr="009C05AE">
        <w:rPr>
          <w:highlight w:val="white"/>
        </w:rPr>
        <w:t xml:space="preserve">; DE ALENCAR, Roberta Carvalho. </w:t>
      </w:r>
      <w:proofErr w:type="spellStart"/>
      <w:r w:rsidRPr="009C05AE">
        <w:rPr>
          <w:highlight w:val="white"/>
        </w:rPr>
        <w:t>Disclosure</w:t>
      </w:r>
      <w:proofErr w:type="spellEnd"/>
      <w:r w:rsidRPr="009C05AE">
        <w:rPr>
          <w:highlight w:val="white"/>
        </w:rPr>
        <w:t xml:space="preserve"> </w:t>
      </w:r>
      <w:proofErr w:type="spellStart"/>
      <w:r w:rsidRPr="009C05AE">
        <w:rPr>
          <w:highlight w:val="white"/>
        </w:rPr>
        <w:t>and</w:t>
      </w:r>
      <w:proofErr w:type="spellEnd"/>
      <w:r w:rsidRPr="009C05AE">
        <w:rPr>
          <w:highlight w:val="white"/>
        </w:rPr>
        <w:t xml:space="preserve"> </w:t>
      </w:r>
      <w:proofErr w:type="spellStart"/>
      <w:r w:rsidRPr="009C05AE">
        <w:rPr>
          <w:highlight w:val="white"/>
        </w:rPr>
        <w:t>cost</w:t>
      </w:r>
      <w:proofErr w:type="spellEnd"/>
      <w:r w:rsidRPr="009C05AE">
        <w:rPr>
          <w:highlight w:val="white"/>
        </w:rPr>
        <w:t xml:space="preserve"> </w:t>
      </w:r>
      <w:proofErr w:type="spellStart"/>
      <w:r w:rsidRPr="009C05AE">
        <w:rPr>
          <w:highlight w:val="white"/>
        </w:rPr>
        <w:t>of</w:t>
      </w:r>
      <w:proofErr w:type="spellEnd"/>
      <w:r w:rsidRPr="009C05AE">
        <w:rPr>
          <w:highlight w:val="white"/>
        </w:rPr>
        <w:t xml:space="preserve"> </w:t>
      </w:r>
      <w:proofErr w:type="spellStart"/>
      <w:r w:rsidRPr="009C05AE">
        <w:rPr>
          <w:highlight w:val="white"/>
        </w:rPr>
        <w:t>equity</w:t>
      </w:r>
      <w:proofErr w:type="spellEnd"/>
      <w:r w:rsidRPr="009C05AE">
        <w:rPr>
          <w:highlight w:val="white"/>
        </w:rPr>
        <w:t xml:space="preserve"> capital in </w:t>
      </w:r>
      <w:proofErr w:type="spellStart"/>
      <w:r w:rsidRPr="009C05AE">
        <w:rPr>
          <w:highlight w:val="white"/>
        </w:rPr>
        <w:t>emerging</w:t>
      </w:r>
      <w:proofErr w:type="spellEnd"/>
      <w:r w:rsidRPr="009C05AE">
        <w:rPr>
          <w:highlight w:val="white"/>
        </w:rPr>
        <w:t xml:space="preserve"> </w:t>
      </w:r>
      <w:proofErr w:type="spellStart"/>
      <w:r w:rsidRPr="009C05AE">
        <w:rPr>
          <w:highlight w:val="white"/>
        </w:rPr>
        <w:t>markets</w:t>
      </w:r>
      <w:proofErr w:type="spellEnd"/>
      <w:r w:rsidRPr="009C05AE">
        <w:rPr>
          <w:highlight w:val="white"/>
        </w:rPr>
        <w:t xml:space="preserve">: </w:t>
      </w:r>
      <w:proofErr w:type="spellStart"/>
      <w:r w:rsidRPr="009C05AE">
        <w:rPr>
          <w:highlight w:val="white"/>
        </w:rPr>
        <w:t>the</w:t>
      </w:r>
      <w:proofErr w:type="spellEnd"/>
      <w:r w:rsidRPr="009C05AE">
        <w:rPr>
          <w:highlight w:val="white"/>
        </w:rPr>
        <w:t xml:space="preserve"> </w:t>
      </w:r>
      <w:proofErr w:type="spellStart"/>
      <w:r w:rsidRPr="009C05AE">
        <w:rPr>
          <w:highlight w:val="white"/>
        </w:rPr>
        <w:t>Brazilian</w:t>
      </w:r>
      <w:proofErr w:type="spellEnd"/>
      <w:r w:rsidRPr="009C05AE">
        <w:rPr>
          <w:highlight w:val="white"/>
        </w:rPr>
        <w:t xml:space="preserve"> case. </w:t>
      </w:r>
      <w:r w:rsidRPr="009C05AE">
        <w:rPr>
          <w:b/>
          <w:bCs/>
          <w:highlight w:val="white"/>
        </w:rPr>
        <w:t xml:space="preserve">The </w:t>
      </w:r>
      <w:proofErr w:type="spellStart"/>
      <w:r w:rsidRPr="009C05AE">
        <w:rPr>
          <w:b/>
          <w:bCs/>
          <w:highlight w:val="white"/>
        </w:rPr>
        <w:t>International</w:t>
      </w:r>
      <w:proofErr w:type="spellEnd"/>
      <w:r w:rsidRPr="009C05AE">
        <w:rPr>
          <w:b/>
          <w:bCs/>
          <w:highlight w:val="white"/>
        </w:rPr>
        <w:t xml:space="preserve"> </w:t>
      </w:r>
      <w:proofErr w:type="spellStart"/>
      <w:r w:rsidRPr="009C05AE">
        <w:rPr>
          <w:b/>
          <w:bCs/>
          <w:highlight w:val="white"/>
        </w:rPr>
        <w:t>Journal</w:t>
      </w:r>
      <w:proofErr w:type="spellEnd"/>
      <w:r w:rsidRPr="009C05AE">
        <w:rPr>
          <w:b/>
          <w:bCs/>
          <w:highlight w:val="white"/>
        </w:rPr>
        <w:t xml:space="preserve"> </w:t>
      </w:r>
      <w:proofErr w:type="spellStart"/>
      <w:r w:rsidRPr="009C05AE">
        <w:rPr>
          <w:b/>
          <w:bCs/>
          <w:highlight w:val="white"/>
        </w:rPr>
        <w:t>of</w:t>
      </w:r>
      <w:proofErr w:type="spellEnd"/>
      <w:r w:rsidRPr="009C05AE">
        <w:rPr>
          <w:b/>
          <w:bCs/>
          <w:highlight w:val="white"/>
        </w:rPr>
        <w:t xml:space="preserve"> </w:t>
      </w:r>
      <w:proofErr w:type="spellStart"/>
      <w:r w:rsidRPr="009C05AE">
        <w:rPr>
          <w:b/>
          <w:bCs/>
          <w:highlight w:val="white"/>
        </w:rPr>
        <w:t>Accounting</w:t>
      </w:r>
      <w:proofErr w:type="spellEnd"/>
      <w:r w:rsidRPr="009C05AE">
        <w:rPr>
          <w:highlight w:val="white"/>
        </w:rPr>
        <w:t>, v. 45, n. 4, p. 443-464, 2010.</w:t>
      </w:r>
    </w:p>
    <w:p w14:paraId="47495C81" w14:textId="77777777" w:rsidR="009C05AE" w:rsidRPr="009C05AE" w:rsidRDefault="009C05AE" w:rsidP="009C05AE">
      <w:pPr>
        <w:ind w:firstLine="0"/>
      </w:pPr>
    </w:p>
    <w:p w14:paraId="646E9D79" w14:textId="77777777" w:rsidR="009C05AE" w:rsidRPr="009C05AE" w:rsidRDefault="009C05AE" w:rsidP="009C05AE">
      <w:pPr>
        <w:ind w:firstLine="0"/>
      </w:pPr>
      <w:r w:rsidRPr="009C05AE">
        <w:t>MACEDO, Álvaro Fabiano Pereira et al. Governança corporativa e evidenciação de capital intelectual em empresas brasileiras. </w:t>
      </w:r>
      <w:r w:rsidRPr="009C05AE">
        <w:rPr>
          <w:b/>
          <w:bCs/>
        </w:rPr>
        <w:t>Revista Evidenciação Contábil &amp; Finanças</w:t>
      </w:r>
      <w:r w:rsidRPr="009C05AE">
        <w:t>, v. 3, n. 1, p. 18-33, 2015.</w:t>
      </w:r>
    </w:p>
    <w:p w14:paraId="029C1848" w14:textId="77777777" w:rsidR="009C05AE" w:rsidRPr="009C05AE" w:rsidRDefault="009C05AE" w:rsidP="009C05AE">
      <w:pPr>
        <w:ind w:firstLine="0"/>
      </w:pPr>
    </w:p>
    <w:p w14:paraId="395C3628" w14:textId="77777777" w:rsidR="009C05AE" w:rsidRPr="009C05AE" w:rsidRDefault="009C05AE" w:rsidP="009C05AE">
      <w:pPr>
        <w:ind w:firstLine="0"/>
      </w:pPr>
      <w:r w:rsidRPr="009C05AE">
        <w:t>MATEUS, Débora da Silva. </w:t>
      </w:r>
      <w:r w:rsidRPr="009C05AE">
        <w:rPr>
          <w:b/>
          <w:bCs/>
        </w:rPr>
        <w:t>A divulgação de informação sobre o capital humano nas sociedades anónimas desportivas em Portugal no período de 2011 a 2016</w:t>
      </w:r>
      <w:r w:rsidRPr="009C05AE">
        <w:t>. Dissertação (Mestrado em Contabilidade) - Instituto Superior de Contabilidade e Administração de Lisboa, Lisboa, 2018.</w:t>
      </w:r>
    </w:p>
    <w:p w14:paraId="2196789F" w14:textId="77777777" w:rsidR="009C05AE" w:rsidRPr="009C05AE" w:rsidRDefault="009C05AE" w:rsidP="009C05AE">
      <w:pPr>
        <w:ind w:firstLine="0"/>
      </w:pPr>
      <w:r w:rsidRPr="009C05AE">
        <w:t xml:space="preserve"> </w:t>
      </w:r>
    </w:p>
    <w:p w14:paraId="249E3F4F" w14:textId="77777777" w:rsidR="009C05AE" w:rsidRPr="009C05AE" w:rsidRDefault="009C05AE" w:rsidP="009C05AE">
      <w:pPr>
        <w:ind w:firstLine="0"/>
      </w:pPr>
      <w:r w:rsidRPr="009C05AE">
        <w:t xml:space="preserve">MOHD-SALEH, Norman; CHE ABDUL RAHMAN, Mara </w:t>
      </w:r>
      <w:proofErr w:type="spellStart"/>
      <w:r w:rsidRPr="009C05AE">
        <w:t>Ridhuan</w:t>
      </w:r>
      <w:proofErr w:type="spellEnd"/>
      <w:r w:rsidRPr="009C05AE">
        <w:t xml:space="preserve">. </w:t>
      </w:r>
      <w:proofErr w:type="spellStart"/>
      <w:r w:rsidRPr="009C05AE">
        <w:t>Ownership</w:t>
      </w:r>
      <w:proofErr w:type="spellEnd"/>
      <w:r w:rsidRPr="009C05AE">
        <w:t xml:space="preserve"> </w:t>
      </w:r>
      <w:proofErr w:type="spellStart"/>
      <w:r w:rsidRPr="009C05AE">
        <w:t>structure</w:t>
      </w:r>
      <w:proofErr w:type="spellEnd"/>
      <w:r w:rsidRPr="009C05AE">
        <w:t xml:space="preserve"> </w:t>
      </w:r>
      <w:proofErr w:type="spellStart"/>
      <w:r w:rsidRPr="009C05AE">
        <w:t>and</w:t>
      </w:r>
      <w:proofErr w:type="spellEnd"/>
      <w:r w:rsidRPr="009C05AE">
        <w:t xml:space="preserve"> </w:t>
      </w:r>
      <w:proofErr w:type="spellStart"/>
      <w:r w:rsidRPr="009C05AE">
        <w:t>intellectual</w:t>
      </w:r>
      <w:proofErr w:type="spellEnd"/>
      <w:r w:rsidRPr="009C05AE">
        <w:t xml:space="preserve"> capital performance in Malaysia. </w:t>
      </w:r>
      <w:proofErr w:type="spellStart"/>
      <w:r w:rsidRPr="009C05AE">
        <w:rPr>
          <w:b/>
          <w:bCs/>
        </w:rPr>
        <w:t>Asian</w:t>
      </w:r>
      <w:proofErr w:type="spellEnd"/>
      <w:r w:rsidRPr="009C05AE">
        <w:rPr>
          <w:b/>
          <w:bCs/>
        </w:rPr>
        <w:t xml:space="preserve"> </w:t>
      </w:r>
      <w:proofErr w:type="spellStart"/>
      <w:r w:rsidRPr="009C05AE">
        <w:rPr>
          <w:b/>
          <w:bCs/>
        </w:rPr>
        <w:t>Academy</w:t>
      </w:r>
      <w:proofErr w:type="spellEnd"/>
      <w:r w:rsidRPr="009C05AE">
        <w:rPr>
          <w:b/>
          <w:bCs/>
        </w:rPr>
        <w:t xml:space="preserve"> </w:t>
      </w:r>
      <w:proofErr w:type="spellStart"/>
      <w:r w:rsidRPr="009C05AE">
        <w:rPr>
          <w:b/>
          <w:bCs/>
        </w:rPr>
        <w:t>of</w:t>
      </w:r>
      <w:proofErr w:type="spellEnd"/>
      <w:r w:rsidRPr="009C05AE">
        <w:rPr>
          <w:b/>
          <w:bCs/>
        </w:rPr>
        <w:t xml:space="preserve"> Management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Accounting</w:t>
      </w:r>
      <w:proofErr w:type="spellEnd"/>
      <w:r w:rsidRPr="009C05AE">
        <w:rPr>
          <w:b/>
          <w:bCs/>
        </w:rPr>
        <w:t xml:space="preserve"> </w:t>
      </w:r>
      <w:proofErr w:type="spellStart"/>
      <w:r w:rsidRPr="009C05AE">
        <w:rPr>
          <w:b/>
          <w:bCs/>
        </w:rPr>
        <w:t>and</w:t>
      </w:r>
      <w:proofErr w:type="spellEnd"/>
      <w:r w:rsidRPr="009C05AE">
        <w:rPr>
          <w:b/>
          <w:bCs/>
        </w:rPr>
        <w:t xml:space="preserve"> </w:t>
      </w:r>
      <w:proofErr w:type="spellStart"/>
      <w:r w:rsidRPr="009C05AE">
        <w:rPr>
          <w:b/>
          <w:bCs/>
        </w:rPr>
        <w:t>Finance</w:t>
      </w:r>
      <w:proofErr w:type="spellEnd"/>
      <w:r w:rsidRPr="009C05AE">
        <w:t>, v. 5, n. 1, p. 1-29, 2009.</w:t>
      </w:r>
    </w:p>
    <w:p w14:paraId="65EF817B" w14:textId="77777777" w:rsidR="009C05AE" w:rsidRPr="009C05AE" w:rsidRDefault="009C05AE" w:rsidP="009C05AE">
      <w:pPr>
        <w:ind w:firstLine="0"/>
      </w:pPr>
    </w:p>
    <w:p w14:paraId="304725F9" w14:textId="77777777" w:rsidR="009C05AE" w:rsidRPr="009C05AE" w:rsidRDefault="009C05AE" w:rsidP="009C05AE">
      <w:pPr>
        <w:ind w:firstLine="0"/>
      </w:pPr>
      <w:r w:rsidRPr="009C05AE">
        <w:t xml:space="preserve">MURCIA, Fernando </w:t>
      </w:r>
      <w:proofErr w:type="spellStart"/>
      <w:r w:rsidRPr="009C05AE">
        <w:t>Dal-Ri</w:t>
      </w:r>
      <w:proofErr w:type="spellEnd"/>
      <w:r w:rsidRPr="009C05AE">
        <w:t xml:space="preserve">. </w:t>
      </w:r>
      <w:r w:rsidRPr="009C05AE">
        <w:rPr>
          <w:b/>
          <w:bCs/>
          <w:iCs/>
        </w:rPr>
        <w:t xml:space="preserve">Fatores determinantes do nível de </w:t>
      </w:r>
      <w:proofErr w:type="spellStart"/>
      <w:r w:rsidRPr="009C05AE">
        <w:rPr>
          <w:b/>
          <w:bCs/>
          <w:iCs/>
        </w:rPr>
        <w:t>disclosure</w:t>
      </w:r>
      <w:proofErr w:type="spellEnd"/>
      <w:r w:rsidRPr="009C05AE">
        <w:rPr>
          <w:b/>
          <w:bCs/>
          <w:iCs/>
        </w:rPr>
        <w:t xml:space="preserve"> voluntário de companhias abertas no Brasil</w:t>
      </w:r>
      <w:r w:rsidRPr="009C05AE">
        <w:rPr>
          <w:i/>
        </w:rPr>
        <w:t xml:space="preserve">. </w:t>
      </w:r>
      <w:r w:rsidRPr="009C05AE">
        <w:t>Tese (Doutorado em Ciências Contábeis) – Faculdade de Economia, Administração e Contabilidade, Universidade de São Paulo, São Paulo, 2009.</w:t>
      </w:r>
    </w:p>
    <w:p w14:paraId="34889694" w14:textId="77777777" w:rsidR="009C05AE" w:rsidRPr="009C05AE" w:rsidRDefault="009C05AE" w:rsidP="009C05AE">
      <w:pPr>
        <w:ind w:firstLine="0"/>
      </w:pPr>
    </w:p>
    <w:p w14:paraId="77056C6D" w14:textId="77777777" w:rsidR="009C05AE" w:rsidRPr="009C05AE" w:rsidRDefault="009C05AE" w:rsidP="009C05AE">
      <w:pPr>
        <w:ind w:firstLine="0"/>
      </w:pPr>
      <w:r w:rsidRPr="009C05AE">
        <w:t xml:space="preserve">OBEIDAT, </w:t>
      </w:r>
      <w:proofErr w:type="spellStart"/>
      <w:r w:rsidRPr="009C05AE">
        <w:t>Bader</w:t>
      </w:r>
      <w:proofErr w:type="spellEnd"/>
      <w:r w:rsidRPr="009C05AE">
        <w:t xml:space="preserve"> </w:t>
      </w:r>
      <w:proofErr w:type="spellStart"/>
      <w:r w:rsidRPr="009C05AE">
        <w:t>Yousef</w:t>
      </w:r>
      <w:proofErr w:type="spellEnd"/>
      <w:r w:rsidRPr="009C05AE">
        <w:t xml:space="preserve"> et al. The </w:t>
      </w:r>
      <w:proofErr w:type="spellStart"/>
      <w:r w:rsidRPr="009C05AE">
        <w:t>impact</w:t>
      </w:r>
      <w:proofErr w:type="spellEnd"/>
      <w:r w:rsidRPr="009C05AE">
        <w:t xml:space="preserve"> </w:t>
      </w:r>
      <w:proofErr w:type="spellStart"/>
      <w:r w:rsidRPr="009C05AE">
        <w:t>of</w:t>
      </w:r>
      <w:proofErr w:type="spellEnd"/>
      <w:r w:rsidRPr="009C05AE">
        <w:t xml:space="preserve"> </w:t>
      </w:r>
      <w:proofErr w:type="spellStart"/>
      <w:r w:rsidRPr="009C05AE">
        <w:t>intellectual</w:t>
      </w:r>
      <w:proofErr w:type="spellEnd"/>
      <w:r w:rsidRPr="009C05AE">
        <w:t xml:space="preserve"> capital </w:t>
      </w:r>
      <w:proofErr w:type="spellStart"/>
      <w:r w:rsidRPr="009C05AE">
        <w:t>on</w:t>
      </w:r>
      <w:proofErr w:type="spellEnd"/>
      <w:r w:rsidRPr="009C05AE">
        <w:t xml:space="preserve"> </w:t>
      </w:r>
      <w:proofErr w:type="spellStart"/>
      <w:r w:rsidRPr="009C05AE">
        <w:t>innovation</w:t>
      </w:r>
      <w:proofErr w:type="spellEnd"/>
      <w:r w:rsidRPr="009C05AE">
        <w:t xml:space="preserve"> via </w:t>
      </w:r>
      <w:proofErr w:type="spellStart"/>
      <w:r w:rsidRPr="009C05AE">
        <w:t>the</w:t>
      </w:r>
      <w:proofErr w:type="spellEnd"/>
      <w:r w:rsidRPr="009C05AE">
        <w:t xml:space="preserve"> </w:t>
      </w:r>
      <w:proofErr w:type="spellStart"/>
      <w:r w:rsidRPr="009C05AE">
        <w:t>mediating</w:t>
      </w:r>
      <w:proofErr w:type="spellEnd"/>
      <w:r w:rsidRPr="009C05AE">
        <w:t xml:space="preserve"> role </w:t>
      </w:r>
      <w:proofErr w:type="spellStart"/>
      <w:r w:rsidRPr="009C05AE">
        <w:t>of</w:t>
      </w:r>
      <w:proofErr w:type="spellEnd"/>
      <w:r w:rsidRPr="009C05AE">
        <w:t xml:space="preserve"> </w:t>
      </w:r>
      <w:proofErr w:type="spellStart"/>
      <w:r w:rsidRPr="009C05AE">
        <w:t>knowledge</w:t>
      </w:r>
      <w:proofErr w:type="spellEnd"/>
      <w:r w:rsidRPr="009C05AE">
        <w:t xml:space="preserve"> management: a </w:t>
      </w:r>
      <w:proofErr w:type="spellStart"/>
      <w:r w:rsidRPr="009C05AE">
        <w:t>structural</w:t>
      </w:r>
      <w:proofErr w:type="spellEnd"/>
      <w:r w:rsidRPr="009C05AE">
        <w:t xml:space="preserve"> </w:t>
      </w:r>
      <w:proofErr w:type="spellStart"/>
      <w:r w:rsidRPr="009C05AE">
        <w:t>equation</w:t>
      </w:r>
      <w:proofErr w:type="spellEnd"/>
      <w:r w:rsidRPr="009C05AE">
        <w:t xml:space="preserve"> </w:t>
      </w:r>
      <w:proofErr w:type="spellStart"/>
      <w:r w:rsidRPr="009C05AE">
        <w:t>modelling</w:t>
      </w:r>
      <w:proofErr w:type="spellEnd"/>
      <w:r w:rsidRPr="009C05AE">
        <w:t xml:space="preserve"> approach. </w:t>
      </w:r>
      <w:proofErr w:type="spellStart"/>
      <w:r w:rsidRPr="009C05AE">
        <w:rPr>
          <w:b/>
          <w:bCs/>
        </w:rPr>
        <w:t>International</w:t>
      </w:r>
      <w:proofErr w:type="spellEnd"/>
      <w:r w:rsidRPr="009C05AE">
        <w:rPr>
          <w:b/>
          <w:bCs/>
        </w:rPr>
        <w:t xml:space="preserve">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Knowledge</w:t>
      </w:r>
      <w:proofErr w:type="spellEnd"/>
      <w:r w:rsidRPr="009C05AE">
        <w:rPr>
          <w:b/>
          <w:bCs/>
        </w:rPr>
        <w:t xml:space="preserve"> Management </w:t>
      </w:r>
      <w:proofErr w:type="spellStart"/>
      <w:r w:rsidRPr="009C05AE">
        <w:rPr>
          <w:b/>
          <w:bCs/>
        </w:rPr>
        <w:t>Studies</w:t>
      </w:r>
      <w:proofErr w:type="spellEnd"/>
      <w:r w:rsidRPr="009C05AE">
        <w:t>, v. 8, n. 3-4, p. 273-298, 2017.</w:t>
      </w:r>
    </w:p>
    <w:p w14:paraId="261D8870" w14:textId="77777777" w:rsidR="009C05AE" w:rsidRPr="009C05AE" w:rsidRDefault="009C05AE" w:rsidP="009C05AE">
      <w:pPr>
        <w:ind w:firstLine="0"/>
      </w:pPr>
    </w:p>
    <w:p w14:paraId="5607E776" w14:textId="77777777" w:rsidR="009C05AE" w:rsidRPr="009C05AE" w:rsidRDefault="009C05AE" w:rsidP="009C05AE">
      <w:pPr>
        <w:ind w:firstLine="0"/>
      </w:pPr>
      <w:r w:rsidRPr="009C05AE">
        <w:t xml:space="preserve">OLIVEIRA, Lídia; RODRIGUES, Lúcia Lima; CRAIG, Russell. </w:t>
      </w:r>
      <w:proofErr w:type="spellStart"/>
      <w:r w:rsidRPr="009C05AE">
        <w:t>Firm‐specific</w:t>
      </w:r>
      <w:proofErr w:type="spellEnd"/>
      <w:r w:rsidRPr="009C05AE">
        <w:t xml:space="preserve"> </w:t>
      </w:r>
      <w:proofErr w:type="spellStart"/>
      <w:r w:rsidRPr="009C05AE">
        <w:t>determinants</w:t>
      </w:r>
      <w:proofErr w:type="spellEnd"/>
      <w:r w:rsidRPr="009C05AE">
        <w:t xml:space="preserve"> </w:t>
      </w:r>
      <w:proofErr w:type="spellStart"/>
      <w:r w:rsidRPr="009C05AE">
        <w:t>of</w:t>
      </w:r>
      <w:proofErr w:type="spellEnd"/>
      <w:r w:rsidRPr="009C05AE">
        <w:t xml:space="preserve"> </w:t>
      </w:r>
      <w:proofErr w:type="spellStart"/>
      <w:r w:rsidRPr="009C05AE">
        <w:t>intangibles</w:t>
      </w:r>
      <w:proofErr w:type="spellEnd"/>
      <w:r w:rsidRPr="009C05AE">
        <w:t xml:space="preserve"> </w:t>
      </w:r>
      <w:proofErr w:type="spellStart"/>
      <w:r w:rsidRPr="009C05AE">
        <w:t>reporting</w:t>
      </w:r>
      <w:proofErr w:type="spellEnd"/>
      <w:r w:rsidRPr="009C05AE">
        <w:t xml:space="preserve">: </w:t>
      </w:r>
      <w:proofErr w:type="spellStart"/>
      <w:r w:rsidRPr="009C05AE">
        <w:t>evidence</w:t>
      </w:r>
      <w:proofErr w:type="spellEnd"/>
      <w:r w:rsidRPr="009C05AE">
        <w:t xml:space="preserve"> </w:t>
      </w:r>
      <w:proofErr w:type="spellStart"/>
      <w:r w:rsidRPr="009C05AE">
        <w:t>from</w:t>
      </w:r>
      <w:proofErr w:type="spellEnd"/>
      <w:r w:rsidRPr="009C05AE">
        <w:t xml:space="preserve"> </w:t>
      </w:r>
      <w:proofErr w:type="spellStart"/>
      <w:r w:rsidRPr="009C05AE">
        <w:t>the</w:t>
      </w:r>
      <w:proofErr w:type="spellEnd"/>
      <w:r w:rsidRPr="009C05AE">
        <w:t xml:space="preserve"> </w:t>
      </w:r>
      <w:proofErr w:type="spellStart"/>
      <w:r w:rsidRPr="009C05AE">
        <w:t>Portuguese</w:t>
      </w:r>
      <w:proofErr w:type="spellEnd"/>
      <w:r w:rsidRPr="009C05AE">
        <w:t xml:space="preserve"> stock </w:t>
      </w:r>
      <w:proofErr w:type="spellStart"/>
      <w:r w:rsidRPr="009C05AE">
        <w:t>market</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human</w:t>
      </w:r>
      <w:proofErr w:type="spellEnd"/>
      <w:r w:rsidRPr="009C05AE">
        <w:rPr>
          <w:b/>
          <w:bCs/>
        </w:rPr>
        <w:t xml:space="preserve"> </w:t>
      </w:r>
      <w:proofErr w:type="spellStart"/>
      <w:r w:rsidRPr="009C05AE">
        <w:rPr>
          <w:b/>
          <w:bCs/>
        </w:rPr>
        <w:t>resource</w:t>
      </w:r>
      <w:proofErr w:type="spellEnd"/>
      <w:r w:rsidRPr="009C05AE">
        <w:rPr>
          <w:b/>
          <w:bCs/>
        </w:rPr>
        <w:t xml:space="preserve"> </w:t>
      </w:r>
      <w:proofErr w:type="spellStart"/>
      <w:r w:rsidRPr="009C05AE">
        <w:rPr>
          <w:b/>
          <w:bCs/>
        </w:rPr>
        <w:t>costing</w:t>
      </w:r>
      <w:proofErr w:type="spellEnd"/>
      <w:r w:rsidRPr="009C05AE">
        <w:rPr>
          <w:b/>
          <w:bCs/>
        </w:rPr>
        <w:t xml:space="preserve"> &amp; </w:t>
      </w:r>
      <w:proofErr w:type="spellStart"/>
      <w:r w:rsidRPr="009C05AE">
        <w:rPr>
          <w:b/>
          <w:bCs/>
        </w:rPr>
        <w:t>accounting</w:t>
      </w:r>
      <w:proofErr w:type="spellEnd"/>
      <w:r w:rsidRPr="009C05AE">
        <w:t>, v.10, n.1, p.11-33, 2006.</w:t>
      </w:r>
    </w:p>
    <w:p w14:paraId="08476B3E" w14:textId="77777777" w:rsidR="009C05AE" w:rsidRPr="009C05AE" w:rsidRDefault="009C05AE" w:rsidP="009C05AE">
      <w:pPr>
        <w:ind w:firstLine="0"/>
      </w:pPr>
    </w:p>
    <w:p w14:paraId="36E9E70A" w14:textId="77777777" w:rsidR="009C05AE" w:rsidRPr="009C05AE" w:rsidRDefault="009C05AE" w:rsidP="009C05AE">
      <w:pPr>
        <w:ind w:firstLine="0"/>
      </w:pPr>
      <w:r w:rsidRPr="009C05AE">
        <w:t xml:space="preserve">OZKAN, </w:t>
      </w:r>
      <w:proofErr w:type="spellStart"/>
      <w:r w:rsidRPr="009C05AE">
        <w:t>Nasif</w:t>
      </w:r>
      <w:proofErr w:type="spellEnd"/>
      <w:r w:rsidRPr="009C05AE">
        <w:t xml:space="preserve">; CAKAN, Sinan; KAYACAN, Murad. </w:t>
      </w:r>
      <w:proofErr w:type="spellStart"/>
      <w:r w:rsidRPr="009C05AE">
        <w:t>Intellectual</w:t>
      </w:r>
      <w:proofErr w:type="spellEnd"/>
      <w:r w:rsidRPr="009C05AE">
        <w:t xml:space="preserve"> capital </w:t>
      </w:r>
      <w:proofErr w:type="spellStart"/>
      <w:r w:rsidRPr="009C05AE">
        <w:t>and</w:t>
      </w:r>
      <w:proofErr w:type="spellEnd"/>
      <w:r w:rsidRPr="009C05AE">
        <w:t xml:space="preserve"> financial performance: A </w:t>
      </w:r>
      <w:proofErr w:type="spellStart"/>
      <w:r w:rsidRPr="009C05AE">
        <w:t>study</w:t>
      </w:r>
      <w:proofErr w:type="spellEnd"/>
      <w:r w:rsidRPr="009C05AE">
        <w:t xml:space="preserve"> </w:t>
      </w:r>
      <w:proofErr w:type="spellStart"/>
      <w:r w:rsidRPr="009C05AE">
        <w:t>of</w:t>
      </w:r>
      <w:proofErr w:type="spellEnd"/>
      <w:r w:rsidRPr="009C05AE">
        <w:t xml:space="preserve"> </w:t>
      </w:r>
      <w:proofErr w:type="spellStart"/>
      <w:r w:rsidRPr="009C05AE">
        <w:t>the</w:t>
      </w:r>
      <w:proofErr w:type="spellEnd"/>
      <w:r w:rsidRPr="009C05AE">
        <w:t xml:space="preserve"> </w:t>
      </w:r>
      <w:proofErr w:type="spellStart"/>
      <w:r w:rsidRPr="009C05AE">
        <w:t>Turkish</w:t>
      </w:r>
      <w:proofErr w:type="spellEnd"/>
      <w:r w:rsidRPr="009C05AE">
        <w:t xml:space="preserve"> Banking Sector. </w:t>
      </w:r>
      <w:proofErr w:type="spellStart"/>
      <w:r w:rsidRPr="009C05AE">
        <w:rPr>
          <w:b/>
          <w:bCs/>
        </w:rPr>
        <w:t>Borsa</w:t>
      </w:r>
      <w:proofErr w:type="spellEnd"/>
      <w:r w:rsidRPr="009C05AE">
        <w:rPr>
          <w:b/>
          <w:bCs/>
        </w:rPr>
        <w:t xml:space="preserve"> Istanbul Review</w:t>
      </w:r>
      <w:r w:rsidRPr="009C05AE">
        <w:t>, v. 17, n. 3, p. 190-198, 2017.</w:t>
      </w:r>
    </w:p>
    <w:p w14:paraId="46514958" w14:textId="77777777" w:rsidR="009C05AE" w:rsidRPr="009C05AE" w:rsidRDefault="009C05AE" w:rsidP="009C05AE">
      <w:pPr>
        <w:ind w:firstLine="0"/>
      </w:pPr>
    </w:p>
    <w:p w14:paraId="37777F39" w14:textId="77777777" w:rsidR="009C05AE" w:rsidRPr="009C05AE" w:rsidRDefault="009C05AE" w:rsidP="009C05AE">
      <w:pPr>
        <w:ind w:firstLine="0"/>
      </w:pPr>
      <w:r w:rsidRPr="009C05AE">
        <w:t>PEREZ, Marcelo Monteiro; FAMÁ, Rubens. Ativos intangíveis e o desempenho empresarial. </w:t>
      </w:r>
      <w:r w:rsidRPr="009C05AE">
        <w:rPr>
          <w:b/>
          <w:bCs/>
        </w:rPr>
        <w:t>Revista Contabilidade &amp; Finanças</w:t>
      </w:r>
      <w:r w:rsidRPr="009C05AE">
        <w:t>, v. 17, n. 40, p. 7-24, 2006.</w:t>
      </w:r>
    </w:p>
    <w:p w14:paraId="7E5887C4" w14:textId="77777777" w:rsidR="009C05AE" w:rsidRPr="009C05AE" w:rsidRDefault="009C05AE" w:rsidP="009C05AE">
      <w:pPr>
        <w:ind w:firstLine="0"/>
      </w:pPr>
    </w:p>
    <w:p w14:paraId="255D7725" w14:textId="77777777" w:rsidR="009C05AE" w:rsidRPr="009C05AE" w:rsidRDefault="009C05AE" w:rsidP="009C05AE">
      <w:pPr>
        <w:ind w:firstLine="0"/>
      </w:pPr>
      <w:r w:rsidRPr="009C05AE">
        <w:t xml:space="preserve">PETTY, Richard; GUTHRIE, James. </w:t>
      </w:r>
      <w:proofErr w:type="spellStart"/>
      <w:r w:rsidRPr="009C05AE">
        <w:t>Intellectual</w:t>
      </w:r>
      <w:proofErr w:type="spellEnd"/>
      <w:r w:rsidRPr="009C05AE">
        <w:t xml:space="preserve"> capital </w:t>
      </w:r>
      <w:proofErr w:type="spellStart"/>
      <w:r w:rsidRPr="009C05AE">
        <w:t>literature</w:t>
      </w:r>
      <w:proofErr w:type="spellEnd"/>
      <w:r w:rsidRPr="009C05AE">
        <w:t xml:space="preserve"> review.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v.1, n.2, p.155-176, 2000.</w:t>
      </w:r>
    </w:p>
    <w:p w14:paraId="0DB0938C" w14:textId="77777777" w:rsidR="009C05AE" w:rsidRPr="009C05AE" w:rsidRDefault="009C05AE" w:rsidP="009C05AE">
      <w:pPr>
        <w:ind w:firstLine="0"/>
      </w:pPr>
    </w:p>
    <w:p w14:paraId="4A1911D0" w14:textId="77777777" w:rsidR="009C05AE" w:rsidRPr="009C05AE" w:rsidRDefault="009C05AE" w:rsidP="009C05AE">
      <w:pPr>
        <w:ind w:firstLine="0"/>
      </w:pPr>
      <w:r w:rsidRPr="009C05AE">
        <w:t xml:space="preserve">REINA, Donizete; ENSSLIN, Sandra Rolim; BORBA, José Alonso. Evidenciação voluntária do capital intelectual nos relatórios da administração em empresas do novo mercado no ano de </w:t>
      </w:r>
      <w:r w:rsidRPr="009C05AE">
        <w:lastRenderedPageBreak/>
        <w:t>2006. </w:t>
      </w:r>
      <w:r w:rsidRPr="009C05AE">
        <w:rPr>
          <w:b/>
          <w:bCs/>
        </w:rPr>
        <w:t>Contexto</w:t>
      </w:r>
      <w:r w:rsidRPr="009C05AE">
        <w:t>, v. 9, n. 15, 2009.</w:t>
      </w:r>
    </w:p>
    <w:p w14:paraId="3ECD3BFE" w14:textId="77777777" w:rsidR="009C05AE" w:rsidRPr="009C05AE" w:rsidRDefault="009C05AE" w:rsidP="009C05AE">
      <w:pPr>
        <w:ind w:firstLine="0"/>
      </w:pPr>
    </w:p>
    <w:p w14:paraId="62835A89" w14:textId="77777777" w:rsidR="009C05AE" w:rsidRPr="009C05AE" w:rsidRDefault="009C05AE" w:rsidP="009C05AE">
      <w:pPr>
        <w:ind w:firstLine="0"/>
      </w:pPr>
      <w:r w:rsidRPr="009C05AE">
        <w:t xml:space="preserve">REINA, Donizete; ENSSLIN, Sandra Rolim. Mapeamento da produção científica em capital intelectual: um estudo epistemológico a partir das perspectivas propostas por </w:t>
      </w:r>
      <w:proofErr w:type="spellStart"/>
      <w:r w:rsidRPr="009C05AE">
        <w:t>Marr</w:t>
      </w:r>
      <w:proofErr w:type="spellEnd"/>
      <w:r w:rsidRPr="009C05AE">
        <w:t xml:space="preserve"> (2005). </w:t>
      </w:r>
      <w:r w:rsidRPr="009C05AE">
        <w:rPr>
          <w:b/>
          <w:bCs/>
        </w:rPr>
        <w:t>Revista Base (Administração e Contabilidade) da UNISINOS</w:t>
      </w:r>
      <w:r w:rsidRPr="009C05AE">
        <w:t>, v. 8, n. 1, p. 58-77, 2011.</w:t>
      </w:r>
    </w:p>
    <w:p w14:paraId="64351CBF" w14:textId="77777777" w:rsidR="009C05AE" w:rsidRPr="009C05AE" w:rsidRDefault="009C05AE" w:rsidP="009C05AE">
      <w:pPr>
        <w:ind w:firstLine="0"/>
      </w:pPr>
    </w:p>
    <w:p w14:paraId="649CC990" w14:textId="77777777" w:rsidR="009C05AE" w:rsidRPr="009C05AE" w:rsidRDefault="009C05AE" w:rsidP="009C05AE">
      <w:pPr>
        <w:ind w:firstLine="0"/>
      </w:pPr>
      <w:r w:rsidRPr="009C05AE">
        <w:t xml:space="preserve">REVERTE, Carmelo. </w:t>
      </w:r>
      <w:proofErr w:type="spellStart"/>
      <w:r w:rsidRPr="009C05AE">
        <w:t>Determinants</w:t>
      </w:r>
      <w:proofErr w:type="spellEnd"/>
      <w:r w:rsidRPr="009C05AE">
        <w:t xml:space="preserve"> </w:t>
      </w:r>
      <w:proofErr w:type="spellStart"/>
      <w:r w:rsidRPr="009C05AE">
        <w:t>of</w:t>
      </w:r>
      <w:proofErr w:type="spellEnd"/>
      <w:r w:rsidRPr="009C05AE">
        <w:t xml:space="preserve"> </w:t>
      </w:r>
      <w:proofErr w:type="spellStart"/>
      <w:r w:rsidRPr="009C05AE">
        <w:t>corporate</w:t>
      </w:r>
      <w:proofErr w:type="spellEnd"/>
      <w:r w:rsidRPr="009C05AE">
        <w:t xml:space="preserve"> social </w:t>
      </w:r>
      <w:proofErr w:type="spellStart"/>
      <w:r w:rsidRPr="009C05AE">
        <w:t>responsibility</w:t>
      </w:r>
      <w:proofErr w:type="spellEnd"/>
      <w:r w:rsidRPr="009C05AE">
        <w:t xml:space="preserve"> </w:t>
      </w:r>
      <w:proofErr w:type="spellStart"/>
      <w:r w:rsidRPr="009C05AE">
        <w:t>disclosure</w:t>
      </w:r>
      <w:proofErr w:type="spellEnd"/>
      <w:r w:rsidRPr="009C05AE">
        <w:t xml:space="preserve"> ratings </w:t>
      </w:r>
      <w:proofErr w:type="spellStart"/>
      <w:r w:rsidRPr="009C05AE">
        <w:t>by</w:t>
      </w:r>
      <w:proofErr w:type="spellEnd"/>
      <w:r w:rsidRPr="009C05AE">
        <w:t xml:space="preserve"> Spanish </w:t>
      </w:r>
      <w:proofErr w:type="spellStart"/>
      <w:r w:rsidRPr="009C05AE">
        <w:t>listed</w:t>
      </w:r>
      <w:proofErr w:type="spellEnd"/>
      <w:r w:rsidRPr="009C05AE">
        <w:t xml:space="preserve"> </w:t>
      </w:r>
      <w:proofErr w:type="spellStart"/>
      <w:r w:rsidRPr="009C05AE">
        <w:t>firms</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business </w:t>
      </w:r>
      <w:proofErr w:type="spellStart"/>
      <w:r w:rsidRPr="009C05AE">
        <w:rPr>
          <w:b/>
          <w:bCs/>
        </w:rPr>
        <w:t>ethics</w:t>
      </w:r>
      <w:proofErr w:type="spellEnd"/>
      <w:r w:rsidRPr="009C05AE">
        <w:t>, v. 88, n. 2, p. 351-366, 2009.</w:t>
      </w:r>
    </w:p>
    <w:p w14:paraId="6DED9504" w14:textId="77777777" w:rsidR="009C05AE" w:rsidRPr="009C05AE" w:rsidRDefault="009C05AE" w:rsidP="009C05AE">
      <w:pPr>
        <w:ind w:firstLine="0"/>
      </w:pPr>
    </w:p>
    <w:p w14:paraId="4E7AB662" w14:textId="77777777" w:rsidR="009C05AE" w:rsidRPr="009C05AE" w:rsidRDefault="009C05AE" w:rsidP="009C05AE">
      <w:pPr>
        <w:ind w:firstLine="0"/>
      </w:pPr>
      <w:r w:rsidRPr="009C05AE">
        <w:t xml:space="preserve">ROMERO, Francisca </w:t>
      </w:r>
      <w:proofErr w:type="spellStart"/>
      <w:r w:rsidRPr="009C05AE">
        <w:t>Tejedo</w:t>
      </w:r>
      <w:proofErr w:type="spellEnd"/>
      <w:r w:rsidRPr="009C05AE">
        <w:t xml:space="preserve">; CORTÉS, Esteban Alfaro. Asociación entre </w:t>
      </w:r>
      <w:proofErr w:type="spellStart"/>
      <w:r w:rsidRPr="009C05AE">
        <w:t>las</w:t>
      </w:r>
      <w:proofErr w:type="spellEnd"/>
      <w:r w:rsidRPr="009C05AE">
        <w:t xml:space="preserve"> características </w:t>
      </w:r>
      <w:proofErr w:type="spellStart"/>
      <w:r w:rsidRPr="009C05AE">
        <w:t>empresariales</w:t>
      </w:r>
      <w:proofErr w:type="spellEnd"/>
      <w:r w:rsidRPr="009C05AE">
        <w:t xml:space="preserve"> y </w:t>
      </w:r>
      <w:proofErr w:type="spellStart"/>
      <w:r w:rsidRPr="009C05AE">
        <w:t>la</w:t>
      </w:r>
      <w:proofErr w:type="spellEnd"/>
      <w:r w:rsidRPr="009C05AE">
        <w:t xml:space="preserve"> </w:t>
      </w:r>
      <w:proofErr w:type="spellStart"/>
      <w:r w:rsidRPr="009C05AE">
        <w:t>divulgación</w:t>
      </w:r>
      <w:proofErr w:type="spellEnd"/>
      <w:r w:rsidRPr="009C05AE">
        <w:t xml:space="preserve"> sobre Capital Intelectual: Un </w:t>
      </w:r>
      <w:proofErr w:type="spellStart"/>
      <w:r w:rsidRPr="009C05AE">
        <w:t>estudio</w:t>
      </w:r>
      <w:proofErr w:type="spellEnd"/>
      <w:r w:rsidRPr="009C05AE">
        <w:t xml:space="preserve"> de </w:t>
      </w:r>
      <w:proofErr w:type="spellStart"/>
      <w:r w:rsidRPr="009C05AE">
        <w:t>las</w:t>
      </w:r>
      <w:proofErr w:type="spellEnd"/>
      <w:r w:rsidRPr="009C05AE">
        <w:t xml:space="preserve"> empresas </w:t>
      </w:r>
      <w:proofErr w:type="spellStart"/>
      <w:r w:rsidRPr="009C05AE">
        <w:t>del</w:t>
      </w:r>
      <w:proofErr w:type="spellEnd"/>
      <w:r w:rsidRPr="009C05AE">
        <w:t xml:space="preserve"> </w:t>
      </w:r>
      <w:proofErr w:type="spellStart"/>
      <w:r w:rsidRPr="009C05AE">
        <w:t>Ibex</w:t>
      </w:r>
      <w:proofErr w:type="spellEnd"/>
      <w:r w:rsidRPr="009C05AE">
        <w:t xml:space="preserve"> 35. </w:t>
      </w:r>
      <w:proofErr w:type="spellStart"/>
      <w:r w:rsidRPr="009C05AE">
        <w:rPr>
          <w:b/>
          <w:bCs/>
        </w:rPr>
        <w:t>Estudios</w:t>
      </w:r>
      <w:proofErr w:type="spellEnd"/>
      <w:r w:rsidRPr="009C05AE">
        <w:rPr>
          <w:b/>
          <w:bCs/>
        </w:rPr>
        <w:t xml:space="preserve"> de </w:t>
      </w:r>
      <w:proofErr w:type="spellStart"/>
      <w:r w:rsidRPr="009C05AE">
        <w:rPr>
          <w:b/>
          <w:bCs/>
        </w:rPr>
        <w:t>Economía</w:t>
      </w:r>
      <w:proofErr w:type="spellEnd"/>
      <w:r w:rsidRPr="009C05AE">
        <w:rPr>
          <w:b/>
          <w:bCs/>
        </w:rPr>
        <w:t xml:space="preserve"> Aplicada</w:t>
      </w:r>
      <w:r w:rsidRPr="009C05AE">
        <w:t>, v. 32, n. 1, p. 371-398, 2014.</w:t>
      </w:r>
    </w:p>
    <w:p w14:paraId="54B3B839" w14:textId="77777777" w:rsidR="009C05AE" w:rsidRPr="009C05AE" w:rsidRDefault="009C05AE" w:rsidP="009C05AE">
      <w:pPr>
        <w:ind w:firstLine="0"/>
      </w:pPr>
    </w:p>
    <w:p w14:paraId="0DAF4EC2" w14:textId="77777777" w:rsidR="009C05AE" w:rsidRPr="009C05AE" w:rsidRDefault="009C05AE" w:rsidP="009C05AE">
      <w:pPr>
        <w:ind w:firstLine="0"/>
      </w:pPr>
      <w:r w:rsidRPr="009C05AE">
        <w:t xml:space="preserve">SANTORO, Sergio. Ensaio Teórico sobre a relação entre Gestão do Conhecimento e Capital Intelectual no contexto brasileiro| </w:t>
      </w:r>
      <w:proofErr w:type="spellStart"/>
      <w:r w:rsidRPr="009C05AE">
        <w:t>Theoretical</w:t>
      </w:r>
      <w:proofErr w:type="spellEnd"/>
      <w:r w:rsidRPr="009C05AE">
        <w:t xml:space="preserve"> </w:t>
      </w:r>
      <w:proofErr w:type="spellStart"/>
      <w:r w:rsidRPr="009C05AE">
        <w:t>essay</w:t>
      </w:r>
      <w:proofErr w:type="spellEnd"/>
      <w:r w:rsidRPr="009C05AE">
        <w:t xml:space="preserve"> </w:t>
      </w:r>
      <w:proofErr w:type="spellStart"/>
      <w:r w:rsidRPr="009C05AE">
        <w:t>about</w:t>
      </w:r>
      <w:proofErr w:type="spellEnd"/>
      <w:r w:rsidRPr="009C05AE">
        <w:t xml:space="preserve"> </w:t>
      </w:r>
      <w:proofErr w:type="spellStart"/>
      <w:r w:rsidRPr="009C05AE">
        <w:t>the</w:t>
      </w:r>
      <w:proofErr w:type="spellEnd"/>
      <w:r w:rsidRPr="009C05AE">
        <w:t xml:space="preserve"> </w:t>
      </w:r>
      <w:proofErr w:type="spellStart"/>
      <w:r w:rsidRPr="009C05AE">
        <w:t>relationship</w:t>
      </w:r>
      <w:proofErr w:type="spellEnd"/>
      <w:r w:rsidRPr="009C05AE">
        <w:t xml:space="preserve"> </w:t>
      </w:r>
      <w:proofErr w:type="spellStart"/>
      <w:r w:rsidRPr="009C05AE">
        <w:t>between</w:t>
      </w:r>
      <w:proofErr w:type="spellEnd"/>
      <w:r w:rsidRPr="009C05AE">
        <w:t xml:space="preserve"> </w:t>
      </w:r>
      <w:proofErr w:type="spellStart"/>
      <w:r w:rsidRPr="009C05AE">
        <w:t>Knowledge</w:t>
      </w:r>
      <w:proofErr w:type="spellEnd"/>
      <w:r w:rsidRPr="009C05AE">
        <w:t xml:space="preserve"> Management </w:t>
      </w:r>
      <w:proofErr w:type="spellStart"/>
      <w:r w:rsidRPr="009C05AE">
        <w:t>and</w:t>
      </w:r>
      <w:proofErr w:type="spellEnd"/>
      <w:r w:rsidRPr="009C05AE">
        <w:t xml:space="preserve"> </w:t>
      </w:r>
      <w:proofErr w:type="spellStart"/>
      <w:r w:rsidRPr="009C05AE">
        <w:t>Intellectual</w:t>
      </w:r>
      <w:proofErr w:type="spellEnd"/>
      <w:r w:rsidRPr="009C05AE">
        <w:t xml:space="preserve"> Capital in </w:t>
      </w:r>
      <w:proofErr w:type="spellStart"/>
      <w:r w:rsidRPr="009C05AE">
        <w:t>the</w:t>
      </w:r>
      <w:proofErr w:type="spellEnd"/>
      <w:r w:rsidRPr="009C05AE">
        <w:t xml:space="preserve"> </w:t>
      </w:r>
      <w:proofErr w:type="spellStart"/>
      <w:r w:rsidRPr="009C05AE">
        <w:t>brazilian</w:t>
      </w:r>
      <w:proofErr w:type="spellEnd"/>
      <w:r w:rsidRPr="009C05AE">
        <w:t xml:space="preserve"> </w:t>
      </w:r>
      <w:proofErr w:type="spellStart"/>
      <w:r w:rsidRPr="009C05AE">
        <w:t>context</w:t>
      </w:r>
      <w:proofErr w:type="spellEnd"/>
      <w:r w:rsidRPr="009C05AE">
        <w:t>. </w:t>
      </w:r>
      <w:r w:rsidRPr="009C05AE">
        <w:rPr>
          <w:b/>
          <w:bCs/>
        </w:rPr>
        <w:t>Revista Brasileira de Gestão e Inovação (</w:t>
      </w:r>
      <w:proofErr w:type="spellStart"/>
      <w:r w:rsidRPr="009C05AE">
        <w:rPr>
          <w:b/>
          <w:bCs/>
        </w:rPr>
        <w:t>Brazilian</w:t>
      </w:r>
      <w:proofErr w:type="spellEnd"/>
      <w:r w:rsidRPr="009C05AE">
        <w:rPr>
          <w:b/>
          <w:bCs/>
        </w:rPr>
        <w:t xml:space="preserve">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Management &amp; </w:t>
      </w:r>
      <w:proofErr w:type="spellStart"/>
      <w:r w:rsidRPr="009C05AE">
        <w:rPr>
          <w:b/>
          <w:bCs/>
        </w:rPr>
        <w:t>Innovation</w:t>
      </w:r>
      <w:proofErr w:type="spellEnd"/>
      <w:r w:rsidRPr="009C05AE">
        <w:rPr>
          <w:b/>
          <w:bCs/>
        </w:rPr>
        <w:t>)</w:t>
      </w:r>
      <w:r w:rsidRPr="009C05AE">
        <w:t>, v. 6, n. 2, p. 1-24, 2018.</w:t>
      </w:r>
    </w:p>
    <w:p w14:paraId="196D191C" w14:textId="77777777" w:rsidR="009C05AE" w:rsidRPr="009C05AE" w:rsidRDefault="009C05AE" w:rsidP="009C05AE">
      <w:pPr>
        <w:ind w:firstLine="0"/>
      </w:pPr>
    </w:p>
    <w:p w14:paraId="0968F63B" w14:textId="77777777" w:rsidR="009C05AE" w:rsidRPr="009C05AE" w:rsidRDefault="009C05AE" w:rsidP="009C05AE">
      <w:pPr>
        <w:ind w:firstLine="0"/>
      </w:pPr>
      <w:r w:rsidRPr="009C05AE">
        <w:t xml:space="preserve">SINGH, </w:t>
      </w:r>
      <w:proofErr w:type="spellStart"/>
      <w:r w:rsidRPr="009C05AE">
        <w:t>Inderpal</w:t>
      </w:r>
      <w:proofErr w:type="spellEnd"/>
      <w:r w:rsidRPr="009C05AE">
        <w:t xml:space="preserve">; MITCHELL VAN DER ZAHN, J.–L. W. </w:t>
      </w:r>
      <w:proofErr w:type="spellStart"/>
      <w:r w:rsidRPr="009C05AE">
        <w:t>Determinants</w:t>
      </w:r>
      <w:proofErr w:type="spellEnd"/>
      <w:r w:rsidRPr="009C05AE">
        <w:t xml:space="preserve"> </w:t>
      </w:r>
      <w:proofErr w:type="spellStart"/>
      <w:r w:rsidRPr="009C05AE">
        <w:t>of</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xml:space="preserve"> in </w:t>
      </w:r>
      <w:proofErr w:type="spellStart"/>
      <w:r w:rsidRPr="009C05AE">
        <w:t>prospectuses</w:t>
      </w:r>
      <w:proofErr w:type="spellEnd"/>
      <w:r w:rsidRPr="009C05AE">
        <w:t xml:space="preserve"> </w:t>
      </w:r>
      <w:proofErr w:type="spellStart"/>
      <w:r w:rsidRPr="009C05AE">
        <w:t>of</w:t>
      </w:r>
      <w:proofErr w:type="spellEnd"/>
      <w:r w:rsidRPr="009C05AE">
        <w:t xml:space="preserve"> </w:t>
      </w:r>
      <w:proofErr w:type="spellStart"/>
      <w:r w:rsidRPr="009C05AE">
        <w:t>initial</w:t>
      </w:r>
      <w:proofErr w:type="spellEnd"/>
      <w:r w:rsidRPr="009C05AE">
        <w:t xml:space="preserve"> </w:t>
      </w:r>
      <w:proofErr w:type="spellStart"/>
      <w:r w:rsidRPr="009C05AE">
        <w:t>public</w:t>
      </w:r>
      <w:proofErr w:type="spellEnd"/>
      <w:r w:rsidRPr="009C05AE">
        <w:t xml:space="preserve"> </w:t>
      </w:r>
      <w:proofErr w:type="spellStart"/>
      <w:r w:rsidRPr="009C05AE">
        <w:t>offerings</w:t>
      </w:r>
      <w:proofErr w:type="spellEnd"/>
      <w:r w:rsidRPr="009C05AE">
        <w:t>. </w:t>
      </w:r>
      <w:proofErr w:type="spellStart"/>
      <w:r w:rsidRPr="009C05AE">
        <w:rPr>
          <w:b/>
          <w:bCs/>
        </w:rPr>
        <w:t>Accounting</w:t>
      </w:r>
      <w:proofErr w:type="spellEnd"/>
      <w:r w:rsidRPr="009C05AE">
        <w:rPr>
          <w:b/>
          <w:bCs/>
        </w:rPr>
        <w:t xml:space="preserve"> </w:t>
      </w:r>
      <w:proofErr w:type="spellStart"/>
      <w:r w:rsidRPr="009C05AE">
        <w:rPr>
          <w:b/>
          <w:bCs/>
        </w:rPr>
        <w:t>and</w:t>
      </w:r>
      <w:proofErr w:type="spellEnd"/>
      <w:r w:rsidRPr="009C05AE">
        <w:rPr>
          <w:b/>
          <w:bCs/>
        </w:rPr>
        <w:t xml:space="preserve"> Business </w:t>
      </w:r>
      <w:proofErr w:type="spellStart"/>
      <w:r w:rsidRPr="009C05AE">
        <w:rPr>
          <w:b/>
          <w:bCs/>
        </w:rPr>
        <w:t>research</w:t>
      </w:r>
      <w:proofErr w:type="spellEnd"/>
      <w:r w:rsidRPr="009C05AE">
        <w:t>, v. 38, n. 5, p. 409-431, 2008.</w:t>
      </w:r>
    </w:p>
    <w:p w14:paraId="1ABAEB9C" w14:textId="77777777" w:rsidR="009C05AE" w:rsidRPr="009C05AE" w:rsidRDefault="009C05AE" w:rsidP="009C05AE">
      <w:pPr>
        <w:ind w:firstLine="0"/>
      </w:pPr>
    </w:p>
    <w:p w14:paraId="0FED7FAA" w14:textId="77777777" w:rsidR="009C05AE" w:rsidRPr="009C05AE" w:rsidRDefault="009C05AE" w:rsidP="009C05AE">
      <w:pPr>
        <w:ind w:firstLine="0"/>
      </w:pPr>
      <w:r w:rsidRPr="009C05AE">
        <w:t xml:space="preserve">TING, Irene Wei </w:t>
      </w:r>
      <w:proofErr w:type="spellStart"/>
      <w:r w:rsidRPr="009C05AE">
        <w:t>Kiong</w:t>
      </w:r>
      <w:proofErr w:type="spellEnd"/>
      <w:r w:rsidRPr="009C05AE">
        <w:t xml:space="preserve">; LEAN, </w:t>
      </w:r>
      <w:proofErr w:type="spellStart"/>
      <w:r w:rsidRPr="009C05AE">
        <w:t>Hooi</w:t>
      </w:r>
      <w:proofErr w:type="spellEnd"/>
      <w:r w:rsidRPr="009C05AE">
        <w:t xml:space="preserve"> </w:t>
      </w:r>
      <w:proofErr w:type="spellStart"/>
      <w:r w:rsidRPr="009C05AE">
        <w:t>Hooi</w:t>
      </w:r>
      <w:proofErr w:type="spellEnd"/>
      <w:r w:rsidRPr="009C05AE">
        <w:t xml:space="preserve">. </w:t>
      </w:r>
      <w:proofErr w:type="spellStart"/>
      <w:r w:rsidRPr="009C05AE">
        <w:t>Intellectual</w:t>
      </w:r>
      <w:proofErr w:type="spellEnd"/>
      <w:r w:rsidRPr="009C05AE">
        <w:t xml:space="preserve"> capital performance </w:t>
      </w:r>
      <w:proofErr w:type="spellStart"/>
      <w:r w:rsidRPr="009C05AE">
        <w:t>of</w:t>
      </w:r>
      <w:proofErr w:type="spellEnd"/>
      <w:r w:rsidRPr="009C05AE">
        <w:t xml:space="preserve"> financial </w:t>
      </w:r>
      <w:proofErr w:type="spellStart"/>
      <w:r w:rsidRPr="009C05AE">
        <w:t>institutions</w:t>
      </w:r>
      <w:proofErr w:type="spellEnd"/>
      <w:r w:rsidRPr="009C05AE">
        <w:t xml:space="preserve"> in Malaysia. </w:t>
      </w:r>
      <w:proofErr w:type="spellStart"/>
      <w:r w:rsidRPr="009C05AE">
        <w:rPr>
          <w:b/>
          <w:bCs/>
        </w:rPr>
        <w:t>Journal</w:t>
      </w:r>
      <w:proofErr w:type="spellEnd"/>
      <w:r w:rsidRPr="009C05AE">
        <w:rPr>
          <w:b/>
          <w:bCs/>
        </w:rPr>
        <w:t xml:space="preserve"> of </w:t>
      </w:r>
      <w:proofErr w:type="spellStart"/>
      <w:r w:rsidRPr="009C05AE">
        <w:rPr>
          <w:b/>
          <w:bCs/>
        </w:rPr>
        <w:t>Intellectual</w:t>
      </w:r>
      <w:proofErr w:type="spellEnd"/>
      <w:r w:rsidRPr="009C05AE">
        <w:rPr>
          <w:b/>
          <w:bCs/>
        </w:rPr>
        <w:t xml:space="preserve"> capital</w:t>
      </w:r>
      <w:r w:rsidRPr="009C05AE">
        <w:t>, v.10, n.4, p.588-599, 2009.</w:t>
      </w:r>
    </w:p>
    <w:p w14:paraId="254754E2" w14:textId="77777777" w:rsidR="009C05AE" w:rsidRPr="009C05AE" w:rsidRDefault="009C05AE" w:rsidP="009C05AE">
      <w:pPr>
        <w:ind w:firstLine="0"/>
      </w:pPr>
    </w:p>
    <w:p w14:paraId="3C901773" w14:textId="77777777" w:rsidR="009C05AE" w:rsidRPr="009C05AE" w:rsidRDefault="009C05AE" w:rsidP="009C05AE">
      <w:pPr>
        <w:ind w:firstLine="0"/>
        <w:rPr>
          <w:iCs/>
        </w:rPr>
      </w:pPr>
      <w:r w:rsidRPr="009C05AE">
        <w:t xml:space="preserve">TOVSTIGA, G.; TULUGUROVA, E. </w:t>
      </w:r>
      <w:proofErr w:type="spellStart"/>
      <w:r w:rsidRPr="009C05AE">
        <w:t>Intellectual</w:t>
      </w:r>
      <w:proofErr w:type="spellEnd"/>
      <w:r w:rsidRPr="009C05AE">
        <w:t xml:space="preserve"> capital </w:t>
      </w:r>
      <w:proofErr w:type="spellStart"/>
      <w:r w:rsidRPr="009C05AE">
        <w:t>practices</w:t>
      </w:r>
      <w:proofErr w:type="spellEnd"/>
      <w:r w:rsidRPr="009C05AE">
        <w:t>: a four‐</w:t>
      </w:r>
      <w:proofErr w:type="spellStart"/>
      <w:r w:rsidRPr="009C05AE">
        <w:t>region</w:t>
      </w:r>
      <w:proofErr w:type="spellEnd"/>
      <w:r w:rsidRPr="009C05AE">
        <w:t xml:space="preserve"> </w:t>
      </w:r>
      <w:proofErr w:type="spellStart"/>
      <w:r w:rsidRPr="009C05AE">
        <w:t>comparative</w:t>
      </w:r>
      <w:proofErr w:type="spellEnd"/>
      <w:r w:rsidRPr="009C05AE">
        <w:t xml:space="preserve"> </w:t>
      </w:r>
      <w:proofErr w:type="spellStart"/>
      <w:r w:rsidRPr="009C05AE">
        <w:t>study</w:t>
      </w:r>
      <w:proofErr w:type="spellEnd"/>
      <w:r w:rsidRPr="009C05AE">
        <w:t xml:space="preserve">. </w:t>
      </w:r>
      <w:proofErr w:type="spellStart"/>
      <w:r w:rsidRPr="009C05AE">
        <w:rPr>
          <w:b/>
          <w:bCs/>
          <w:iCs/>
        </w:rPr>
        <w:t>Journal</w:t>
      </w:r>
      <w:proofErr w:type="spellEnd"/>
      <w:r w:rsidRPr="009C05AE">
        <w:rPr>
          <w:b/>
          <w:bCs/>
          <w:iCs/>
        </w:rPr>
        <w:t xml:space="preserve"> </w:t>
      </w:r>
      <w:proofErr w:type="spellStart"/>
      <w:r w:rsidRPr="009C05AE">
        <w:rPr>
          <w:b/>
          <w:bCs/>
          <w:iCs/>
        </w:rPr>
        <w:t>of</w:t>
      </w:r>
      <w:proofErr w:type="spellEnd"/>
      <w:r w:rsidRPr="009C05AE">
        <w:rPr>
          <w:b/>
          <w:bCs/>
          <w:iCs/>
        </w:rPr>
        <w:t xml:space="preserve"> </w:t>
      </w:r>
      <w:proofErr w:type="spellStart"/>
      <w:r w:rsidRPr="009C05AE">
        <w:rPr>
          <w:b/>
          <w:bCs/>
          <w:iCs/>
        </w:rPr>
        <w:t>Intellectual</w:t>
      </w:r>
      <w:proofErr w:type="spellEnd"/>
      <w:r w:rsidRPr="009C05AE">
        <w:rPr>
          <w:b/>
          <w:bCs/>
          <w:iCs/>
        </w:rPr>
        <w:t xml:space="preserve"> Capital</w:t>
      </w:r>
      <w:r w:rsidRPr="009C05AE">
        <w:rPr>
          <w:iCs/>
        </w:rPr>
        <w:t>, v.10, n.</w:t>
      </w:r>
      <w:r w:rsidRPr="009C05AE">
        <w:t>1, p.70–80</w:t>
      </w:r>
      <w:r w:rsidRPr="009C05AE">
        <w:rPr>
          <w:iCs/>
        </w:rPr>
        <w:t>, 2009.</w:t>
      </w:r>
    </w:p>
    <w:p w14:paraId="7EE07D33" w14:textId="77777777" w:rsidR="009C05AE" w:rsidRPr="009C05AE" w:rsidRDefault="009C05AE" w:rsidP="009C05AE">
      <w:pPr>
        <w:ind w:firstLine="0"/>
      </w:pPr>
    </w:p>
    <w:p w14:paraId="05301959" w14:textId="77777777" w:rsidR="009C05AE" w:rsidRPr="009C05AE" w:rsidRDefault="009C05AE" w:rsidP="009C05AE">
      <w:pPr>
        <w:ind w:firstLine="0"/>
      </w:pPr>
      <w:r w:rsidRPr="009C05AE">
        <w:t xml:space="preserve">VAN DER MEER‐KOOISTRA, </w:t>
      </w:r>
      <w:proofErr w:type="spellStart"/>
      <w:r w:rsidRPr="009C05AE">
        <w:t>Jeltje</w:t>
      </w:r>
      <w:proofErr w:type="spellEnd"/>
      <w:r w:rsidRPr="009C05AE">
        <w:t xml:space="preserve">; ZIJLSTRA, </w:t>
      </w:r>
      <w:proofErr w:type="spellStart"/>
      <w:r w:rsidRPr="009C05AE">
        <w:t>Siebren</w:t>
      </w:r>
      <w:proofErr w:type="spellEnd"/>
      <w:r w:rsidRPr="009C05AE">
        <w:t xml:space="preserve"> M. </w:t>
      </w:r>
      <w:proofErr w:type="spellStart"/>
      <w:r w:rsidRPr="009C05AE">
        <w:t>Reporting</w:t>
      </w:r>
      <w:proofErr w:type="spellEnd"/>
      <w:r w:rsidRPr="009C05AE">
        <w:t xml:space="preserve"> </w:t>
      </w:r>
      <w:proofErr w:type="spellStart"/>
      <w:r w:rsidRPr="009C05AE">
        <w:t>on</w:t>
      </w:r>
      <w:proofErr w:type="spellEnd"/>
      <w:r w:rsidRPr="009C05AE">
        <w:t xml:space="preserve"> </w:t>
      </w:r>
      <w:proofErr w:type="spellStart"/>
      <w:r w:rsidRPr="009C05AE">
        <w:t>intellectual</w:t>
      </w:r>
      <w:proofErr w:type="spellEnd"/>
      <w:r w:rsidRPr="009C05AE">
        <w:t xml:space="preserve"> capital. </w:t>
      </w:r>
      <w:proofErr w:type="spellStart"/>
      <w:r w:rsidRPr="009C05AE">
        <w:rPr>
          <w:b/>
          <w:bCs/>
        </w:rPr>
        <w:t>Accounting</w:t>
      </w:r>
      <w:proofErr w:type="spellEnd"/>
      <w:r w:rsidRPr="009C05AE">
        <w:rPr>
          <w:b/>
          <w:bCs/>
        </w:rPr>
        <w:t xml:space="preserve">, </w:t>
      </w:r>
      <w:proofErr w:type="spellStart"/>
      <w:r w:rsidRPr="009C05AE">
        <w:rPr>
          <w:b/>
          <w:bCs/>
        </w:rPr>
        <w:t>Auditing</w:t>
      </w:r>
      <w:proofErr w:type="spellEnd"/>
      <w:r w:rsidRPr="009C05AE">
        <w:rPr>
          <w:b/>
          <w:bCs/>
        </w:rPr>
        <w:t xml:space="preserve"> &amp; </w:t>
      </w:r>
      <w:proofErr w:type="spellStart"/>
      <w:r w:rsidRPr="009C05AE">
        <w:rPr>
          <w:b/>
          <w:bCs/>
        </w:rPr>
        <w:t>Accountability</w:t>
      </w:r>
      <w:proofErr w:type="spellEnd"/>
      <w:r w:rsidRPr="009C05AE">
        <w:rPr>
          <w:b/>
          <w:bCs/>
        </w:rPr>
        <w:t xml:space="preserve"> </w:t>
      </w:r>
      <w:proofErr w:type="spellStart"/>
      <w:r w:rsidRPr="009C05AE">
        <w:rPr>
          <w:b/>
          <w:bCs/>
        </w:rPr>
        <w:t>Journal</w:t>
      </w:r>
      <w:proofErr w:type="spellEnd"/>
      <w:r w:rsidRPr="009C05AE">
        <w:t>, v.14, n.4, p.456-476, 2001.</w:t>
      </w:r>
    </w:p>
    <w:p w14:paraId="21491CB6" w14:textId="77777777" w:rsidR="009C05AE" w:rsidRPr="009C05AE" w:rsidRDefault="009C05AE" w:rsidP="009C05AE">
      <w:pPr>
        <w:ind w:firstLine="0"/>
      </w:pPr>
    </w:p>
    <w:p w14:paraId="0CDF407F" w14:textId="77777777" w:rsidR="009C05AE" w:rsidRPr="009C05AE" w:rsidRDefault="009C05AE" w:rsidP="009C05AE">
      <w:pPr>
        <w:ind w:firstLine="0"/>
      </w:pPr>
      <w:r w:rsidRPr="009C05AE">
        <w:t xml:space="preserve">VERGAUWEN, Philip GMC; VAN ALEM, </w:t>
      </w:r>
      <w:proofErr w:type="spellStart"/>
      <w:r w:rsidRPr="009C05AE">
        <w:t>Frits</w:t>
      </w:r>
      <w:proofErr w:type="spellEnd"/>
      <w:r w:rsidRPr="009C05AE">
        <w:t xml:space="preserve"> JC. Annual </w:t>
      </w:r>
      <w:proofErr w:type="spellStart"/>
      <w:r w:rsidRPr="009C05AE">
        <w:t>report</w:t>
      </w:r>
      <w:proofErr w:type="spellEnd"/>
      <w:r w:rsidRPr="009C05AE">
        <w:t xml:space="preserve"> IC </w:t>
      </w:r>
      <w:proofErr w:type="spellStart"/>
      <w:r w:rsidRPr="009C05AE">
        <w:t>disclosures</w:t>
      </w:r>
      <w:proofErr w:type="spellEnd"/>
      <w:r w:rsidRPr="009C05AE">
        <w:t xml:space="preserve"> in </w:t>
      </w:r>
      <w:proofErr w:type="spellStart"/>
      <w:r w:rsidRPr="009C05AE">
        <w:t>the</w:t>
      </w:r>
      <w:proofErr w:type="spellEnd"/>
      <w:r w:rsidRPr="009C05AE">
        <w:t xml:space="preserve"> </w:t>
      </w:r>
      <w:proofErr w:type="spellStart"/>
      <w:r w:rsidRPr="009C05AE">
        <w:t>Netherlands</w:t>
      </w:r>
      <w:proofErr w:type="spellEnd"/>
      <w:r w:rsidRPr="009C05AE">
        <w:t xml:space="preserve">, France </w:t>
      </w:r>
      <w:proofErr w:type="spellStart"/>
      <w:r w:rsidRPr="009C05AE">
        <w:t>and</w:t>
      </w:r>
      <w:proofErr w:type="spellEnd"/>
      <w:r w:rsidRPr="009C05AE">
        <w:t xml:space="preserve"> </w:t>
      </w:r>
      <w:proofErr w:type="spellStart"/>
      <w:r w:rsidRPr="009C05AE">
        <w:t>Germany</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v.6, n.1, p. 89-104, 2005.</w:t>
      </w:r>
    </w:p>
    <w:p w14:paraId="6BB9FB76" w14:textId="77777777" w:rsidR="009C05AE" w:rsidRPr="009C05AE" w:rsidRDefault="009C05AE" w:rsidP="009C05AE">
      <w:pPr>
        <w:ind w:firstLine="0"/>
      </w:pPr>
    </w:p>
    <w:p w14:paraId="58F0C7F7" w14:textId="77777777" w:rsidR="009C05AE" w:rsidRPr="009C05AE" w:rsidRDefault="009C05AE" w:rsidP="009C05AE">
      <w:pPr>
        <w:ind w:firstLine="0"/>
      </w:pPr>
      <w:r w:rsidRPr="009C05AE">
        <w:t xml:space="preserve">WHITE, Gregory; LEE, Alina; TOWER, Greg. Drivers </w:t>
      </w:r>
      <w:proofErr w:type="spellStart"/>
      <w:r w:rsidRPr="009C05AE">
        <w:t>of</w:t>
      </w:r>
      <w:proofErr w:type="spellEnd"/>
      <w:r w:rsidRPr="009C05AE">
        <w:t xml:space="preserve"> </w:t>
      </w:r>
      <w:proofErr w:type="spellStart"/>
      <w:r w:rsidRPr="009C05AE">
        <w:t>voluntary</w:t>
      </w:r>
      <w:proofErr w:type="spellEnd"/>
      <w:r w:rsidRPr="009C05AE">
        <w:t xml:space="preserve"> </w:t>
      </w:r>
      <w:proofErr w:type="spellStart"/>
      <w:r w:rsidRPr="009C05AE">
        <w:t>intellectual</w:t>
      </w:r>
      <w:proofErr w:type="spellEnd"/>
      <w:r w:rsidRPr="009C05AE">
        <w:t xml:space="preserve"> capital </w:t>
      </w:r>
      <w:proofErr w:type="spellStart"/>
      <w:r w:rsidRPr="009C05AE">
        <w:t>disclosure</w:t>
      </w:r>
      <w:proofErr w:type="spellEnd"/>
      <w:r w:rsidRPr="009C05AE">
        <w:t xml:space="preserve"> in </w:t>
      </w:r>
      <w:proofErr w:type="spellStart"/>
      <w:r w:rsidRPr="009C05AE">
        <w:t>listed</w:t>
      </w:r>
      <w:proofErr w:type="spellEnd"/>
      <w:r w:rsidRPr="009C05AE">
        <w:t xml:space="preserve"> </w:t>
      </w:r>
      <w:proofErr w:type="spellStart"/>
      <w:r w:rsidRPr="009C05AE">
        <w:t>biotechnology</w:t>
      </w:r>
      <w:proofErr w:type="spellEnd"/>
      <w:r w:rsidRPr="009C05AE">
        <w:t xml:space="preserve"> </w:t>
      </w:r>
      <w:proofErr w:type="spellStart"/>
      <w:r w:rsidRPr="009C05AE">
        <w:t>companies</w:t>
      </w:r>
      <w:proofErr w:type="spellEnd"/>
      <w:r w:rsidRPr="009C05AE">
        <w:t>. </w:t>
      </w:r>
      <w:proofErr w:type="spellStart"/>
      <w:r w:rsidRPr="009C05AE">
        <w:rPr>
          <w:b/>
          <w:bCs/>
        </w:rPr>
        <w:t>Journal</w:t>
      </w:r>
      <w:proofErr w:type="spellEnd"/>
      <w:r w:rsidRPr="009C05AE">
        <w:rPr>
          <w:b/>
          <w:bCs/>
        </w:rPr>
        <w:t xml:space="preserve"> </w:t>
      </w:r>
      <w:proofErr w:type="spellStart"/>
      <w:r w:rsidRPr="009C05AE">
        <w:rPr>
          <w:b/>
          <w:bCs/>
        </w:rPr>
        <w:t>of</w:t>
      </w:r>
      <w:proofErr w:type="spellEnd"/>
      <w:r w:rsidRPr="009C05AE">
        <w:rPr>
          <w:b/>
          <w:bCs/>
        </w:rPr>
        <w:t xml:space="preserve"> </w:t>
      </w:r>
      <w:proofErr w:type="spellStart"/>
      <w:r w:rsidRPr="009C05AE">
        <w:rPr>
          <w:b/>
          <w:bCs/>
        </w:rPr>
        <w:t>intellectual</w:t>
      </w:r>
      <w:proofErr w:type="spellEnd"/>
      <w:r w:rsidRPr="009C05AE">
        <w:rPr>
          <w:b/>
          <w:bCs/>
        </w:rPr>
        <w:t xml:space="preserve"> capital</w:t>
      </w:r>
      <w:r w:rsidRPr="009C05AE">
        <w:t>, v.8, n.3, p.517-537, 2007.</w:t>
      </w:r>
    </w:p>
    <w:p w14:paraId="2834305D" w14:textId="77777777" w:rsidR="009C05AE" w:rsidRPr="009C05AE" w:rsidRDefault="009C05AE" w:rsidP="009C05AE">
      <w:pPr>
        <w:ind w:firstLine="0"/>
      </w:pPr>
    </w:p>
    <w:p w14:paraId="75302D42" w14:textId="77777777" w:rsidR="009C05AE" w:rsidRPr="009C05AE" w:rsidRDefault="009C05AE" w:rsidP="009C05AE">
      <w:pPr>
        <w:ind w:firstLine="0"/>
      </w:pPr>
      <w:r w:rsidRPr="009C05AE">
        <w:t xml:space="preserve">WILLIAMS, S. Mitchell. </w:t>
      </w:r>
      <w:proofErr w:type="spellStart"/>
      <w:r w:rsidRPr="009C05AE">
        <w:t>Is</w:t>
      </w:r>
      <w:proofErr w:type="spellEnd"/>
      <w:r w:rsidRPr="009C05AE">
        <w:t xml:space="preserve"> </w:t>
      </w:r>
      <w:proofErr w:type="spellStart"/>
      <w:r w:rsidRPr="009C05AE">
        <w:t>intellectual</w:t>
      </w:r>
      <w:proofErr w:type="spellEnd"/>
      <w:r w:rsidRPr="009C05AE">
        <w:t xml:space="preserve"> capital performance </w:t>
      </w:r>
      <w:proofErr w:type="spellStart"/>
      <w:r w:rsidRPr="009C05AE">
        <w:t>and</w:t>
      </w:r>
      <w:proofErr w:type="spellEnd"/>
      <w:r w:rsidRPr="009C05AE">
        <w:t xml:space="preserve"> </w:t>
      </w:r>
      <w:proofErr w:type="spellStart"/>
      <w:r w:rsidRPr="009C05AE">
        <w:t>disclosure</w:t>
      </w:r>
      <w:proofErr w:type="spellEnd"/>
      <w:r w:rsidRPr="009C05AE">
        <w:t xml:space="preserve"> </w:t>
      </w:r>
      <w:proofErr w:type="spellStart"/>
      <w:r w:rsidRPr="009C05AE">
        <w:t>practices</w:t>
      </w:r>
      <w:proofErr w:type="spellEnd"/>
      <w:r w:rsidRPr="009C05AE">
        <w:t xml:space="preserve"> </w:t>
      </w:r>
      <w:proofErr w:type="spellStart"/>
      <w:r w:rsidRPr="009C05AE">
        <w:t>related</w:t>
      </w:r>
      <w:proofErr w:type="spellEnd"/>
      <w:r w:rsidRPr="009C05AE">
        <w:t>?. </w:t>
      </w:r>
      <w:proofErr w:type="spellStart"/>
      <w:r w:rsidRPr="009C05AE">
        <w:rPr>
          <w:b/>
          <w:bCs/>
        </w:rPr>
        <w:t>Journal</w:t>
      </w:r>
      <w:proofErr w:type="spellEnd"/>
      <w:r w:rsidRPr="009C05AE">
        <w:rPr>
          <w:b/>
          <w:bCs/>
        </w:rPr>
        <w:t xml:space="preserve"> of </w:t>
      </w:r>
      <w:proofErr w:type="spellStart"/>
      <w:r w:rsidRPr="009C05AE">
        <w:rPr>
          <w:b/>
          <w:bCs/>
        </w:rPr>
        <w:t>Intellectual</w:t>
      </w:r>
      <w:proofErr w:type="spellEnd"/>
      <w:r w:rsidRPr="009C05AE">
        <w:rPr>
          <w:b/>
          <w:bCs/>
        </w:rPr>
        <w:t xml:space="preserve"> capital</w:t>
      </w:r>
      <w:r w:rsidRPr="009C05AE">
        <w:t>, v.2, n.3, p.192-203, 2001.</w:t>
      </w:r>
    </w:p>
    <w:p w14:paraId="54453622" w14:textId="77777777" w:rsidR="009C05AE" w:rsidRPr="009C05AE" w:rsidRDefault="009C05AE" w:rsidP="009C05AE">
      <w:pPr>
        <w:ind w:firstLine="0"/>
      </w:pPr>
    </w:p>
    <w:p w14:paraId="7E3AAB9C" w14:textId="77777777" w:rsidR="009C05AE" w:rsidRPr="009C05AE" w:rsidRDefault="009C05AE" w:rsidP="009C05AE">
      <w:pPr>
        <w:ind w:firstLine="0"/>
      </w:pPr>
    </w:p>
    <w:p w14:paraId="7D5C3B52" w14:textId="77777777" w:rsidR="007E068E" w:rsidRDefault="007E068E">
      <w:pPr>
        <w:ind w:firstLine="0"/>
      </w:pPr>
    </w:p>
    <w:p w14:paraId="565CA6A2" w14:textId="77777777" w:rsidR="007E068E" w:rsidRDefault="007E068E">
      <w:pPr>
        <w:ind w:firstLine="0"/>
      </w:pPr>
    </w:p>
    <w:sectPr w:rsidR="007E068E" w:rsidSect="00AE3221">
      <w:headerReference w:type="default" r:id="rId7"/>
      <w:footerReference w:type="default" r:id="rId8"/>
      <w:pgSz w:w="12240" w:h="15840"/>
      <w:pgMar w:top="1701" w:right="1134" w:bottom="1134"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F15BD" w14:textId="77777777" w:rsidR="0072144A" w:rsidRDefault="0072144A">
      <w:r>
        <w:separator/>
      </w:r>
    </w:p>
  </w:endnote>
  <w:endnote w:type="continuationSeparator" w:id="0">
    <w:p w14:paraId="6F8B9652" w14:textId="77777777" w:rsidR="0072144A" w:rsidRDefault="0072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92DD3" w14:textId="0CFF84DC" w:rsidR="009C05AE" w:rsidRDefault="009C05AE">
    <w:pPr>
      <w:pBdr>
        <w:top w:val="nil"/>
        <w:left w:val="nil"/>
        <w:bottom w:val="nil"/>
        <w:right w:val="nil"/>
        <w:between w:val="nil"/>
      </w:pBdr>
      <w:tabs>
        <w:tab w:val="center" w:pos="4419"/>
        <w:tab w:val="right" w:pos="8838"/>
      </w:tabs>
      <w:ind w:firstLine="0"/>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35EFEFEA" w14:textId="77777777" w:rsidR="009C05AE" w:rsidRDefault="009C05AE">
    <w:pPr>
      <w:pBdr>
        <w:top w:val="nil"/>
        <w:left w:val="nil"/>
        <w:bottom w:val="nil"/>
        <w:right w:val="nil"/>
        <w:between w:val="nil"/>
      </w:pBdr>
      <w:tabs>
        <w:tab w:val="center" w:pos="4419"/>
        <w:tab w:val="right" w:pos="8838"/>
      </w:tabs>
      <w:ind w:firstLine="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3D03A" w14:textId="77777777" w:rsidR="0072144A" w:rsidRDefault="0072144A">
      <w:r>
        <w:separator/>
      </w:r>
    </w:p>
  </w:footnote>
  <w:footnote w:type="continuationSeparator" w:id="0">
    <w:p w14:paraId="0BA2F436" w14:textId="77777777" w:rsidR="0072144A" w:rsidRDefault="00721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32958" w14:textId="006A6709" w:rsidR="009C05AE" w:rsidRDefault="009C05AE">
    <w:pPr>
      <w:pBdr>
        <w:top w:val="nil"/>
        <w:left w:val="nil"/>
        <w:bottom w:val="nil"/>
        <w:right w:val="nil"/>
        <w:between w:val="nil"/>
      </w:pBdr>
      <w:tabs>
        <w:tab w:val="center" w:pos="4252"/>
        <w:tab w:val="right" w:pos="8504"/>
      </w:tabs>
      <w:ind w:firstLine="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7E1B"/>
    <w:multiLevelType w:val="multilevel"/>
    <w:tmpl w:val="2854987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1FA95F02"/>
    <w:multiLevelType w:val="multilevel"/>
    <w:tmpl w:val="6DF49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63082"/>
    <w:multiLevelType w:val="multilevel"/>
    <w:tmpl w:val="5CB899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C14BBD"/>
    <w:multiLevelType w:val="multilevel"/>
    <w:tmpl w:val="6DF49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A1234E"/>
    <w:multiLevelType w:val="hybridMultilevel"/>
    <w:tmpl w:val="934A1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BF3985"/>
    <w:multiLevelType w:val="hybridMultilevel"/>
    <w:tmpl w:val="712E7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DF5A1D"/>
    <w:multiLevelType w:val="multilevel"/>
    <w:tmpl w:val="C13A88F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E"/>
    <w:rsid w:val="000D6355"/>
    <w:rsid w:val="001D607D"/>
    <w:rsid w:val="00236812"/>
    <w:rsid w:val="0026148A"/>
    <w:rsid w:val="002A73D8"/>
    <w:rsid w:val="002F28F6"/>
    <w:rsid w:val="0034651D"/>
    <w:rsid w:val="00355C87"/>
    <w:rsid w:val="00471B2D"/>
    <w:rsid w:val="00580CDA"/>
    <w:rsid w:val="005B5812"/>
    <w:rsid w:val="005B6C43"/>
    <w:rsid w:val="00645EA5"/>
    <w:rsid w:val="006A4866"/>
    <w:rsid w:val="006F4C58"/>
    <w:rsid w:val="0072144A"/>
    <w:rsid w:val="007E068E"/>
    <w:rsid w:val="0084059F"/>
    <w:rsid w:val="0090496E"/>
    <w:rsid w:val="00996BAA"/>
    <w:rsid w:val="009C05AE"/>
    <w:rsid w:val="00AE3221"/>
    <w:rsid w:val="00B25EFF"/>
    <w:rsid w:val="00B84439"/>
    <w:rsid w:val="00BB4ACB"/>
    <w:rsid w:val="00BC47F4"/>
    <w:rsid w:val="00C77C81"/>
    <w:rsid w:val="00D95312"/>
    <w:rsid w:val="00E01A4F"/>
    <w:rsid w:val="00EA14D4"/>
    <w:rsid w:val="00F703C7"/>
    <w:rsid w:val="00FF2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widowControl w:val="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before="120" w:after="120"/>
      <w:ind w:left="431" w:hanging="431"/>
      <w:outlineLvl w:val="0"/>
    </w:pPr>
    <w:rPr>
      <w:b/>
      <w:sz w:val="22"/>
      <w:szCs w:val="22"/>
    </w:rPr>
  </w:style>
  <w:style w:type="paragraph" w:styleId="Ttulo2">
    <w:name w:val="heading 2"/>
    <w:basedOn w:val="Normal"/>
    <w:next w:val="Normal"/>
    <w:pPr>
      <w:keepNext/>
      <w:ind w:left="576" w:hanging="576"/>
      <w:outlineLvl w:val="1"/>
    </w:pPr>
    <w:rPr>
      <w:smallCaps/>
    </w:rPr>
  </w:style>
  <w:style w:type="paragraph" w:styleId="Ttulo3">
    <w:name w:val="heading 3"/>
    <w:basedOn w:val="Normal"/>
    <w:next w:val="Normal"/>
    <w:pPr>
      <w:keepNext/>
      <w:tabs>
        <w:tab w:val="left" w:pos="0"/>
      </w:tabs>
      <w:ind w:left="720" w:hanging="720"/>
      <w:outlineLvl w:val="2"/>
    </w:pPr>
    <w:rPr>
      <w:b/>
      <w:sz w:val="22"/>
      <w:szCs w:val="22"/>
      <w:u w:val="single"/>
    </w:rPr>
  </w:style>
  <w:style w:type="paragraph" w:styleId="Ttulo4">
    <w:name w:val="heading 4"/>
    <w:basedOn w:val="Normal"/>
    <w:next w:val="Normal"/>
    <w:pPr>
      <w:keepNext/>
      <w:ind w:left="864" w:hanging="864"/>
      <w:outlineLvl w:val="3"/>
    </w:pPr>
    <w:rPr>
      <w:rFonts w:ascii="Arial" w:eastAsia="Arial" w:hAnsi="Arial" w:cs="Arial"/>
    </w:rPr>
  </w:style>
  <w:style w:type="paragraph" w:styleId="Ttulo5">
    <w:name w:val="heading 5"/>
    <w:basedOn w:val="Normal"/>
    <w:next w:val="Normal"/>
    <w:pPr>
      <w:keepNext/>
      <w:tabs>
        <w:tab w:val="left" w:pos="0"/>
      </w:tabs>
      <w:ind w:left="1008" w:hanging="1008"/>
      <w:jc w:val="center"/>
      <w:outlineLvl w:val="4"/>
    </w:pPr>
    <w:rPr>
      <w:b/>
      <w:sz w:val="22"/>
      <w:szCs w:val="22"/>
    </w:rPr>
  </w:style>
  <w:style w:type="paragraph" w:styleId="Ttulo6">
    <w:name w:val="heading 6"/>
    <w:basedOn w:val="Normal"/>
    <w:next w:val="Normal"/>
    <w:pPr>
      <w:spacing w:before="240" w:after="60"/>
      <w:ind w:left="1152" w:hanging="1152"/>
      <w:outlineLvl w:val="5"/>
    </w:pPr>
    <w:rPr>
      <w:rFonts w:ascii="Calibri" w:eastAsia="Calibri" w:hAnsi="Calibri" w:cs="Calibri"/>
      <w: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paragraph" w:styleId="Textodebalo">
    <w:name w:val="Balloon Text"/>
    <w:basedOn w:val="Normal"/>
    <w:link w:val="TextodebaloChar"/>
    <w:uiPriority w:val="99"/>
    <w:semiHidden/>
    <w:unhideWhenUsed/>
    <w:rsid w:val="000D6355"/>
    <w:rPr>
      <w:rFonts w:ascii="Tahoma" w:hAnsi="Tahoma" w:cs="Tahoma"/>
      <w:sz w:val="16"/>
      <w:szCs w:val="16"/>
    </w:rPr>
  </w:style>
  <w:style w:type="character" w:customStyle="1" w:styleId="TextodebaloChar">
    <w:name w:val="Texto de balão Char"/>
    <w:basedOn w:val="Fontepargpadro"/>
    <w:link w:val="Textodebalo"/>
    <w:uiPriority w:val="99"/>
    <w:semiHidden/>
    <w:rsid w:val="000D6355"/>
    <w:rPr>
      <w:rFonts w:ascii="Tahoma" w:hAnsi="Tahoma" w:cs="Tahoma"/>
      <w:sz w:val="16"/>
      <w:szCs w:val="16"/>
    </w:rPr>
  </w:style>
  <w:style w:type="paragraph" w:styleId="Cabealho">
    <w:name w:val="header"/>
    <w:basedOn w:val="Normal"/>
    <w:link w:val="CabealhoChar"/>
    <w:uiPriority w:val="99"/>
    <w:unhideWhenUsed/>
    <w:rsid w:val="002F28F6"/>
    <w:pPr>
      <w:tabs>
        <w:tab w:val="center" w:pos="4252"/>
        <w:tab w:val="right" w:pos="8504"/>
      </w:tabs>
    </w:pPr>
  </w:style>
  <w:style w:type="character" w:customStyle="1" w:styleId="CabealhoChar">
    <w:name w:val="Cabeçalho Char"/>
    <w:basedOn w:val="Fontepargpadro"/>
    <w:link w:val="Cabealho"/>
    <w:uiPriority w:val="99"/>
    <w:rsid w:val="002F28F6"/>
  </w:style>
  <w:style w:type="paragraph" w:styleId="Rodap">
    <w:name w:val="footer"/>
    <w:basedOn w:val="Normal"/>
    <w:link w:val="RodapChar"/>
    <w:uiPriority w:val="99"/>
    <w:unhideWhenUsed/>
    <w:rsid w:val="002F28F6"/>
    <w:pPr>
      <w:tabs>
        <w:tab w:val="center" w:pos="4252"/>
        <w:tab w:val="right" w:pos="8504"/>
      </w:tabs>
    </w:pPr>
  </w:style>
  <w:style w:type="character" w:customStyle="1" w:styleId="RodapChar">
    <w:name w:val="Rodapé Char"/>
    <w:basedOn w:val="Fontepargpadro"/>
    <w:link w:val="Rodap"/>
    <w:uiPriority w:val="99"/>
    <w:rsid w:val="002F28F6"/>
  </w:style>
  <w:style w:type="paragraph" w:styleId="PargrafodaLista">
    <w:name w:val="List Paragraph"/>
    <w:basedOn w:val="Normal"/>
    <w:uiPriority w:val="34"/>
    <w:qFormat/>
    <w:rsid w:val="00BB4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8034</Words>
  <Characters>43384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2021-02-18T17:55:00Z</dcterms:created>
  <dcterms:modified xsi:type="dcterms:W3CDTF">2021-02-19T02:37:00Z</dcterms:modified>
</cp:coreProperties>
</file>