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576B9" w14:textId="4783BE4E" w:rsidR="00B07A1B" w:rsidRPr="00596D1F" w:rsidRDefault="006A4C5F" w:rsidP="00293098">
      <w:pPr>
        <w:spacing w:after="0" w:line="240" w:lineRule="auto"/>
        <w:jc w:val="center"/>
        <w:rPr>
          <w:rFonts w:ascii="Times New Roman" w:hAnsi="Times New Roman"/>
          <w:b/>
          <w:color w:val="000000" w:themeColor="text1"/>
          <w:sz w:val="24"/>
          <w:szCs w:val="24"/>
        </w:rPr>
      </w:pPr>
      <w:r w:rsidRPr="00596D1F">
        <w:rPr>
          <w:rFonts w:ascii="Times New Roman" w:hAnsi="Times New Roman"/>
          <w:b/>
          <w:color w:val="000000" w:themeColor="text1"/>
          <w:sz w:val="24"/>
          <w:szCs w:val="24"/>
        </w:rPr>
        <w:t xml:space="preserve">Lei </w:t>
      </w:r>
      <w:r w:rsidR="000D4EFE">
        <w:rPr>
          <w:rFonts w:ascii="Times New Roman" w:hAnsi="Times New Roman"/>
          <w:b/>
          <w:color w:val="000000" w:themeColor="text1"/>
          <w:sz w:val="24"/>
          <w:szCs w:val="24"/>
        </w:rPr>
        <w:t>d</w:t>
      </w:r>
      <w:r w:rsidR="000D4EFE" w:rsidRPr="00596D1F">
        <w:rPr>
          <w:rFonts w:ascii="Times New Roman" w:hAnsi="Times New Roman"/>
          <w:b/>
          <w:color w:val="000000" w:themeColor="text1"/>
          <w:sz w:val="24"/>
          <w:szCs w:val="24"/>
        </w:rPr>
        <w:t xml:space="preserve">e Acesso </w:t>
      </w:r>
      <w:r w:rsidR="000D4EFE">
        <w:rPr>
          <w:rFonts w:ascii="Times New Roman" w:hAnsi="Times New Roman"/>
          <w:b/>
          <w:color w:val="000000" w:themeColor="text1"/>
          <w:sz w:val="24"/>
          <w:szCs w:val="24"/>
        </w:rPr>
        <w:t>à</w:t>
      </w:r>
      <w:r w:rsidR="000D4EFE" w:rsidRPr="00596D1F">
        <w:rPr>
          <w:rFonts w:ascii="Times New Roman" w:hAnsi="Times New Roman"/>
          <w:b/>
          <w:color w:val="000000" w:themeColor="text1"/>
          <w:sz w:val="24"/>
          <w:szCs w:val="24"/>
        </w:rPr>
        <w:t xml:space="preserve"> Informação (</w:t>
      </w:r>
      <w:r>
        <w:rPr>
          <w:rFonts w:ascii="Times New Roman" w:hAnsi="Times New Roman"/>
          <w:b/>
          <w:color w:val="000000" w:themeColor="text1"/>
          <w:sz w:val="24"/>
          <w:szCs w:val="24"/>
        </w:rPr>
        <w:t>LAI</w:t>
      </w:r>
      <w:r w:rsidR="000D4EFE" w:rsidRPr="00596D1F">
        <w:rPr>
          <w:rFonts w:ascii="Times New Roman" w:hAnsi="Times New Roman"/>
          <w:b/>
          <w:color w:val="000000" w:themeColor="text1"/>
          <w:sz w:val="24"/>
          <w:szCs w:val="24"/>
        </w:rPr>
        <w:t xml:space="preserve">) </w:t>
      </w:r>
      <w:r w:rsidR="000D4EFE">
        <w:rPr>
          <w:rFonts w:ascii="Times New Roman" w:hAnsi="Times New Roman"/>
          <w:b/>
          <w:color w:val="000000" w:themeColor="text1"/>
          <w:sz w:val="24"/>
          <w:szCs w:val="24"/>
        </w:rPr>
        <w:t>e</w:t>
      </w:r>
      <w:r w:rsidR="000D4EFE" w:rsidRPr="00596D1F">
        <w:rPr>
          <w:rFonts w:ascii="Times New Roman" w:hAnsi="Times New Roman"/>
          <w:b/>
          <w:color w:val="000000" w:themeColor="text1"/>
          <w:sz w:val="24"/>
          <w:szCs w:val="24"/>
        </w:rPr>
        <w:t xml:space="preserve"> Comportamento </w:t>
      </w:r>
      <w:r w:rsidR="000D4EFE">
        <w:rPr>
          <w:rFonts w:ascii="Times New Roman" w:hAnsi="Times New Roman"/>
          <w:b/>
          <w:color w:val="000000" w:themeColor="text1"/>
          <w:sz w:val="24"/>
          <w:szCs w:val="24"/>
        </w:rPr>
        <w:t>d</w:t>
      </w:r>
      <w:r w:rsidR="000D4EFE" w:rsidRPr="00596D1F">
        <w:rPr>
          <w:rFonts w:ascii="Times New Roman" w:hAnsi="Times New Roman"/>
          <w:b/>
          <w:color w:val="000000" w:themeColor="text1"/>
          <w:sz w:val="24"/>
          <w:szCs w:val="24"/>
        </w:rPr>
        <w:t xml:space="preserve">e Agentes </w:t>
      </w:r>
      <w:r w:rsidR="000D4EFE">
        <w:rPr>
          <w:rFonts w:ascii="Times New Roman" w:hAnsi="Times New Roman"/>
          <w:b/>
          <w:color w:val="000000" w:themeColor="text1"/>
          <w:sz w:val="24"/>
          <w:szCs w:val="24"/>
        </w:rPr>
        <w:t>Fiscalizadores</w:t>
      </w:r>
      <w:r w:rsidR="000D4EFE" w:rsidRPr="00596D1F">
        <w:rPr>
          <w:rFonts w:ascii="Times New Roman" w:hAnsi="Times New Roman"/>
          <w:b/>
          <w:color w:val="000000" w:themeColor="text1"/>
          <w:sz w:val="24"/>
          <w:szCs w:val="24"/>
        </w:rPr>
        <w:t xml:space="preserve"> </w:t>
      </w:r>
      <w:r w:rsidR="000D4EFE">
        <w:rPr>
          <w:rFonts w:ascii="Times New Roman" w:hAnsi="Times New Roman"/>
          <w:b/>
          <w:color w:val="000000" w:themeColor="text1"/>
          <w:sz w:val="24"/>
          <w:szCs w:val="24"/>
        </w:rPr>
        <w:t>d</w:t>
      </w:r>
      <w:r w:rsidR="000D4EFE" w:rsidRPr="00596D1F">
        <w:rPr>
          <w:rFonts w:ascii="Times New Roman" w:hAnsi="Times New Roman"/>
          <w:b/>
          <w:color w:val="000000" w:themeColor="text1"/>
          <w:sz w:val="24"/>
          <w:szCs w:val="24"/>
        </w:rPr>
        <w:t xml:space="preserve">e </w:t>
      </w:r>
      <w:r w:rsidR="000D4EFE">
        <w:rPr>
          <w:rFonts w:ascii="Times New Roman" w:hAnsi="Times New Roman"/>
          <w:b/>
          <w:color w:val="000000" w:themeColor="text1"/>
          <w:sz w:val="24"/>
          <w:szCs w:val="24"/>
        </w:rPr>
        <w:t>u</w:t>
      </w:r>
      <w:r w:rsidR="000D4EFE" w:rsidRPr="00596D1F">
        <w:rPr>
          <w:rFonts w:ascii="Times New Roman" w:hAnsi="Times New Roman"/>
          <w:b/>
          <w:color w:val="000000" w:themeColor="text1"/>
          <w:sz w:val="24"/>
          <w:szCs w:val="24"/>
        </w:rPr>
        <w:t xml:space="preserve">m Tribunal </w:t>
      </w:r>
      <w:r w:rsidR="000D4EFE">
        <w:rPr>
          <w:rFonts w:ascii="Times New Roman" w:hAnsi="Times New Roman"/>
          <w:b/>
          <w:color w:val="000000" w:themeColor="text1"/>
          <w:sz w:val="24"/>
          <w:szCs w:val="24"/>
        </w:rPr>
        <w:t>d</w:t>
      </w:r>
      <w:r w:rsidR="000D4EFE" w:rsidRPr="00596D1F">
        <w:rPr>
          <w:rFonts w:ascii="Times New Roman" w:hAnsi="Times New Roman"/>
          <w:b/>
          <w:color w:val="000000" w:themeColor="text1"/>
          <w:sz w:val="24"/>
          <w:szCs w:val="24"/>
        </w:rPr>
        <w:t>e Contas</w:t>
      </w:r>
    </w:p>
    <w:p w14:paraId="5CC74C1B" w14:textId="77777777" w:rsidR="006A4C5F" w:rsidRDefault="006A4C5F" w:rsidP="00293098">
      <w:pPr>
        <w:spacing w:after="0" w:line="240" w:lineRule="auto"/>
        <w:jc w:val="center"/>
        <w:rPr>
          <w:rFonts w:ascii="Times New Roman" w:hAnsi="Times New Roman"/>
          <w:b/>
          <w:color w:val="000000" w:themeColor="text1"/>
          <w:sz w:val="24"/>
          <w:szCs w:val="24"/>
        </w:rPr>
      </w:pPr>
    </w:p>
    <w:p w14:paraId="64BF9D98" w14:textId="3B02BF50" w:rsidR="006A4C5F" w:rsidRDefault="006A4C5F" w:rsidP="00293098">
      <w:pPr>
        <w:spacing w:after="0" w:line="240" w:lineRule="auto"/>
        <w:jc w:val="center"/>
        <w:rPr>
          <w:rFonts w:ascii="Times New Roman" w:hAnsi="Times New Roman"/>
          <w:b/>
          <w:bCs/>
          <w:color w:val="282828"/>
          <w:sz w:val="24"/>
          <w:szCs w:val="24"/>
          <w:shd w:val="clear" w:color="auto" w:fill="FFFFFF"/>
          <w:lang w:val="en-US"/>
        </w:rPr>
      </w:pPr>
      <w:r w:rsidRPr="005A7717">
        <w:rPr>
          <w:rFonts w:ascii="Times New Roman" w:hAnsi="Times New Roman"/>
          <w:b/>
          <w:bCs/>
          <w:color w:val="282828"/>
          <w:sz w:val="24"/>
          <w:szCs w:val="24"/>
          <w:shd w:val="clear" w:color="auto" w:fill="FFFFFF"/>
          <w:lang w:val="en-US"/>
        </w:rPr>
        <w:t xml:space="preserve">Law </w:t>
      </w:r>
      <w:r w:rsidR="000D4EFE">
        <w:rPr>
          <w:rFonts w:ascii="Times New Roman" w:hAnsi="Times New Roman"/>
          <w:b/>
          <w:bCs/>
          <w:color w:val="282828"/>
          <w:sz w:val="24"/>
          <w:szCs w:val="24"/>
          <w:shd w:val="clear" w:color="auto" w:fill="FFFFFF"/>
          <w:lang w:val="en-US"/>
        </w:rPr>
        <w:t>o</w:t>
      </w:r>
      <w:r w:rsidR="000D4EFE" w:rsidRPr="005A7717">
        <w:rPr>
          <w:rFonts w:ascii="Times New Roman" w:hAnsi="Times New Roman"/>
          <w:b/>
          <w:bCs/>
          <w:color w:val="282828"/>
          <w:sz w:val="24"/>
          <w:szCs w:val="24"/>
          <w:shd w:val="clear" w:color="auto" w:fill="FFFFFF"/>
          <w:lang w:val="en-US"/>
        </w:rPr>
        <w:t xml:space="preserve">n Access </w:t>
      </w:r>
      <w:r w:rsidR="000D4EFE">
        <w:rPr>
          <w:rFonts w:ascii="Times New Roman" w:hAnsi="Times New Roman"/>
          <w:b/>
          <w:bCs/>
          <w:color w:val="282828"/>
          <w:sz w:val="24"/>
          <w:szCs w:val="24"/>
          <w:shd w:val="clear" w:color="auto" w:fill="FFFFFF"/>
          <w:lang w:val="en-US"/>
        </w:rPr>
        <w:t>t</w:t>
      </w:r>
      <w:r w:rsidR="000D4EFE" w:rsidRPr="005A7717">
        <w:rPr>
          <w:rFonts w:ascii="Times New Roman" w:hAnsi="Times New Roman"/>
          <w:b/>
          <w:bCs/>
          <w:color w:val="282828"/>
          <w:sz w:val="24"/>
          <w:szCs w:val="24"/>
          <w:shd w:val="clear" w:color="auto" w:fill="FFFFFF"/>
          <w:lang w:val="en-US"/>
        </w:rPr>
        <w:t>o Information (</w:t>
      </w:r>
      <w:r w:rsidR="00DD0097">
        <w:rPr>
          <w:rFonts w:ascii="Times New Roman" w:hAnsi="Times New Roman"/>
          <w:b/>
          <w:bCs/>
          <w:color w:val="282828"/>
          <w:sz w:val="24"/>
          <w:szCs w:val="24"/>
          <w:shd w:val="clear" w:color="auto" w:fill="FFFFFF"/>
          <w:lang w:val="en-US"/>
        </w:rPr>
        <w:t>LAI</w:t>
      </w:r>
      <w:r w:rsidR="000D4EFE" w:rsidRPr="005A7717">
        <w:rPr>
          <w:rFonts w:ascii="Times New Roman" w:hAnsi="Times New Roman"/>
          <w:b/>
          <w:bCs/>
          <w:color w:val="282828"/>
          <w:sz w:val="24"/>
          <w:szCs w:val="24"/>
          <w:shd w:val="clear" w:color="auto" w:fill="FFFFFF"/>
          <w:lang w:val="en-US"/>
        </w:rPr>
        <w:t xml:space="preserve">) </w:t>
      </w:r>
      <w:r w:rsidR="000D4EFE">
        <w:rPr>
          <w:rFonts w:ascii="Times New Roman" w:hAnsi="Times New Roman"/>
          <w:b/>
          <w:bCs/>
          <w:color w:val="282828"/>
          <w:sz w:val="24"/>
          <w:szCs w:val="24"/>
          <w:shd w:val="clear" w:color="auto" w:fill="FFFFFF"/>
          <w:lang w:val="en-US"/>
        </w:rPr>
        <w:t>a</w:t>
      </w:r>
      <w:r w:rsidR="000D4EFE" w:rsidRPr="005A7717">
        <w:rPr>
          <w:rFonts w:ascii="Times New Roman" w:hAnsi="Times New Roman"/>
          <w:b/>
          <w:bCs/>
          <w:color w:val="282828"/>
          <w:sz w:val="24"/>
          <w:szCs w:val="24"/>
          <w:shd w:val="clear" w:color="auto" w:fill="FFFFFF"/>
          <w:lang w:val="en-US"/>
        </w:rPr>
        <w:t xml:space="preserve">nd Behavior </w:t>
      </w:r>
      <w:r w:rsidR="000D4EFE">
        <w:rPr>
          <w:rFonts w:ascii="Times New Roman" w:hAnsi="Times New Roman"/>
          <w:b/>
          <w:bCs/>
          <w:color w:val="282828"/>
          <w:sz w:val="24"/>
          <w:szCs w:val="24"/>
          <w:shd w:val="clear" w:color="auto" w:fill="FFFFFF"/>
          <w:lang w:val="en-US"/>
        </w:rPr>
        <w:t>o</w:t>
      </w:r>
      <w:r w:rsidR="000D4EFE" w:rsidRPr="005A7717">
        <w:rPr>
          <w:rFonts w:ascii="Times New Roman" w:hAnsi="Times New Roman"/>
          <w:b/>
          <w:bCs/>
          <w:color w:val="282828"/>
          <w:sz w:val="24"/>
          <w:szCs w:val="24"/>
          <w:shd w:val="clear" w:color="auto" w:fill="FFFFFF"/>
          <w:lang w:val="en-US"/>
        </w:rPr>
        <w:t xml:space="preserve">f Surveillance Agents </w:t>
      </w:r>
      <w:r w:rsidR="000D4EFE">
        <w:rPr>
          <w:rFonts w:ascii="Times New Roman" w:hAnsi="Times New Roman"/>
          <w:b/>
          <w:bCs/>
          <w:color w:val="282828"/>
          <w:sz w:val="24"/>
          <w:szCs w:val="24"/>
          <w:shd w:val="clear" w:color="auto" w:fill="FFFFFF"/>
          <w:lang w:val="en-US"/>
        </w:rPr>
        <w:t>i</w:t>
      </w:r>
      <w:r w:rsidR="000D4EFE" w:rsidRPr="005A7717">
        <w:rPr>
          <w:rFonts w:ascii="Times New Roman" w:hAnsi="Times New Roman"/>
          <w:b/>
          <w:bCs/>
          <w:color w:val="282828"/>
          <w:sz w:val="24"/>
          <w:szCs w:val="24"/>
          <w:shd w:val="clear" w:color="auto" w:fill="FFFFFF"/>
          <w:lang w:val="en-US"/>
        </w:rPr>
        <w:t xml:space="preserve">n </w:t>
      </w:r>
      <w:r w:rsidR="000D4EFE">
        <w:rPr>
          <w:rFonts w:ascii="Times New Roman" w:hAnsi="Times New Roman"/>
          <w:b/>
          <w:bCs/>
          <w:color w:val="282828"/>
          <w:sz w:val="24"/>
          <w:szCs w:val="24"/>
          <w:shd w:val="clear" w:color="auto" w:fill="FFFFFF"/>
          <w:lang w:val="en-US"/>
        </w:rPr>
        <w:t>a</w:t>
      </w:r>
      <w:r w:rsidR="000D4EFE" w:rsidRPr="005A7717">
        <w:rPr>
          <w:rFonts w:ascii="Times New Roman" w:hAnsi="Times New Roman"/>
          <w:b/>
          <w:bCs/>
          <w:color w:val="282828"/>
          <w:sz w:val="24"/>
          <w:szCs w:val="24"/>
          <w:shd w:val="clear" w:color="auto" w:fill="FFFFFF"/>
          <w:lang w:val="en-US"/>
        </w:rPr>
        <w:t xml:space="preserve"> Court </w:t>
      </w:r>
      <w:r w:rsidR="000D4EFE">
        <w:rPr>
          <w:rFonts w:ascii="Times New Roman" w:hAnsi="Times New Roman"/>
          <w:b/>
          <w:bCs/>
          <w:color w:val="282828"/>
          <w:sz w:val="24"/>
          <w:szCs w:val="24"/>
          <w:shd w:val="clear" w:color="auto" w:fill="FFFFFF"/>
          <w:lang w:val="en-US"/>
        </w:rPr>
        <w:t>o</w:t>
      </w:r>
      <w:r w:rsidR="000D4EFE" w:rsidRPr="005A7717">
        <w:rPr>
          <w:rFonts w:ascii="Times New Roman" w:hAnsi="Times New Roman"/>
          <w:b/>
          <w:bCs/>
          <w:color w:val="282828"/>
          <w:sz w:val="24"/>
          <w:szCs w:val="24"/>
          <w:shd w:val="clear" w:color="auto" w:fill="FFFFFF"/>
          <w:lang w:val="en-US"/>
        </w:rPr>
        <w:t>f Auditors</w:t>
      </w:r>
    </w:p>
    <w:p w14:paraId="7BDCB54F" w14:textId="3F75BFBB" w:rsidR="005A3EF6" w:rsidRDefault="005A3EF6" w:rsidP="00293098">
      <w:pPr>
        <w:spacing w:after="0" w:line="240" w:lineRule="auto"/>
        <w:jc w:val="center"/>
        <w:rPr>
          <w:rFonts w:ascii="Times New Roman" w:hAnsi="Times New Roman"/>
          <w:b/>
          <w:color w:val="000000" w:themeColor="text1"/>
          <w:sz w:val="24"/>
          <w:szCs w:val="24"/>
        </w:rPr>
      </w:pPr>
    </w:p>
    <w:p w14:paraId="4544E485" w14:textId="77777777" w:rsidR="00572EEE" w:rsidRDefault="00572EEE" w:rsidP="00572EEE">
      <w:pPr>
        <w:shd w:val="clear" w:color="auto" w:fill="FFFFFF"/>
        <w:spacing w:after="0" w:line="240" w:lineRule="auto"/>
        <w:jc w:val="center"/>
        <w:rPr>
          <w:rFonts w:ascii="Times New Roman" w:eastAsia="Times New Roman" w:hAnsi="Times New Roman"/>
          <w:b/>
          <w:bCs/>
          <w:color w:val="000000"/>
          <w:sz w:val="24"/>
          <w:szCs w:val="24"/>
          <w:lang w:eastAsia="pt-BR"/>
        </w:rPr>
      </w:pPr>
      <w:r>
        <w:rPr>
          <w:rFonts w:ascii="Times New Roman" w:eastAsia="Times New Roman" w:hAnsi="Times New Roman"/>
          <w:b/>
          <w:bCs/>
          <w:color w:val="000000"/>
          <w:sz w:val="24"/>
          <w:szCs w:val="24"/>
          <w:lang w:eastAsia="pt-BR"/>
        </w:rPr>
        <w:t>Lúcio de Souza Machado</w:t>
      </w:r>
    </w:p>
    <w:p w14:paraId="7EFF9509" w14:textId="77777777" w:rsidR="00572EEE" w:rsidRDefault="00572EEE" w:rsidP="00572EEE">
      <w:pPr>
        <w:shd w:val="clear" w:color="auto" w:fill="FFFFFF"/>
        <w:spacing w:after="0" w:line="240" w:lineRule="auto"/>
        <w:jc w:val="center"/>
        <w:rPr>
          <w:rFonts w:ascii="Times New Roman" w:hAnsi="Times New Roman"/>
          <w:sz w:val="24"/>
          <w:szCs w:val="24"/>
          <w:shd w:val="clear" w:color="auto" w:fill="FFFFFF"/>
        </w:rPr>
      </w:pPr>
      <w:r>
        <w:rPr>
          <w:rFonts w:ascii="Times New Roman" w:eastAsia="Times New Roman" w:hAnsi="Times New Roman"/>
          <w:sz w:val="24"/>
          <w:szCs w:val="24"/>
          <w:lang w:eastAsia="pt-BR"/>
        </w:rPr>
        <w:t xml:space="preserve">Doutor em Psicologia pela Pontifícia Universidade Católica de Goiás (PUC-GO). Docente do curso de Ciências Contábeis da Universidade Federal de Goiás (UFG). Contato: </w:t>
      </w:r>
      <w:r>
        <w:rPr>
          <w:rFonts w:ascii="Times New Roman" w:hAnsi="Times New Roman"/>
          <w:sz w:val="24"/>
          <w:szCs w:val="24"/>
          <w:shd w:val="clear" w:color="auto" w:fill="FFFFFF"/>
        </w:rPr>
        <w:t xml:space="preserve">Rua T-30, 1.081, Setor Bueno, Goiânia, GO. E-mail: </w:t>
      </w:r>
      <w:hyperlink r:id="rId8" w:history="1">
        <w:r>
          <w:rPr>
            <w:rStyle w:val="Hyperlink"/>
            <w:rFonts w:ascii="Times New Roman" w:hAnsi="Times New Roman"/>
            <w:shd w:val="clear" w:color="auto" w:fill="FFFFFF"/>
          </w:rPr>
          <w:t>luciomachado@ufg.br</w:t>
        </w:r>
      </w:hyperlink>
    </w:p>
    <w:p w14:paraId="2E057F7E" w14:textId="77777777" w:rsidR="00572EEE" w:rsidRDefault="00572EEE" w:rsidP="00572EEE">
      <w:pPr>
        <w:spacing w:after="0" w:line="240" w:lineRule="auto"/>
        <w:jc w:val="center"/>
        <w:rPr>
          <w:rFonts w:ascii="Times New Roman" w:hAnsi="Times New Roman"/>
          <w:b/>
          <w:color w:val="000000" w:themeColor="text1"/>
          <w:sz w:val="24"/>
          <w:szCs w:val="24"/>
        </w:rPr>
      </w:pPr>
    </w:p>
    <w:p w14:paraId="23F8DD1E" w14:textId="77777777" w:rsidR="00572EEE" w:rsidRDefault="00572EEE" w:rsidP="00572EEE">
      <w:pPr>
        <w:spacing w:after="0" w:line="240" w:lineRule="auto"/>
        <w:jc w:val="center"/>
        <w:rPr>
          <w:rFonts w:ascii="Times New Roman" w:hAnsi="Times New Roman"/>
          <w:b/>
          <w:sz w:val="24"/>
          <w:szCs w:val="24"/>
        </w:rPr>
      </w:pPr>
      <w:r>
        <w:rPr>
          <w:rFonts w:ascii="Times New Roman" w:hAnsi="Times New Roman"/>
          <w:b/>
          <w:sz w:val="24"/>
          <w:szCs w:val="24"/>
        </w:rPr>
        <w:t xml:space="preserve">Lauro Eugênio Guimarães </w:t>
      </w:r>
      <w:proofErr w:type="spellStart"/>
      <w:r>
        <w:rPr>
          <w:rFonts w:ascii="Times New Roman" w:hAnsi="Times New Roman"/>
          <w:b/>
          <w:sz w:val="24"/>
          <w:szCs w:val="24"/>
        </w:rPr>
        <w:t>Nalini</w:t>
      </w:r>
      <w:proofErr w:type="spellEnd"/>
    </w:p>
    <w:p w14:paraId="1D47814C" w14:textId="77777777" w:rsidR="00572EEE" w:rsidRDefault="00572EEE" w:rsidP="00572EEE">
      <w:pPr>
        <w:spacing w:after="0" w:line="240" w:lineRule="auto"/>
        <w:jc w:val="center"/>
        <w:rPr>
          <w:rFonts w:ascii="Times New Roman" w:hAnsi="Times New Roman"/>
          <w:b/>
          <w:sz w:val="24"/>
          <w:szCs w:val="24"/>
        </w:rPr>
      </w:pPr>
      <w:r>
        <w:rPr>
          <w:rFonts w:ascii="Times New Roman" w:hAnsi="Times New Roman"/>
          <w:sz w:val="24"/>
          <w:szCs w:val="24"/>
          <w:shd w:val="clear" w:color="auto" w:fill="FFFFFF"/>
        </w:rPr>
        <w:t>Doutor em Psicologia pela Universidade de Brasília (UNB). Docente do Programa de Pós-Graduação Stricto Sensu em Psicologia da Pontifícia Universidade Católica de Goiás.</w:t>
      </w:r>
      <w:r>
        <w:rPr>
          <w:rFonts w:ascii="Times New Roman" w:hAnsi="Times New Roman"/>
          <w:sz w:val="24"/>
          <w:szCs w:val="24"/>
        </w:rPr>
        <w:br w:type="textWrapping" w:clear="all"/>
      </w:r>
      <w:r>
        <w:rPr>
          <w:rFonts w:ascii="Times New Roman" w:hAnsi="Times New Roman"/>
          <w:sz w:val="24"/>
          <w:szCs w:val="24"/>
          <w:shd w:val="clear" w:color="auto" w:fill="FFFFFF"/>
        </w:rPr>
        <w:t xml:space="preserve">Avenida Universitária, nº 1440, Setor Universitário, Goiânia, GO. E-mail: </w:t>
      </w:r>
      <w:hyperlink r:id="rId9" w:history="1">
        <w:r>
          <w:rPr>
            <w:rStyle w:val="Hyperlink"/>
            <w:rFonts w:ascii="Times New Roman" w:hAnsi="Times New Roman"/>
            <w:shd w:val="clear" w:color="auto" w:fill="FFFFFF"/>
          </w:rPr>
          <w:t>nalini00@gmail.com</w:t>
        </w:r>
      </w:hyperlink>
      <w:r>
        <w:rPr>
          <w:rFonts w:ascii="Times New Roman" w:hAnsi="Times New Roman"/>
          <w:sz w:val="24"/>
          <w:szCs w:val="24"/>
        </w:rPr>
        <w:br w:type="textWrapping" w:clear="all"/>
      </w:r>
    </w:p>
    <w:p w14:paraId="5B37F954" w14:textId="77777777" w:rsidR="00572EEE" w:rsidRDefault="00572EEE" w:rsidP="00572EEE">
      <w:pPr>
        <w:spacing w:after="0" w:line="240" w:lineRule="auto"/>
        <w:jc w:val="center"/>
        <w:rPr>
          <w:rFonts w:ascii="Times New Roman" w:hAnsi="Times New Roman"/>
          <w:b/>
          <w:sz w:val="24"/>
          <w:szCs w:val="24"/>
        </w:rPr>
      </w:pPr>
      <w:r>
        <w:rPr>
          <w:rFonts w:ascii="Times New Roman" w:hAnsi="Times New Roman"/>
          <w:b/>
          <w:sz w:val="24"/>
          <w:szCs w:val="24"/>
        </w:rPr>
        <w:t>Michele Rilany Rodrigues Machado</w:t>
      </w:r>
    </w:p>
    <w:p w14:paraId="0D64F89D" w14:textId="77777777" w:rsidR="00572EEE" w:rsidRDefault="00572EEE" w:rsidP="00572EEE">
      <w:pPr>
        <w:shd w:val="clear" w:color="auto" w:fill="FFFFFF"/>
        <w:spacing w:after="0" w:line="240" w:lineRule="auto"/>
        <w:jc w:val="center"/>
        <w:rPr>
          <w:rFonts w:ascii="Times New Roman" w:hAnsi="Times New Roman"/>
          <w:color w:val="555555"/>
          <w:sz w:val="24"/>
          <w:szCs w:val="24"/>
          <w:shd w:val="clear" w:color="auto" w:fill="FFFFFF"/>
        </w:rPr>
      </w:pPr>
      <w:r>
        <w:rPr>
          <w:rFonts w:ascii="Times New Roman" w:eastAsia="Times New Roman" w:hAnsi="Times New Roman"/>
          <w:sz w:val="24"/>
          <w:szCs w:val="24"/>
          <w:lang w:eastAsia="pt-BR"/>
        </w:rPr>
        <w:t xml:space="preserve">Doutora em Administração pela Universidade de Brasília (UNB). Docente do curso de Ciências Contábeis da Universidade Federal de Goiás (UFG). Contato: </w:t>
      </w:r>
      <w:r>
        <w:rPr>
          <w:rFonts w:ascii="Times New Roman" w:hAnsi="Times New Roman"/>
          <w:sz w:val="24"/>
          <w:szCs w:val="24"/>
          <w:shd w:val="clear" w:color="auto" w:fill="FFFFFF"/>
        </w:rPr>
        <w:t xml:space="preserve">Rua T-30, 1.081, Setor Bueno, Goiânia, GO. E-mail: </w:t>
      </w:r>
      <w:hyperlink r:id="rId10" w:history="1">
        <w:r>
          <w:rPr>
            <w:rStyle w:val="Hyperlink"/>
            <w:rFonts w:ascii="Times New Roman" w:hAnsi="Times New Roman"/>
            <w:shd w:val="clear" w:color="auto" w:fill="FFFFFF"/>
          </w:rPr>
          <w:t>michelerilany@gmail.com</w:t>
        </w:r>
      </w:hyperlink>
    </w:p>
    <w:p w14:paraId="234948B2" w14:textId="77777777" w:rsidR="00572EEE" w:rsidRPr="00596D1F" w:rsidRDefault="00572EEE" w:rsidP="00293098">
      <w:pPr>
        <w:spacing w:after="0" w:line="240" w:lineRule="auto"/>
        <w:jc w:val="center"/>
        <w:rPr>
          <w:rFonts w:ascii="Times New Roman" w:hAnsi="Times New Roman"/>
          <w:b/>
          <w:color w:val="000000" w:themeColor="text1"/>
          <w:sz w:val="24"/>
          <w:szCs w:val="24"/>
        </w:rPr>
      </w:pPr>
    </w:p>
    <w:p w14:paraId="03EA6C60" w14:textId="442FDEC7" w:rsidR="005543A5" w:rsidRDefault="005543A5" w:rsidP="00DD0097">
      <w:pPr>
        <w:spacing w:after="0" w:line="240" w:lineRule="auto"/>
        <w:rPr>
          <w:rFonts w:ascii="Times New Roman" w:hAnsi="Times New Roman"/>
          <w:b/>
          <w:color w:val="000000" w:themeColor="text1"/>
          <w:sz w:val="24"/>
          <w:szCs w:val="24"/>
        </w:rPr>
      </w:pPr>
      <w:r w:rsidRPr="00596D1F">
        <w:rPr>
          <w:rFonts w:ascii="Times New Roman" w:hAnsi="Times New Roman"/>
          <w:b/>
          <w:color w:val="000000" w:themeColor="text1"/>
          <w:sz w:val="24"/>
          <w:szCs w:val="24"/>
        </w:rPr>
        <w:t>Resumo</w:t>
      </w:r>
    </w:p>
    <w:p w14:paraId="44A5F1E0" w14:textId="77777777" w:rsidR="00AA26DE" w:rsidRDefault="00AA26DE" w:rsidP="00D21FA3">
      <w:pPr>
        <w:autoSpaceDE w:val="0"/>
        <w:autoSpaceDN w:val="0"/>
        <w:adjustRightInd w:val="0"/>
        <w:spacing w:after="0" w:line="240" w:lineRule="auto"/>
        <w:jc w:val="both"/>
        <w:rPr>
          <w:rFonts w:ascii="Times New Roman" w:hAnsi="Times New Roman"/>
          <w:color w:val="000000" w:themeColor="text1"/>
          <w:sz w:val="24"/>
          <w:szCs w:val="24"/>
        </w:rPr>
      </w:pPr>
    </w:p>
    <w:p w14:paraId="761A2F60" w14:textId="31ED61B0" w:rsidR="002B127B" w:rsidRPr="00596D1F" w:rsidRDefault="00AA26DE" w:rsidP="00AA26DE">
      <w:pPr>
        <w:spacing w:after="0" w:line="240" w:lineRule="auto"/>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t-BR"/>
        </w:rPr>
        <w:t xml:space="preserve">O estudo </w:t>
      </w:r>
      <w:r w:rsidR="00C079FF">
        <w:rPr>
          <w:rFonts w:ascii="Times New Roman" w:eastAsia="Times New Roman" w:hAnsi="Times New Roman"/>
          <w:color w:val="000000" w:themeColor="text1"/>
          <w:sz w:val="24"/>
          <w:szCs w:val="24"/>
          <w:lang w:eastAsia="pt-BR"/>
        </w:rPr>
        <w:t>objetiva</w:t>
      </w:r>
      <w:r w:rsidRPr="00596D1F">
        <w:rPr>
          <w:rFonts w:ascii="Times New Roman" w:eastAsia="Times New Roman" w:hAnsi="Times New Roman"/>
          <w:color w:val="000000" w:themeColor="text1"/>
          <w:sz w:val="24"/>
          <w:szCs w:val="24"/>
          <w:lang w:eastAsia="pt-BR"/>
        </w:rPr>
        <w:t xml:space="preserve">, com base na teoria da análise do comportamento humano, </w:t>
      </w:r>
      <w:r w:rsidR="00C079FF">
        <w:rPr>
          <w:rFonts w:ascii="Times New Roman" w:eastAsia="Times New Roman" w:hAnsi="Times New Roman"/>
          <w:color w:val="000000" w:themeColor="text1"/>
          <w:sz w:val="24"/>
          <w:szCs w:val="24"/>
          <w:lang w:eastAsia="pt-BR"/>
        </w:rPr>
        <w:t xml:space="preserve">avaliar </w:t>
      </w:r>
      <w:r w:rsidRPr="00596D1F">
        <w:rPr>
          <w:rFonts w:ascii="Times New Roman" w:eastAsia="Times New Roman" w:hAnsi="Times New Roman"/>
          <w:color w:val="000000" w:themeColor="text1"/>
          <w:sz w:val="24"/>
          <w:szCs w:val="24"/>
          <w:lang w:eastAsia="pt-BR"/>
        </w:rPr>
        <w:t>o impacto da</w:t>
      </w:r>
      <w:r>
        <w:rPr>
          <w:rFonts w:ascii="Times New Roman" w:eastAsia="Times New Roman" w:hAnsi="Times New Roman"/>
          <w:color w:val="000000" w:themeColor="text1"/>
          <w:sz w:val="24"/>
          <w:szCs w:val="24"/>
          <w:lang w:eastAsia="pt-BR"/>
        </w:rPr>
        <w:t xml:space="preserve"> </w:t>
      </w:r>
      <w:r w:rsidRPr="00596D1F">
        <w:rPr>
          <w:rFonts w:ascii="Times New Roman" w:eastAsia="Times New Roman" w:hAnsi="Times New Roman"/>
          <w:color w:val="000000" w:themeColor="text1"/>
          <w:sz w:val="24"/>
          <w:szCs w:val="24"/>
          <w:lang w:eastAsia="pt-BR"/>
        </w:rPr>
        <w:t>Lei de Acesso à Informação</w:t>
      </w:r>
      <w:r>
        <w:rPr>
          <w:rFonts w:ascii="Times New Roman" w:eastAsia="Times New Roman" w:hAnsi="Times New Roman"/>
          <w:color w:val="000000" w:themeColor="text1"/>
          <w:sz w:val="24"/>
          <w:szCs w:val="24"/>
          <w:lang w:eastAsia="pt-BR"/>
        </w:rPr>
        <w:t xml:space="preserve"> (</w:t>
      </w:r>
      <w:r w:rsidRPr="00596D1F">
        <w:rPr>
          <w:rFonts w:ascii="Times New Roman" w:eastAsia="Times New Roman" w:hAnsi="Times New Roman"/>
          <w:color w:val="000000" w:themeColor="text1"/>
          <w:sz w:val="24"/>
          <w:szCs w:val="24"/>
          <w:lang w:eastAsia="pt-BR"/>
        </w:rPr>
        <w:t>LAI</w:t>
      </w:r>
      <w:r>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no comportamento dos agentes públicos</w:t>
      </w:r>
      <w:r w:rsidR="00DC7DAB">
        <w:rPr>
          <w:rFonts w:ascii="Times New Roman" w:eastAsia="Times New Roman" w:hAnsi="Times New Roman"/>
          <w:color w:val="000000" w:themeColor="text1"/>
          <w:sz w:val="24"/>
          <w:szCs w:val="24"/>
          <w:lang w:eastAsia="pt-BR"/>
        </w:rPr>
        <w:t xml:space="preserve"> do</w:t>
      </w:r>
      <w:r w:rsidRPr="00596D1F">
        <w:rPr>
          <w:rFonts w:ascii="Times New Roman" w:eastAsia="Times New Roman" w:hAnsi="Times New Roman"/>
          <w:color w:val="000000" w:themeColor="text1"/>
          <w:sz w:val="24"/>
          <w:szCs w:val="24"/>
          <w:lang w:eastAsia="pt-BR"/>
        </w:rPr>
        <w:t xml:space="preserve"> </w:t>
      </w:r>
      <w:r w:rsidR="0075044C" w:rsidRPr="00596D1F">
        <w:rPr>
          <w:rFonts w:ascii="Times New Roman" w:eastAsia="Times New Roman" w:hAnsi="Times New Roman"/>
          <w:color w:val="000000" w:themeColor="text1"/>
          <w:sz w:val="24"/>
          <w:szCs w:val="24"/>
          <w:lang w:eastAsia="pt-BR"/>
        </w:rPr>
        <w:t>Tribunal de Contas dos Municípios de Goiás</w:t>
      </w:r>
      <w:r w:rsidR="0075044C">
        <w:rPr>
          <w:rFonts w:ascii="Times New Roman" w:eastAsia="Times New Roman" w:hAnsi="Times New Roman"/>
          <w:color w:val="000000" w:themeColor="text1"/>
          <w:sz w:val="24"/>
          <w:szCs w:val="24"/>
          <w:lang w:eastAsia="pt-BR"/>
        </w:rPr>
        <w:t xml:space="preserve"> (TCM-GO)</w:t>
      </w:r>
      <w:r w:rsidRPr="00596D1F">
        <w:rPr>
          <w:rFonts w:ascii="Times New Roman" w:eastAsia="Times New Roman" w:hAnsi="Times New Roman"/>
          <w:color w:val="000000" w:themeColor="text1"/>
          <w:sz w:val="24"/>
          <w:szCs w:val="24"/>
          <w:lang w:eastAsia="pt-BR"/>
        </w:rPr>
        <w:t xml:space="preserve">. </w:t>
      </w:r>
      <w:r w:rsidRPr="00596D1F">
        <w:rPr>
          <w:rFonts w:ascii="Times New Roman" w:hAnsi="Times New Roman"/>
          <w:color w:val="000000" w:themeColor="text1"/>
          <w:sz w:val="24"/>
          <w:szCs w:val="24"/>
        </w:rPr>
        <w:t>Diante do exposto, a contribuição central da pesquisa é descrever e avaliar as consequências previstas na regra, no caso um estímulo discriminativo, na maneira de agir das pessoas</w:t>
      </w:r>
      <w:r>
        <w:rPr>
          <w:rFonts w:ascii="Times New Roman" w:hAnsi="Times New Roman"/>
          <w:color w:val="000000" w:themeColor="text1"/>
          <w:sz w:val="24"/>
          <w:szCs w:val="24"/>
        </w:rPr>
        <w:t xml:space="preserve"> sujeitas à mesma. Para alcançar o objetivo e testar a hipótese de que </w:t>
      </w:r>
      <w:r w:rsidRPr="00596D1F">
        <w:rPr>
          <w:rFonts w:ascii="Times New Roman" w:hAnsi="Times New Roman"/>
          <w:color w:val="000000" w:themeColor="text1"/>
          <w:sz w:val="24"/>
          <w:szCs w:val="24"/>
        </w:rPr>
        <w:t xml:space="preserve">existe uma relação positiva e relevante entre a </w:t>
      </w:r>
      <w:r>
        <w:rPr>
          <w:rFonts w:ascii="Times New Roman" w:hAnsi="Times New Roman"/>
          <w:color w:val="000000" w:themeColor="text1"/>
          <w:sz w:val="24"/>
          <w:szCs w:val="24"/>
        </w:rPr>
        <w:t>LAI</w:t>
      </w:r>
      <w:r w:rsidRPr="00596D1F">
        <w:rPr>
          <w:rFonts w:ascii="Times New Roman" w:hAnsi="Times New Roman"/>
          <w:color w:val="000000" w:themeColor="text1"/>
          <w:sz w:val="24"/>
          <w:szCs w:val="24"/>
        </w:rPr>
        <w:t xml:space="preserve"> e as punições impostas pelos agentes públicos do TCM-GO</w:t>
      </w:r>
      <w:r>
        <w:rPr>
          <w:rFonts w:ascii="Times New Roman" w:hAnsi="Times New Roman"/>
          <w:color w:val="000000" w:themeColor="text1"/>
          <w:sz w:val="24"/>
          <w:szCs w:val="24"/>
        </w:rPr>
        <w:t xml:space="preserve">, </w:t>
      </w:r>
      <w:r w:rsidR="00DC7DAB">
        <w:rPr>
          <w:rFonts w:ascii="Times New Roman" w:hAnsi="Times New Roman"/>
          <w:color w:val="000000" w:themeColor="text1"/>
          <w:sz w:val="24"/>
          <w:szCs w:val="24"/>
        </w:rPr>
        <w:t>é</w:t>
      </w:r>
      <w:r w:rsidR="002B127B" w:rsidRPr="00596D1F">
        <w:rPr>
          <w:rFonts w:ascii="Times New Roman" w:hAnsi="Times New Roman"/>
          <w:color w:val="000000" w:themeColor="text1"/>
          <w:sz w:val="24"/>
          <w:szCs w:val="24"/>
        </w:rPr>
        <w:t xml:space="preserve"> realizada uma pesquisa quantitativa,</w:t>
      </w:r>
      <w:r w:rsidR="004B5E0C" w:rsidRPr="00596D1F">
        <w:rPr>
          <w:rFonts w:ascii="Times New Roman" w:hAnsi="Times New Roman"/>
          <w:color w:val="000000" w:themeColor="text1"/>
          <w:sz w:val="24"/>
          <w:szCs w:val="24"/>
        </w:rPr>
        <w:t xml:space="preserve"> </w:t>
      </w:r>
      <w:r w:rsidR="002B127B" w:rsidRPr="00596D1F">
        <w:rPr>
          <w:rFonts w:ascii="Times New Roman" w:hAnsi="Times New Roman"/>
          <w:color w:val="000000" w:themeColor="text1"/>
          <w:sz w:val="24"/>
          <w:szCs w:val="24"/>
        </w:rPr>
        <w:t>em uma amostra de</w:t>
      </w:r>
      <w:r w:rsidR="00E50661" w:rsidRPr="00596D1F">
        <w:rPr>
          <w:rFonts w:ascii="Times New Roman" w:hAnsi="Times New Roman"/>
          <w:color w:val="000000" w:themeColor="text1"/>
          <w:sz w:val="24"/>
          <w:szCs w:val="24"/>
        </w:rPr>
        <w:t xml:space="preserve"> 58.001 processos julgados com imputação de débitos ou aplicação de multas aos gestores dos recursos públicos durante o período de janeiro de 2009 a dezembro de 2016</w:t>
      </w:r>
      <w:r w:rsidR="004478E9">
        <w:rPr>
          <w:rFonts w:ascii="Times New Roman" w:hAnsi="Times New Roman"/>
          <w:color w:val="000000" w:themeColor="text1"/>
          <w:sz w:val="24"/>
          <w:szCs w:val="24"/>
        </w:rPr>
        <w:t>. As penalidades foram adotadas como</w:t>
      </w:r>
      <w:r w:rsidR="002B127B" w:rsidRPr="00596D1F">
        <w:rPr>
          <w:rFonts w:ascii="Times New Roman" w:hAnsi="Times New Roman"/>
          <w:color w:val="000000" w:themeColor="text1"/>
          <w:sz w:val="24"/>
          <w:szCs w:val="24"/>
        </w:rPr>
        <w:t xml:space="preserve"> </w:t>
      </w:r>
      <w:r w:rsidR="002B127B" w:rsidRPr="00596D1F">
        <w:rPr>
          <w:rFonts w:ascii="Times New Roman" w:hAnsi="Times New Roman"/>
          <w:i/>
          <w:color w:val="000000" w:themeColor="text1"/>
          <w:sz w:val="24"/>
          <w:szCs w:val="24"/>
        </w:rPr>
        <w:t>proxy</w:t>
      </w:r>
      <w:r w:rsidR="002B127B" w:rsidRPr="00596D1F">
        <w:rPr>
          <w:rFonts w:ascii="Times New Roman" w:hAnsi="Times New Roman"/>
          <w:color w:val="000000" w:themeColor="text1"/>
          <w:sz w:val="24"/>
          <w:szCs w:val="24"/>
        </w:rPr>
        <w:t xml:space="preserve"> de alteração do comportamento dos agentes públicos do Tribunal</w:t>
      </w:r>
      <w:r w:rsidR="004B5E0C" w:rsidRPr="00596D1F">
        <w:rPr>
          <w:rFonts w:ascii="Times New Roman" w:hAnsi="Times New Roman"/>
          <w:color w:val="000000" w:themeColor="text1"/>
          <w:sz w:val="24"/>
          <w:szCs w:val="24"/>
        </w:rPr>
        <w:t>.</w:t>
      </w:r>
      <w:r w:rsidR="00D771F3">
        <w:rPr>
          <w:rFonts w:ascii="Times New Roman" w:hAnsi="Times New Roman"/>
          <w:color w:val="000000" w:themeColor="text1"/>
          <w:sz w:val="24"/>
          <w:szCs w:val="24"/>
        </w:rPr>
        <w:t xml:space="preserve"> </w:t>
      </w:r>
      <w:r w:rsidRPr="00AA26DE">
        <w:rPr>
          <w:rFonts w:ascii="Times New Roman" w:hAnsi="Times New Roman"/>
          <w:color w:val="000000" w:themeColor="text1"/>
          <w:sz w:val="24"/>
          <w:szCs w:val="24"/>
        </w:rPr>
        <w:t xml:space="preserve">Os resultados da estatística descritiva, dos testes de média e dos modelos econométricos, mostram que a LAI proporcionou modificação no comportamento dos agentes do tribunal. Os resultados evidenciam que depois da lei reduziu-se o número de processos, </w:t>
      </w:r>
      <w:r w:rsidR="00DC7DAB">
        <w:rPr>
          <w:rFonts w:ascii="Times New Roman" w:hAnsi="Times New Roman"/>
          <w:color w:val="000000" w:themeColor="text1"/>
          <w:sz w:val="24"/>
          <w:szCs w:val="24"/>
        </w:rPr>
        <w:t>mas</w:t>
      </w:r>
      <w:r w:rsidRPr="00AA26DE">
        <w:rPr>
          <w:rFonts w:ascii="Times New Roman" w:hAnsi="Times New Roman"/>
          <w:color w:val="000000" w:themeColor="text1"/>
          <w:sz w:val="24"/>
          <w:szCs w:val="24"/>
        </w:rPr>
        <w:t xml:space="preserve"> as punições foram maiores, tanto </w:t>
      </w:r>
      <w:r w:rsidR="00DC7DAB">
        <w:rPr>
          <w:rFonts w:ascii="Times New Roman" w:hAnsi="Times New Roman"/>
          <w:color w:val="000000" w:themeColor="text1"/>
          <w:sz w:val="24"/>
          <w:szCs w:val="24"/>
        </w:rPr>
        <w:t>em forma de</w:t>
      </w:r>
      <w:r w:rsidRPr="00AA26DE">
        <w:rPr>
          <w:rFonts w:ascii="Times New Roman" w:hAnsi="Times New Roman"/>
          <w:color w:val="000000" w:themeColor="text1"/>
          <w:sz w:val="24"/>
          <w:szCs w:val="24"/>
        </w:rPr>
        <w:t xml:space="preserve"> multas como de imputações de débitos. Tal fato torna-se mais significativo</w:t>
      </w:r>
      <w:r w:rsidR="00DC7DAB">
        <w:rPr>
          <w:rFonts w:ascii="Times New Roman" w:hAnsi="Times New Roman"/>
          <w:color w:val="000000" w:themeColor="text1"/>
          <w:sz w:val="24"/>
          <w:szCs w:val="24"/>
        </w:rPr>
        <w:t xml:space="preserve"> quando se leva em</w:t>
      </w:r>
      <w:r w:rsidRPr="00AA26DE">
        <w:rPr>
          <w:rFonts w:ascii="Times New Roman" w:hAnsi="Times New Roman"/>
          <w:color w:val="000000" w:themeColor="text1"/>
          <w:sz w:val="24"/>
          <w:szCs w:val="24"/>
        </w:rPr>
        <w:t xml:space="preserve"> conta que no período de vigência da LAI, em 2015, ocorre modificação na legislação do tribunal</w:t>
      </w:r>
      <w:r w:rsidR="00DC7DAB">
        <w:rPr>
          <w:rFonts w:ascii="Times New Roman" w:hAnsi="Times New Roman"/>
          <w:color w:val="000000" w:themeColor="text1"/>
          <w:sz w:val="24"/>
          <w:szCs w:val="24"/>
        </w:rPr>
        <w:t>,</w:t>
      </w:r>
      <w:r w:rsidRPr="00AA26DE">
        <w:rPr>
          <w:rFonts w:ascii="Times New Roman" w:hAnsi="Times New Roman"/>
          <w:color w:val="000000" w:themeColor="text1"/>
          <w:sz w:val="24"/>
          <w:szCs w:val="24"/>
        </w:rPr>
        <w:t xml:space="preserve"> reduzindo o percentual das penalidades praticadas.</w:t>
      </w:r>
      <w:r w:rsidR="00C83998">
        <w:rPr>
          <w:rFonts w:ascii="Times New Roman" w:hAnsi="Times New Roman"/>
          <w:color w:val="000000" w:themeColor="text1"/>
          <w:sz w:val="24"/>
          <w:szCs w:val="24"/>
        </w:rPr>
        <w:t xml:space="preserve"> Conclui-se que</w:t>
      </w:r>
      <w:r>
        <w:rPr>
          <w:rFonts w:ascii="Times New Roman" w:hAnsi="Times New Roman"/>
          <w:color w:val="000000" w:themeColor="text1"/>
          <w:sz w:val="24"/>
          <w:szCs w:val="24"/>
        </w:rPr>
        <w:t xml:space="preserve"> </w:t>
      </w:r>
      <w:r w:rsidR="00B0105D" w:rsidRPr="00596D1F">
        <w:rPr>
          <w:rFonts w:ascii="Times New Roman" w:hAnsi="Times New Roman"/>
          <w:color w:val="000000" w:themeColor="text1"/>
          <w:sz w:val="24"/>
          <w:szCs w:val="24"/>
        </w:rPr>
        <w:t xml:space="preserve">a </w:t>
      </w:r>
      <w:r w:rsidR="0080690F" w:rsidRPr="00596D1F">
        <w:rPr>
          <w:rFonts w:ascii="Times New Roman" w:hAnsi="Times New Roman"/>
          <w:color w:val="000000" w:themeColor="text1"/>
          <w:sz w:val="24"/>
          <w:szCs w:val="24"/>
        </w:rPr>
        <w:t>LAI impactou</w:t>
      </w:r>
      <w:r w:rsidR="00B0105D" w:rsidRPr="00596D1F">
        <w:rPr>
          <w:rFonts w:ascii="Times New Roman" w:hAnsi="Times New Roman"/>
          <w:color w:val="000000" w:themeColor="text1"/>
          <w:sz w:val="24"/>
          <w:szCs w:val="24"/>
        </w:rPr>
        <w:t xml:space="preserve"> o comportamento dos agentes públicos quanto </w:t>
      </w:r>
      <w:r w:rsidR="00994C20" w:rsidRPr="00596D1F">
        <w:rPr>
          <w:rFonts w:ascii="Times New Roman" w:hAnsi="Times New Roman"/>
          <w:color w:val="000000" w:themeColor="text1"/>
          <w:sz w:val="24"/>
          <w:szCs w:val="24"/>
        </w:rPr>
        <w:t>à</w:t>
      </w:r>
      <w:r w:rsidR="00B0105D" w:rsidRPr="00596D1F">
        <w:rPr>
          <w:rFonts w:ascii="Times New Roman" w:hAnsi="Times New Roman"/>
          <w:color w:val="000000" w:themeColor="text1"/>
          <w:sz w:val="24"/>
          <w:szCs w:val="24"/>
        </w:rPr>
        <w:t xml:space="preserve"> imputação de sanções</w:t>
      </w:r>
      <w:r w:rsidR="00C83998">
        <w:rPr>
          <w:rFonts w:ascii="Times New Roman" w:hAnsi="Times New Roman"/>
          <w:color w:val="000000" w:themeColor="text1"/>
          <w:sz w:val="24"/>
          <w:szCs w:val="24"/>
        </w:rPr>
        <w:t>, não refutando a hipótese da pesquisa.</w:t>
      </w:r>
    </w:p>
    <w:p w14:paraId="70F4D993" w14:textId="77777777" w:rsidR="00AA26DE" w:rsidRDefault="00AA26DE" w:rsidP="004B5E0C">
      <w:pPr>
        <w:spacing w:after="0" w:line="240" w:lineRule="auto"/>
        <w:jc w:val="both"/>
        <w:rPr>
          <w:rFonts w:ascii="Times New Roman" w:hAnsi="Times New Roman"/>
          <w:b/>
          <w:color w:val="000000" w:themeColor="text1"/>
          <w:sz w:val="24"/>
          <w:szCs w:val="24"/>
        </w:rPr>
      </w:pPr>
    </w:p>
    <w:p w14:paraId="0C264717" w14:textId="74595A98" w:rsidR="004B5E0C" w:rsidRPr="00596D1F" w:rsidRDefault="004B5E0C" w:rsidP="004B5E0C">
      <w:pPr>
        <w:spacing w:after="0" w:line="240" w:lineRule="auto"/>
        <w:jc w:val="both"/>
        <w:rPr>
          <w:rFonts w:ascii="Times New Roman" w:hAnsi="Times New Roman"/>
          <w:color w:val="000000" w:themeColor="text1"/>
          <w:sz w:val="24"/>
          <w:szCs w:val="24"/>
        </w:rPr>
      </w:pPr>
      <w:r w:rsidRPr="00596D1F">
        <w:rPr>
          <w:rFonts w:ascii="Times New Roman" w:hAnsi="Times New Roman"/>
          <w:b/>
          <w:color w:val="000000" w:themeColor="text1"/>
          <w:sz w:val="24"/>
          <w:szCs w:val="24"/>
        </w:rPr>
        <w:t>Palavras-chave:</w:t>
      </w:r>
      <w:r w:rsidRPr="00596D1F">
        <w:rPr>
          <w:rFonts w:ascii="Times New Roman" w:hAnsi="Times New Roman"/>
          <w:color w:val="000000" w:themeColor="text1"/>
          <w:sz w:val="24"/>
          <w:szCs w:val="24"/>
        </w:rPr>
        <w:t xml:space="preserve"> Lei de Acesso </w:t>
      </w:r>
      <w:r w:rsidR="00B97AE2" w:rsidRPr="00596D1F">
        <w:rPr>
          <w:rFonts w:ascii="Times New Roman" w:hAnsi="Times New Roman"/>
          <w:color w:val="000000" w:themeColor="text1"/>
          <w:sz w:val="24"/>
          <w:szCs w:val="24"/>
        </w:rPr>
        <w:t>à</w:t>
      </w:r>
      <w:r w:rsidRPr="00596D1F">
        <w:rPr>
          <w:rFonts w:ascii="Times New Roman" w:hAnsi="Times New Roman"/>
          <w:color w:val="000000" w:themeColor="text1"/>
          <w:sz w:val="24"/>
          <w:szCs w:val="24"/>
        </w:rPr>
        <w:t xml:space="preserve"> Informação (LAI); Tribunal de Contas</w:t>
      </w:r>
      <w:r w:rsidR="00515F77">
        <w:rPr>
          <w:rFonts w:ascii="Times New Roman" w:hAnsi="Times New Roman"/>
          <w:color w:val="000000" w:themeColor="text1"/>
          <w:sz w:val="24"/>
          <w:szCs w:val="24"/>
        </w:rPr>
        <w:t xml:space="preserve"> dos Municípios</w:t>
      </w:r>
      <w:r w:rsidRPr="00596D1F">
        <w:rPr>
          <w:rFonts w:ascii="Times New Roman" w:hAnsi="Times New Roman"/>
          <w:color w:val="000000" w:themeColor="text1"/>
          <w:sz w:val="24"/>
          <w:szCs w:val="24"/>
        </w:rPr>
        <w:t xml:space="preserve"> do Estado de Goiás; </w:t>
      </w:r>
      <w:r w:rsidR="00596D1F">
        <w:rPr>
          <w:rFonts w:ascii="Times New Roman" w:hAnsi="Times New Roman"/>
          <w:color w:val="000000" w:themeColor="text1"/>
          <w:sz w:val="24"/>
          <w:szCs w:val="24"/>
        </w:rPr>
        <w:t>Comportamento governando por regra</w:t>
      </w:r>
      <w:r w:rsidRPr="00596D1F">
        <w:rPr>
          <w:rFonts w:ascii="Times New Roman" w:hAnsi="Times New Roman"/>
          <w:color w:val="000000" w:themeColor="text1"/>
          <w:sz w:val="24"/>
          <w:szCs w:val="24"/>
        </w:rPr>
        <w:t>.</w:t>
      </w:r>
    </w:p>
    <w:p w14:paraId="34A543C3" w14:textId="77777777" w:rsidR="006A4C5F" w:rsidRPr="005A7717" w:rsidRDefault="006A4C5F" w:rsidP="006A4C5F">
      <w:pPr>
        <w:spacing w:after="0" w:line="240" w:lineRule="auto"/>
        <w:jc w:val="center"/>
        <w:rPr>
          <w:rFonts w:ascii="Times New Roman" w:hAnsi="Times New Roman"/>
          <w:b/>
          <w:bCs/>
          <w:color w:val="222222"/>
          <w:sz w:val="24"/>
          <w:szCs w:val="24"/>
          <w:shd w:val="clear" w:color="auto" w:fill="FFFFFF"/>
        </w:rPr>
      </w:pPr>
    </w:p>
    <w:p w14:paraId="432570B9" w14:textId="370F36E5" w:rsidR="006A4C5F" w:rsidRDefault="006A4C5F" w:rsidP="00DD0097">
      <w:pPr>
        <w:spacing w:after="0" w:line="240" w:lineRule="auto"/>
        <w:rPr>
          <w:rFonts w:ascii="Times New Roman" w:hAnsi="Times New Roman"/>
          <w:b/>
          <w:bCs/>
          <w:color w:val="222222"/>
          <w:sz w:val="24"/>
          <w:szCs w:val="24"/>
          <w:shd w:val="clear" w:color="auto" w:fill="FFFFFF"/>
        </w:rPr>
      </w:pPr>
      <w:r w:rsidRPr="005A7717">
        <w:rPr>
          <w:rFonts w:ascii="Times New Roman" w:hAnsi="Times New Roman"/>
          <w:b/>
          <w:bCs/>
          <w:color w:val="222222"/>
          <w:sz w:val="24"/>
          <w:szCs w:val="24"/>
          <w:shd w:val="clear" w:color="auto" w:fill="FFFFFF"/>
        </w:rPr>
        <w:t>Abstract</w:t>
      </w:r>
    </w:p>
    <w:p w14:paraId="5DB9B4CC" w14:textId="482787DE" w:rsidR="00C83998" w:rsidRDefault="00C83998" w:rsidP="00DD0097">
      <w:pPr>
        <w:spacing w:after="0" w:line="240" w:lineRule="auto"/>
        <w:rPr>
          <w:rFonts w:ascii="Times New Roman" w:hAnsi="Times New Roman"/>
          <w:b/>
          <w:bCs/>
          <w:color w:val="222222"/>
          <w:sz w:val="24"/>
          <w:szCs w:val="24"/>
          <w:shd w:val="clear" w:color="auto" w:fill="FFFFFF"/>
        </w:rPr>
      </w:pPr>
    </w:p>
    <w:p w14:paraId="64475837" w14:textId="77777777" w:rsidR="007C6A87" w:rsidRPr="00E55F8E" w:rsidRDefault="007C6A87" w:rsidP="007C6A87">
      <w:pPr>
        <w:spacing w:after="0" w:line="240" w:lineRule="auto"/>
        <w:jc w:val="both"/>
        <w:rPr>
          <w:rFonts w:ascii="Times New Roman" w:hAnsi="Times New Roman"/>
          <w:sz w:val="24"/>
          <w:szCs w:val="24"/>
        </w:rPr>
      </w:pPr>
      <w:r w:rsidRPr="00E55F8E">
        <w:rPr>
          <w:rFonts w:ascii="Times New Roman" w:hAnsi="Times New Roman"/>
          <w:color w:val="222222"/>
          <w:sz w:val="24"/>
          <w:szCs w:val="24"/>
          <w:shd w:val="clear" w:color="auto" w:fill="FFFFFF"/>
        </w:rPr>
        <w:t xml:space="preserve">The </w:t>
      </w:r>
      <w:proofErr w:type="spellStart"/>
      <w:r w:rsidRPr="00E55F8E">
        <w:rPr>
          <w:rFonts w:ascii="Times New Roman" w:hAnsi="Times New Roman"/>
          <w:color w:val="222222"/>
          <w:sz w:val="24"/>
          <w:szCs w:val="24"/>
          <w:shd w:val="clear" w:color="auto" w:fill="FFFFFF"/>
        </w:rPr>
        <w:t>study</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aims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based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theory</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analysis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human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behavior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to</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assess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impact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Access </w:t>
      </w:r>
      <w:proofErr w:type="spellStart"/>
      <w:r w:rsidRPr="00E55F8E">
        <w:rPr>
          <w:rFonts w:ascii="Times New Roman" w:hAnsi="Times New Roman"/>
          <w:color w:val="222222"/>
          <w:sz w:val="24"/>
          <w:szCs w:val="24"/>
          <w:shd w:val="clear" w:color="auto" w:fill="FFFFFF"/>
        </w:rPr>
        <w:t>to</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Information</w:t>
      </w:r>
      <w:proofErr w:type="spellEnd"/>
      <w:r w:rsidRPr="00E55F8E">
        <w:rPr>
          <w:rFonts w:ascii="Times New Roman" w:hAnsi="Times New Roman"/>
          <w:color w:val="222222"/>
          <w:sz w:val="24"/>
          <w:szCs w:val="24"/>
          <w:shd w:val="clear" w:color="auto" w:fill="FFFFFF"/>
        </w:rPr>
        <w:t xml:space="preserve"> Law (LAI) </w:t>
      </w:r>
      <w:proofErr w:type="spellStart"/>
      <w:r w:rsidRPr="00E55F8E">
        <w:rPr>
          <w:rFonts w:ascii="Times New Roman" w:hAnsi="Times New Roman"/>
          <w:color w:val="222222"/>
          <w:sz w:val="24"/>
          <w:szCs w:val="24"/>
          <w:shd w:val="clear" w:color="auto" w:fill="FFFFFF"/>
        </w:rPr>
        <w:t>on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behavior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public</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agents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Court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Accounts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Municipalities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Goiás (TCM-GO). In light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above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central </w:t>
      </w:r>
      <w:proofErr w:type="spellStart"/>
      <w:r w:rsidRPr="00E55F8E">
        <w:rPr>
          <w:rFonts w:ascii="Times New Roman" w:hAnsi="Times New Roman"/>
          <w:color w:val="222222"/>
          <w:sz w:val="24"/>
          <w:szCs w:val="24"/>
          <w:shd w:val="clear" w:color="auto" w:fill="FFFFFF"/>
        </w:rPr>
        <w:t>contribution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lastRenderedPageBreak/>
        <w:t>research</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describing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and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evaluating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consequences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provided</w:t>
      </w:r>
      <w:proofErr w:type="spellEnd"/>
      <w:r w:rsidRPr="00E55F8E">
        <w:rPr>
          <w:rFonts w:ascii="Times New Roman" w:hAnsi="Times New Roman"/>
          <w:color w:val="222222"/>
          <w:sz w:val="24"/>
          <w:szCs w:val="24"/>
          <w:shd w:val="clear" w:color="auto" w:fill="FFFFFF"/>
        </w:rPr>
        <w:t xml:space="preserve"> for in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rule</w:t>
      </w:r>
      <w:proofErr w:type="spellEnd"/>
      <w:r w:rsidRPr="00E55F8E">
        <w:rPr>
          <w:rFonts w:ascii="Times New Roman" w:hAnsi="Times New Roman"/>
          <w:color w:val="222222"/>
          <w:sz w:val="24"/>
          <w:szCs w:val="24"/>
          <w:shd w:val="clear" w:color="auto" w:fill="FFFFFF"/>
        </w:rPr>
        <w:t xml:space="preserve">, in </w:t>
      </w:r>
      <w:proofErr w:type="spellStart"/>
      <w:r w:rsidRPr="00E55F8E">
        <w:rPr>
          <w:rFonts w:ascii="Times New Roman" w:hAnsi="Times New Roman"/>
          <w:color w:val="222222"/>
          <w:sz w:val="24"/>
          <w:szCs w:val="24"/>
          <w:shd w:val="clear" w:color="auto" w:fill="FFFFFF"/>
        </w:rPr>
        <w:t>this</w:t>
      </w:r>
      <w:proofErr w:type="spellEnd"/>
      <w:r w:rsidRPr="00E55F8E">
        <w:rPr>
          <w:rFonts w:ascii="Times New Roman" w:hAnsi="Times New Roman"/>
          <w:color w:val="222222"/>
          <w:sz w:val="24"/>
          <w:szCs w:val="24"/>
          <w:shd w:val="clear" w:color="auto" w:fill="FFFFFF"/>
        </w:rPr>
        <w:t xml:space="preserve"> case a </w:t>
      </w:r>
      <w:proofErr w:type="spellStart"/>
      <w:r w:rsidRPr="00E55F8E">
        <w:rPr>
          <w:rFonts w:ascii="Times New Roman" w:hAnsi="Times New Roman"/>
          <w:color w:val="222222"/>
          <w:sz w:val="24"/>
          <w:szCs w:val="24"/>
          <w:shd w:val="clear" w:color="auto" w:fill="FFFFFF"/>
        </w:rPr>
        <w:t>discriminative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stimulus</w:t>
      </w:r>
      <w:proofErr w:type="spellEnd"/>
      <w:r w:rsidRPr="00E55F8E">
        <w:rPr>
          <w:rFonts w:ascii="Times New Roman" w:hAnsi="Times New Roman"/>
          <w:color w:val="222222"/>
          <w:sz w:val="24"/>
          <w:szCs w:val="24"/>
          <w:shd w:val="clear" w:color="auto" w:fill="FFFFFF"/>
        </w:rPr>
        <w:t xml:space="preserve">, in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way</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people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act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according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to</w:t>
      </w:r>
      <w:proofErr w:type="spellEnd"/>
      <w:r w:rsidRPr="00E55F8E">
        <w:rPr>
          <w:rFonts w:ascii="Times New Roman" w:hAnsi="Times New Roman"/>
          <w:color w:val="222222"/>
          <w:sz w:val="24"/>
          <w:szCs w:val="24"/>
          <w:shd w:val="clear" w:color="auto" w:fill="FFFFFF"/>
        </w:rPr>
        <w:t xml:space="preserve"> it. </w:t>
      </w:r>
      <w:proofErr w:type="spellStart"/>
      <w:r w:rsidRPr="00E55F8E">
        <w:rPr>
          <w:rFonts w:ascii="Times New Roman" w:hAnsi="Times New Roman"/>
          <w:color w:val="222222"/>
          <w:sz w:val="24"/>
          <w:szCs w:val="24"/>
          <w:shd w:val="clear" w:color="auto" w:fill="FFFFFF"/>
        </w:rPr>
        <w:t>To</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achieve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goal</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and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testing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hypothesis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that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there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is</w:t>
      </w:r>
      <w:proofErr w:type="spellEnd"/>
      <w:r w:rsidRPr="00E55F8E">
        <w:rPr>
          <w:rFonts w:ascii="Times New Roman" w:hAnsi="Times New Roman"/>
          <w:color w:val="222222"/>
          <w:sz w:val="24"/>
          <w:szCs w:val="24"/>
          <w:shd w:val="clear" w:color="auto" w:fill="FFFFFF"/>
        </w:rPr>
        <w:t xml:space="preserve"> a positive </w:t>
      </w:r>
      <w:proofErr w:type="spellStart"/>
      <w:r w:rsidRPr="00E55F8E">
        <w:rPr>
          <w:rFonts w:ascii="Times New Roman" w:hAnsi="Times New Roman"/>
          <w:color w:val="222222"/>
          <w:sz w:val="24"/>
          <w:szCs w:val="24"/>
          <w:shd w:val="clear" w:color="auto" w:fill="FFFFFF"/>
        </w:rPr>
        <w:t>and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relevant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relationship</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between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LAI </w:t>
      </w:r>
      <w:proofErr w:type="spellStart"/>
      <w:r w:rsidRPr="00E55F8E">
        <w:rPr>
          <w:rFonts w:ascii="Times New Roman" w:hAnsi="Times New Roman"/>
          <w:color w:val="222222"/>
          <w:sz w:val="24"/>
          <w:szCs w:val="24"/>
          <w:shd w:val="clear" w:color="auto" w:fill="FFFFFF"/>
        </w:rPr>
        <w:t>and</w:t>
      </w:r>
      <w:proofErr w:type="spellEnd"/>
      <w:r w:rsidRPr="00E55F8E">
        <w:rPr>
          <w:rFonts w:ascii="Times New Roman" w:hAnsi="Times New Roman"/>
          <w:color w:val="222222"/>
          <w:sz w:val="24"/>
          <w:szCs w:val="24"/>
          <w:shd w:val="clear" w:color="auto" w:fill="FFFFFF"/>
        </w:rPr>
        <w:t xml:space="preserve"> as </w:t>
      </w:r>
      <w:proofErr w:type="spellStart"/>
      <w:r w:rsidRPr="00E55F8E">
        <w:rPr>
          <w:rFonts w:ascii="Times New Roman" w:hAnsi="Times New Roman"/>
          <w:color w:val="222222"/>
          <w:sz w:val="24"/>
          <w:szCs w:val="24"/>
          <w:shd w:val="clear" w:color="auto" w:fill="FFFFFF"/>
        </w:rPr>
        <w:t>punishments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imposed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by</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public</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agents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TCM-GO, a </w:t>
      </w:r>
      <w:proofErr w:type="spellStart"/>
      <w:r w:rsidRPr="00E55F8E">
        <w:rPr>
          <w:rFonts w:ascii="Times New Roman" w:hAnsi="Times New Roman"/>
          <w:color w:val="222222"/>
          <w:sz w:val="24"/>
          <w:szCs w:val="24"/>
          <w:shd w:val="clear" w:color="auto" w:fill="FFFFFF"/>
        </w:rPr>
        <w:t>quantitative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research</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carried</w:t>
      </w:r>
      <w:proofErr w:type="spellEnd"/>
      <w:r w:rsidRPr="00E55F8E">
        <w:rPr>
          <w:rFonts w:ascii="Times New Roman" w:hAnsi="Times New Roman"/>
          <w:color w:val="222222"/>
          <w:sz w:val="24"/>
          <w:szCs w:val="24"/>
          <w:shd w:val="clear" w:color="auto" w:fill="FFFFFF"/>
        </w:rPr>
        <w:t xml:space="preserve"> out, in a sample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58,001 cases </w:t>
      </w:r>
      <w:proofErr w:type="spellStart"/>
      <w:r w:rsidRPr="00E55F8E">
        <w:rPr>
          <w:rFonts w:ascii="Times New Roman" w:hAnsi="Times New Roman"/>
          <w:color w:val="222222"/>
          <w:sz w:val="24"/>
          <w:szCs w:val="24"/>
          <w:shd w:val="clear" w:color="auto" w:fill="FFFFFF"/>
        </w:rPr>
        <w:t>judged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with</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imputation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debts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application</w:t>
      </w:r>
      <w:proofErr w:type="spellEnd"/>
      <w:r w:rsidRPr="00E55F8E">
        <w:rPr>
          <w:rFonts w:ascii="Times New Roman" w:hAnsi="Times New Roman"/>
          <w:color w:val="222222"/>
          <w:sz w:val="24"/>
          <w:szCs w:val="24"/>
          <w:shd w:val="clear" w:color="auto" w:fill="FFFFFF"/>
        </w:rPr>
        <w:t xml:space="preserve"> fines </w:t>
      </w:r>
      <w:proofErr w:type="spellStart"/>
      <w:r w:rsidRPr="00E55F8E">
        <w:rPr>
          <w:rFonts w:ascii="Times New Roman" w:hAnsi="Times New Roman"/>
          <w:color w:val="222222"/>
          <w:sz w:val="24"/>
          <w:szCs w:val="24"/>
          <w:shd w:val="clear" w:color="auto" w:fill="FFFFFF"/>
        </w:rPr>
        <w:t>to</w:t>
      </w:r>
      <w:proofErr w:type="spellEnd"/>
      <w:r w:rsidRPr="00E55F8E">
        <w:rPr>
          <w:rFonts w:ascii="Times New Roman" w:hAnsi="Times New Roman"/>
          <w:color w:val="222222"/>
          <w:sz w:val="24"/>
          <w:szCs w:val="24"/>
          <w:shd w:val="clear" w:color="auto" w:fill="FFFFFF"/>
        </w:rPr>
        <w:t xml:space="preserve"> managers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public</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resources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during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period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from</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January</w:t>
      </w:r>
      <w:proofErr w:type="spellEnd"/>
      <w:r w:rsidRPr="00E55F8E">
        <w:rPr>
          <w:rFonts w:ascii="Times New Roman" w:hAnsi="Times New Roman"/>
          <w:color w:val="222222"/>
          <w:sz w:val="24"/>
          <w:szCs w:val="24"/>
          <w:shd w:val="clear" w:color="auto" w:fill="FFFFFF"/>
        </w:rPr>
        <w:t xml:space="preserve"> 2009 </w:t>
      </w:r>
      <w:proofErr w:type="spellStart"/>
      <w:r w:rsidRPr="00E55F8E">
        <w:rPr>
          <w:rFonts w:ascii="Times New Roman" w:hAnsi="Times New Roman"/>
          <w:color w:val="222222"/>
          <w:sz w:val="24"/>
          <w:szCs w:val="24"/>
          <w:shd w:val="clear" w:color="auto" w:fill="FFFFFF"/>
        </w:rPr>
        <w:t>to</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December</w:t>
      </w:r>
      <w:proofErr w:type="spellEnd"/>
      <w:r w:rsidRPr="00E55F8E">
        <w:rPr>
          <w:rFonts w:ascii="Times New Roman" w:hAnsi="Times New Roman"/>
          <w:color w:val="222222"/>
          <w:sz w:val="24"/>
          <w:szCs w:val="24"/>
          <w:shd w:val="clear" w:color="auto" w:fill="FFFFFF"/>
        </w:rPr>
        <w:t xml:space="preserve"> 2016. The </w:t>
      </w:r>
      <w:proofErr w:type="spellStart"/>
      <w:r w:rsidRPr="00E55F8E">
        <w:rPr>
          <w:rFonts w:ascii="Times New Roman" w:hAnsi="Times New Roman"/>
          <w:color w:val="222222"/>
          <w:sz w:val="24"/>
          <w:szCs w:val="24"/>
          <w:shd w:val="clear" w:color="auto" w:fill="FFFFFF"/>
        </w:rPr>
        <w:t>penalties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were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adopted</w:t>
      </w:r>
      <w:proofErr w:type="spellEnd"/>
      <w:r w:rsidRPr="00E55F8E">
        <w:rPr>
          <w:rFonts w:ascii="Times New Roman" w:hAnsi="Times New Roman"/>
          <w:color w:val="222222"/>
          <w:sz w:val="24"/>
          <w:szCs w:val="24"/>
          <w:shd w:val="clear" w:color="auto" w:fill="FFFFFF"/>
        </w:rPr>
        <w:t xml:space="preserve"> as a proxy for </w:t>
      </w:r>
      <w:proofErr w:type="spellStart"/>
      <w:r w:rsidRPr="00E55F8E">
        <w:rPr>
          <w:rFonts w:ascii="Times New Roman" w:hAnsi="Times New Roman"/>
          <w:color w:val="222222"/>
          <w:sz w:val="24"/>
          <w:szCs w:val="24"/>
          <w:shd w:val="clear" w:color="auto" w:fill="FFFFFF"/>
        </w:rPr>
        <w:t>changing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behavior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Court's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public</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agents</w:t>
      </w:r>
      <w:proofErr w:type="spellEnd"/>
      <w:r w:rsidRPr="00E55F8E">
        <w:rPr>
          <w:rFonts w:ascii="Times New Roman" w:hAnsi="Times New Roman"/>
          <w:color w:val="222222"/>
          <w:sz w:val="24"/>
          <w:szCs w:val="24"/>
          <w:shd w:val="clear" w:color="auto" w:fill="FFFFFF"/>
        </w:rPr>
        <w:t xml:space="preserve">. The </w:t>
      </w:r>
      <w:proofErr w:type="spellStart"/>
      <w:r w:rsidRPr="00E55F8E">
        <w:rPr>
          <w:rFonts w:ascii="Times New Roman" w:hAnsi="Times New Roman"/>
          <w:color w:val="222222"/>
          <w:sz w:val="24"/>
          <w:szCs w:val="24"/>
          <w:shd w:val="clear" w:color="auto" w:fill="FFFFFF"/>
        </w:rPr>
        <w:t>results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descriptive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statistics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average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tests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and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econometric</w:t>
      </w:r>
      <w:proofErr w:type="spellEnd"/>
      <w:r w:rsidRPr="00E55F8E">
        <w:rPr>
          <w:rFonts w:ascii="Times New Roman" w:hAnsi="Times New Roman"/>
          <w:color w:val="222222"/>
          <w:sz w:val="24"/>
          <w:szCs w:val="24"/>
          <w:shd w:val="clear" w:color="auto" w:fill="FFFFFF"/>
        </w:rPr>
        <w:t xml:space="preserve"> models, show </w:t>
      </w:r>
      <w:proofErr w:type="spellStart"/>
      <w:r w:rsidRPr="00E55F8E">
        <w:rPr>
          <w:rFonts w:ascii="Times New Roman" w:hAnsi="Times New Roman"/>
          <w:color w:val="222222"/>
          <w:sz w:val="24"/>
          <w:szCs w:val="24"/>
          <w:shd w:val="clear" w:color="auto" w:fill="FFFFFF"/>
        </w:rPr>
        <w:t>that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an</w:t>
      </w:r>
      <w:proofErr w:type="spellEnd"/>
      <w:r w:rsidRPr="00E55F8E">
        <w:rPr>
          <w:rFonts w:ascii="Times New Roman" w:hAnsi="Times New Roman"/>
          <w:color w:val="222222"/>
          <w:sz w:val="24"/>
          <w:szCs w:val="24"/>
          <w:shd w:val="clear" w:color="auto" w:fill="FFFFFF"/>
        </w:rPr>
        <w:t xml:space="preserve"> LAI </w:t>
      </w:r>
      <w:proofErr w:type="spellStart"/>
      <w:r w:rsidRPr="00E55F8E">
        <w:rPr>
          <w:rFonts w:ascii="Times New Roman" w:hAnsi="Times New Roman"/>
          <w:color w:val="222222"/>
          <w:sz w:val="24"/>
          <w:szCs w:val="24"/>
          <w:shd w:val="clear" w:color="auto" w:fill="FFFFFF"/>
        </w:rPr>
        <w:t>provided</w:t>
      </w:r>
      <w:proofErr w:type="spellEnd"/>
      <w:r w:rsidRPr="00E55F8E">
        <w:rPr>
          <w:rFonts w:ascii="Times New Roman" w:hAnsi="Times New Roman"/>
          <w:color w:val="222222"/>
          <w:sz w:val="24"/>
          <w:szCs w:val="24"/>
          <w:shd w:val="clear" w:color="auto" w:fill="FFFFFF"/>
        </w:rPr>
        <w:t xml:space="preserve"> a </w:t>
      </w:r>
      <w:proofErr w:type="spellStart"/>
      <w:r w:rsidRPr="00E55F8E">
        <w:rPr>
          <w:rFonts w:ascii="Times New Roman" w:hAnsi="Times New Roman"/>
          <w:color w:val="222222"/>
          <w:sz w:val="24"/>
          <w:szCs w:val="24"/>
          <w:shd w:val="clear" w:color="auto" w:fill="FFFFFF"/>
        </w:rPr>
        <w:t>change</w:t>
      </w:r>
      <w:proofErr w:type="spellEnd"/>
      <w:r w:rsidRPr="00E55F8E">
        <w:rPr>
          <w:rFonts w:ascii="Times New Roman" w:hAnsi="Times New Roman"/>
          <w:color w:val="222222"/>
          <w:sz w:val="24"/>
          <w:szCs w:val="24"/>
          <w:shd w:val="clear" w:color="auto" w:fill="FFFFFF"/>
        </w:rPr>
        <w:t xml:space="preserve"> in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behavior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court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agents</w:t>
      </w:r>
      <w:proofErr w:type="spellEnd"/>
      <w:r w:rsidRPr="00E55F8E">
        <w:rPr>
          <w:rFonts w:ascii="Times New Roman" w:hAnsi="Times New Roman"/>
          <w:color w:val="222222"/>
          <w:sz w:val="24"/>
          <w:szCs w:val="24"/>
          <w:shd w:val="clear" w:color="auto" w:fill="FFFFFF"/>
        </w:rPr>
        <w:t xml:space="preserve">. The </w:t>
      </w:r>
      <w:proofErr w:type="spellStart"/>
      <w:r w:rsidRPr="00E55F8E">
        <w:rPr>
          <w:rFonts w:ascii="Times New Roman" w:hAnsi="Times New Roman"/>
          <w:color w:val="222222"/>
          <w:sz w:val="24"/>
          <w:szCs w:val="24"/>
          <w:shd w:val="clear" w:color="auto" w:fill="FFFFFF"/>
        </w:rPr>
        <w:t>results</w:t>
      </w:r>
      <w:proofErr w:type="spellEnd"/>
      <w:r w:rsidRPr="00E55F8E">
        <w:rPr>
          <w:rFonts w:ascii="Times New Roman" w:hAnsi="Times New Roman"/>
          <w:color w:val="222222"/>
          <w:sz w:val="24"/>
          <w:szCs w:val="24"/>
          <w:shd w:val="clear" w:color="auto" w:fill="FFFFFF"/>
        </w:rPr>
        <w:t xml:space="preserve"> show </w:t>
      </w:r>
      <w:proofErr w:type="spellStart"/>
      <w:r w:rsidRPr="00E55F8E">
        <w:rPr>
          <w:rFonts w:ascii="Times New Roman" w:hAnsi="Times New Roman"/>
          <w:color w:val="222222"/>
          <w:sz w:val="24"/>
          <w:szCs w:val="24"/>
          <w:shd w:val="clear" w:color="auto" w:fill="FFFFFF"/>
        </w:rPr>
        <w:t>that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after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law</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number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cases </w:t>
      </w:r>
      <w:proofErr w:type="spellStart"/>
      <w:r w:rsidRPr="00E55F8E">
        <w:rPr>
          <w:rFonts w:ascii="Times New Roman" w:hAnsi="Times New Roman"/>
          <w:color w:val="222222"/>
          <w:sz w:val="24"/>
          <w:szCs w:val="24"/>
          <w:shd w:val="clear" w:color="auto" w:fill="FFFFFF"/>
        </w:rPr>
        <w:t>was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reduced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but</w:t>
      </w:r>
      <w:proofErr w:type="spellEnd"/>
      <w:r w:rsidRPr="00E55F8E">
        <w:rPr>
          <w:rFonts w:ascii="Times New Roman" w:hAnsi="Times New Roman"/>
          <w:color w:val="222222"/>
          <w:sz w:val="24"/>
          <w:szCs w:val="24"/>
          <w:shd w:val="clear" w:color="auto" w:fill="FFFFFF"/>
        </w:rPr>
        <w:t xml:space="preserve"> as </w:t>
      </w:r>
      <w:proofErr w:type="spellStart"/>
      <w:r w:rsidRPr="00E55F8E">
        <w:rPr>
          <w:rFonts w:ascii="Times New Roman" w:hAnsi="Times New Roman"/>
          <w:color w:val="222222"/>
          <w:sz w:val="24"/>
          <w:szCs w:val="24"/>
          <w:shd w:val="clear" w:color="auto" w:fill="FFFFFF"/>
        </w:rPr>
        <w:t>punishments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were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greater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both</w:t>
      </w:r>
      <w:proofErr w:type="spellEnd"/>
      <w:r w:rsidRPr="00E55F8E">
        <w:rPr>
          <w:rFonts w:ascii="Times New Roman" w:hAnsi="Times New Roman"/>
          <w:color w:val="222222"/>
          <w:sz w:val="24"/>
          <w:szCs w:val="24"/>
          <w:shd w:val="clear" w:color="auto" w:fill="FFFFFF"/>
        </w:rPr>
        <w:t xml:space="preserve"> in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form</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fines </w:t>
      </w:r>
      <w:proofErr w:type="spellStart"/>
      <w:r w:rsidRPr="00E55F8E">
        <w:rPr>
          <w:rFonts w:ascii="Times New Roman" w:hAnsi="Times New Roman"/>
          <w:color w:val="222222"/>
          <w:sz w:val="24"/>
          <w:szCs w:val="24"/>
          <w:shd w:val="clear" w:color="auto" w:fill="FFFFFF"/>
        </w:rPr>
        <w:t>and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imputations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debts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This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fact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becomes</w:t>
      </w:r>
      <w:proofErr w:type="spellEnd"/>
      <w:r w:rsidRPr="00E55F8E">
        <w:rPr>
          <w:rFonts w:ascii="Times New Roman" w:hAnsi="Times New Roman"/>
          <w:color w:val="222222"/>
          <w:sz w:val="24"/>
          <w:szCs w:val="24"/>
          <w:shd w:val="clear" w:color="auto" w:fill="FFFFFF"/>
        </w:rPr>
        <w:t xml:space="preserve"> more </w:t>
      </w:r>
      <w:proofErr w:type="spellStart"/>
      <w:r w:rsidRPr="00E55F8E">
        <w:rPr>
          <w:rFonts w:ascii="Times New Roman" w:hAnsi="Times New Roman"/>
          <w:color w:val="222222"/>
          <w:sz w:val="24"/>
          <w:szCs w:val="24"/>
          <w:shd w:val="clear" w:color="auto" w:fill="FFFFFF"/>
        </w:rPr>
        <w:t>significant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when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one</w:t>
      </w:r>
      <w:proofErr w:type="spellEnd"/>
      <w:r w:rsidRPr="00E55F8E">
        <w:rPr>
          <w:rFonts w:ascii="Times New Roman" w:hAnsi="Times New Roman"/>
          <w:color w:val="222222"/>
          <w:sz w:val="24"/>
          <w:szCs w:val="24"/>
          <w:shd w:val="clear" w:color="auto" w:fill="FFFFFF"/>
        </w:rPr>
        <w:t xml:space="preserve"> takes </w:t>
      </w:r>
      <w:proofErr w:type="spellStart"/>
      <w:r w:rsidRPr="00E55F8E">
        <w:rPr>
          <w:rFonts w:ascii="Times New Roman" w:hAnsi="Times New Roman"/>
          <w:color w:val="222222"/>
          <w:sz w:val="24"/>
          <w:szCs w:val="24"/>
          <w:shd w:val="clear" w:color="auto" w:fill="FFFFFF"/>
        </w:rPr>
        <w:t>into</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account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that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during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LAI </w:t>
      </w:r>
      <w:proofErr w:type="spellStart"/>
      <w:r w:rsidRPr="00E55F8E">
        <w:rPr>
          <w:rFonts w:ascii="Times New Roman" w:hAnsi="Times New Roman"/>
          <w:color w:val="222222"/>
          <w:sz w:val="24"/>
          <w:szCs w:val="24"/>
          <w:shd w:val="clear" w:color="auto" w:fill="FFFFFF"/>
        </w:rPr>
        <w:t>period</w:t>
      </w:r>
      <w:proofErr w:type="spellEnd"/>
      <w:r w:rsidRPr="00E55F8E">
        <w:rPr>
          <w:rFonts w:ascii="Times New Roman" w:hAnsi="Times New Roman"/>
          <w:color w:val="222222"/>
          <w:sz w:val="24"/>
          <w:szCs w:val="24"/>
          <w:shd w:val="clear" w:color="auto" w:fill="FFFFFF"/>
        </w:rPr>
        <w:t xml:space="preserve">, in 2015, </w:t>
      </w:r>
      <w:proofErr w:type="spellStart"/>
      <w:r w:rsidRPr="00E55F8E">
        <w:rPr>
          <w:rFonts w:ascii="Times New Roman" w:hAnsi="Times New Roman"/>
          <w:color w:val="222222"/>
          <w:sz w:val="24"/>
          <w:szCs w:val="24"/>
          <w:shd w:val="clear" w:color="auto" w:fill="FFFFFF"/>
        </w:rPr>
        <w:t>there</w:t>
      </w:r>
      <w:proofErr w:type="spellEnd"/>
      <w:r w:rsidRPr="00E55F8E">
        <w:rPr>
          <w:rFonts w:ascii="Times New Roman" w:hAnsi="Times New Roman"/>
          <w:color w:val="222222"/>
          <w:sz w:val="24"/>
          <w:szCs w:val="24"/>
          <w:shd w:val="clear" w:color="auto" w:fill="FFFFFF"/>
        </w:rPr>
        <w:t xml:space="preserve"> is a </w:t>
      </w:r>
      <w:proofErr w:type="spellStart"/>
      <w:r w:rsidRPr="00E55F8E">
        <w:rPr>
          <w:rFonts w:ascii="Times New Roman" w:hAnsi="Times New Roman"/>
          <w:color w:val="222222"/>
          <w:sz w:val="24"/>
          <w:szCs w:val="24"/>
          <w:shd w:val="clear" w:color="auto" w:fill="FFFFFF"/>
        </w:rPr>
        <w:t>change</w:t>
      </w:r>
      <w:proofErr w:type="spellEnd"/>
      <w:r w:rsidRPr="00E55F8E">
        <w:rPr>
          <w:rFonts w:ascii="Times New Roman" w:hAnsi="Times New Roman"/>
          <w:color w:val="222222"/>
          <w:sz w:val="24"/>
          <w:szCs w:val="24"/>
          <w:shd w:val="clear" w:color="auto" w:fill="FFFFFF"/>
        </w:rPr>
        <w:t xml:space="preserve"> in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law</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court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percentage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penalties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practiced</w:t>
      </w:r>
      <w:proofErr w:type="spellEnd"/>
      <w:r w:rsidRPr="00E55F8E">
        <w:rPr>
          <w:rFonts w:ascii="Times New Roman" w:hAnsi="Times New Roman"/>
          <w:color w:val="222222"/>
          <w:sz w:val="24"/>
          <w:szCs w:val="24"/>
          <w:shd w:val="clear" w:color="auto" w:fill="FFFFFF"/>
        </w:rPr>
        <w:t xml:space="preserve">. It </w:t>
      </w:r>
      <w:proofErr w:type="spellStart"/>
      <w:r w:rsidRPr="00E55F8E">
        <w:rPr>
          <w:rFonts w:ascii="Times New Roman" w:hAnsi="Times New Roman"/>
          <w:color w:val="222222"/>
          <w:sz w:val="24"/>
          <w:szCs w:val="24"/>
          <w:shd w:val="clear" w:color="auto" w:fill="FFFFFF"/>
        </w:rPr>
        <w:t>is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concluded</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that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an</w:t>
      </w:r>
      <w:proofErr w:type="spellEnd"/>
      <w:r w:rsidRPr="00E55F8E">
        <w:rPr>
          <w:rFonts w:ascii="Times New Roman" w:hAnsi="Times New Roman"/>
          <w:color w:val="222222"/>
          <w:sz w:val="24"/>
          <w:szCs w:val="24"/>
          <w:shd w:val="clear" w:color="auto" w:fill="FFFFFF"/>
        </w:rPr>
        <w:t xml:space="preserve"> LAI </w:t>
      </w:r>
      <w:proofErr w:type="spellStart"/>
      <w:r w:rsidRPr="00E55F8E">
        <w:rPr>
          <w:rFonts w:ascii="Times New Roman" w:hAnsi="Times New Roman"/>
          <w:color w:val="222222"/>
          <w:sz w:val="24"/>
          <w:szCs w:val="24"/>
          <w:shd w:val="clear" w:color="auto" w:fill="FFFFFF"/>
        </w:rPr>
        <w:t>impacts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behavior</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public</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agents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regarding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imposition</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of</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sanctions</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not</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refuting</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the</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research</w:t>
      </w:r>
      <w:proofErr w:type="spellEnd"/>
      <w:r w:rsidRPr="00E55F8E">
        <w:rPr>
          <w:rFonts w:ascii="Times New Roman" w:hAnsi="Times New Roman"/>
          <w:color w:val="222222"/>
          <w:sz w:val="24"/>
          <w:szCs w:val="24"/>
          <w:shd w:val="clear" w:color="auto" w:fill="FFFFFF"/>
        </w:rPr>
        <w:t xml:space="preserve"> </w:t>
      </w:r>
      <w:proofErr w:type="spellStart"/>
      <w:r w:rsidRPr="00E55F8E">
        <w:rPr>
          <w:rFonts w:ascii="Times New Roman" w:hAnsi="Times New Roman"/>
          <w:color w:val="222222"/>
          <w:sz w:val="24"/>
          <w:szCs w:val="24"/>
          <w:shd w:val="clear" w:color="auto" w:fill="FFFFFF"/>
        </w:rPr>
        <w:t>hypothesis</w:t>
      </w:r>
      <w:proofErr w:type="spellEnd"/>
      <w:r w:rsidRPr="00E55F8E">
        <w:rPr>
          <w:rFonts w:ascii="Times New Roman" w:hAnsi="Times New Roman"/>
          <w:color w:val="222222"/>
          <w:sz w:val="24"/>
          <w:szCs w:val="24"/>
          <w:shd w:val="clear" w:color="auto" w:fill="FFFFFF"/>
        </w:rPr>
        <w:t>.</w:t>
      </w:r>
    </w:p>
    <w:p w14:paraId="4515A3D8" w14:textId="77777777" w:rsidR="00DE7A28" w:rsidRDefault="00DE7A28" w:rsidP="006A4C5F">
      <w:pPr>
        <w:spacing w:after="0" w:line="240" w:lineRule="auto"/>
        <w:jc w:val="both"/>
        <w:rPr>
          <w:rFonts w:ascii="Times New Roman" w:hAnsi="Times New Roman"/>
          <w:b/>
          <w:bCs/>
          <w:color w:val="222222"/>
          <w:sz w:val="24"/>
          <w:szCs w:val="24"/>
          <w:shd w:val="clear" w:color="auto" w:fill="FFFFFF"/>
        </w:rPr>
      </w:pPr>
    </w:p>
    <w:p w14:paraId="4B33AC70" w14:textId="3B3D98A4" w:rsidR="006A4C5F" w:rsidRPr="005A7717" w:rsidRDefault="006A4C5F" w:rsidP="006A4C5F">
      <w:pPr>
        <w:spacing w:after="0" w:line="240" w:lineRule="auto"/>
        <w:jc w:val="both"/>
        <w:rPr>
          <w:rFonts w:ascii="Times New Roman" w:hAnsi="Times New Roman"/>
          <w:sz w:val="24"/>
          <w:szCs w:val="24"/>
        </w:rPr>
      </w:pPr>
      <w:r w:rsidRPr="005A7717">
        <w:rPr>
          <w:rFonts w:ascii="Times New Roman" w:hAnsi="Times New Roman"/>
          <w:b/>
          <w:bCs/>
          <w:color w:val="222222"/>
          <w:sz w:val="24"/>
          <w:szCs w:val="24"/>
          <w:shd w:val="clear" w:color="auto" w:fill="FFFFFF"/>
        </w:rPr>
        <w:t>Keywords:</w:t>
      </w:r>
      <w:r w:rsidRPr="005A7717">
        <w:rPr>
          <w:rFonts w:ascii="Times New Roman" w:hAnsi="Times New Roman"/>
          <w:color w:val="222222"/>
          <w:sz w:val="24"/>
          <w:szCs w:val="24"/>
          <w:shd w:val="clear" w:color="auto" w:fill="FFFFFF"/>
        </w:rPr>
        <w:t xml:space="preserve"> Access </w:t>
      </w:r>
      <w:proofErr w:type="spellStart"/>
      <w:r w:rsidRPr="005A7717">
        <w:rPr>
          <w:rFonts w:ascii="Times New Roman" w:hAnsi="Times New Roman"/>
          <w:color w:val="222222"/>
          <w:sz w:val="24"/>
          <w:szCs w:val="24"/>
          <w:shd w:val="clear" w:color="auto" w:fill="FFFFFF"/>
        </w:rPr>
        <w:t>to</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Information</w:t>
      </w:r>
      <w:proofErr w:type="spellEnd"/>
      <w:r w:rsidRPr="005A7717">
        <w:rPr>
          <w:rFonts w:ascii="Times New Roman" w:hAnsi="Times New Roman"/>
          <w:color w:val="222222"/>
          <w:sz w:val="24"/>
          <w:szCs w:val="24"/>
          <w:shd w:val="clear" w:color="auto" w:fill="FFFFFF"/>
        </w:rPr>
        <w:t xml:space="preserve"> Law (LAI); </w:t>
      </w:r>
      <w:proofErr w:type="spellStart"/>
      <w:r w:rsidRPr="005A7717">
        <w:rPr>
          <w:rFonts w:ascii="Times New Roman" w:hAnsi="Times New Roman"/>
          <w:color w:val="222222"/>
          <w:sz w:val="24"/>
          <w:szCs w:val="24"/>
          <w:shd w:val="clear" w:color="auto" w:fill="FFFFFF"/>
        </w:rPr>
        <w:t>Court</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of</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Accounts</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of</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the</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Municipalities</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of</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the</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State</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of</w:t>
      </w:r>
      <w:proofErr w:type="spellEnd"/>
      <w:r w:rsidRPr="005A7717">
        <w:rPr>
          <w:rFonts w:ascii="Times New Roman" w:hAnsi="Times New Roman"/>
          <w:color w:val="222222"/>
          <w:sz w:val="24"/>
          <w:szCs w:val="24"/>
          <w:shd w:val="clear" w:color="auto" w:fill="FFFFFF"/>
        </w:rPr>
        <w:t> Goiás; </w:t>
      </w:r>
      <w:proofErr w:type="spellStart"/>
      <w:r w:rsidRPr="005A7717">
        <w:rPr>
          <w:rFonts w:ascii="Times New Roman" w:hAnsi="Times New Roman"/>
          <w:color w:val="222222"/>
          <w:sz w:val="24"/>
          <w:szCs w:val="24"/>
          <w:shd w:val="clear" w:color="auto" w:fill="FFFFFF"/>
        </w:rPr>
        <w:t>Rule</w:t>
      </w:r>
      <w:proofErr w:type="spellEnd"/>
      <w:r w:rsidRPr="005A7717">
        <w:rPr>
          <w:rFonts w:ascii="Times New Roman" w:hAnsi="Times New Roman"/>
          <w:color w:val="222222"/>
          <w:sz w:val="24"/>
          <w:szCs w:val="24"/>
          <w:shd w:val="clear" w:color="auto" w:fill="FFFFFF"/>
        </w:rPr>
        <w:t> </w:t>
      </w:r>
      <w:proofErr w:type="spellStart"/>
      <w:r w:rsidRPr="005A7717">
        <w:rPr>
          <w:rFonts w:ascii="Times New Roman" w:hAnsi="Times New Roman"/>
          <w:color w:val="222222"/>
          <w:sz w:val="24"/>
          <w:szCs w:val="24"/>
          <w:shd w:val="clear" w:color="auto" w:fill="FFFFFF"/>
        </w:rPr>
        <w:t>governing</w:t>
      </w:r>
      <w:proofErr w:type="spellEnd"/>
      <w:r w:rsidRPr="005A7717">
        <w:rPr>
          <w:rFonts w:ascii="Times New Roman" w:hAnsi="Times New Roman"/>
          <w:color w:val="222222"/>
          <w:sz w:val="24"/>
          <w:szCs w:val="24"/>
          <w:shd w:val="clear" w:color="auto" w:fill="FFFFFF"/>
        </w:rPr>
        <w:t xml:space="preserve"> </w:t>
      </w:r>
      <w:proofErr w:type="spellStart"/>
      <w:r w:rsidRPr="005A7717">
        <w:rPr>
          <w:rFonts w:ascii="Times New Roman" w:hAnsi="Times New Roman"/>
          <w:color w:val="222222"/>
          <w:sz w:val="24"/>
          <w:szCs w:val="24"/>
          <w:shd w:val="clear" w:color="auto" w:fill="FFFFFF"/>
        </w:rPr>
        <w:t>behavior</w:t>
      </w:r>
      <w:proofErr w:type="spellEnd"/>
      <w:r w:rsidRPr="005A7717">
        <w:rPr>
          <w:rFonts w:ascii="Times New Roman" w:hAnsi="Times New Roman"/>
          <w:color w:val="222222"/>
          <w:sz w:val="24"/>
          <w:szCs w:val="24"/>
          <w:shd w:val="clear" w:color="auto" w:fill="FFFFFF"/>
        </w:rPr>
        <w:t>.</w:t>
      </w:r>
    </w:p>
    <w:p w14:paraId="1D0BDA39" w14:textId="77777777" w:rsidR="00DE7A28" w:rsidRDefault="00DE7A28" w:rsidP="000B6B45">
      <w:pPr>
        <w:spacing w:after="0" w:line="240" w:lineRule="auto"/>
        <w:rPr>
          <w:rFonts w:ascii="Times New Roman" w:hAnsi="Times New Roman"/>
          <w:b/>
          <w:color w:val="000000" w:themeColor="text1"/>
          <w:sz w:val="24"/>
          <w:szCs w:val="24"/>
        </w:rPr>
      </w:pPr>
    </w:p>
    <w:p w14:paraId="54B70967" w14:textId="77777777" w:rsidR="006D7D8C" w:rsidRPr="00596D1F" w:rsidRDefault="004F1744" w:rsidP="005A2B69">
      <w:pPr>
        <w:pStyle w:val="Ttulo1"/>
        <w:spacing w:after="120"/>
        <w:ind w:left="431" w:hanging="431"/>
        <w:rPr>
          <w:color w:val="000000" w:themeColor="text1"/>
        </w:rPr>
      </w:pPr>
      <w:r w:rsidRPr="00596D1F">
        <w:rPr>
          <w:color w:val="000000" w:themeColor="text1"/>
        </w:rPr>
        <w:t>Introdução</w:t>
      </w:r>
    </w:p>
    <w:p w14:paraId="4E1B29DD" w14:textId="6ABF6EAF" w:rsidR="00DD0F60" w:rsidRPr="00596D1F" w:rsidRDefault="00357907" w:rsidP="00743677">
      <w:pPr>
        <w:spacing w:after="0" w:line="240" w:lineRule="auto"/>
        <w:ind w:firstLine="708"/>
        <w:jc w:val="both"/>
        <w:rPr>
          <w:rFonts w:ascii="Times New Roman" w:hAnsi="Times New Roman"/>
          <w:color w:val="000000" w:themeColor="text1"/>
          <w:sz w:val="24"/>
          <w:szCs w:val="24"/>
        </w:rPr>
      </w:pPr>
      <w:r w:rsidRPr="00596D1F">
        <w:rPr>
          <w:rFonts w:ascii="Times New Roman" w:eastAsia="Times New Roman" w:hAnsi="Times New Roman"/>
          <w:color w:val="000000" w:themeColor="text1"/>
          <w:sz w:val="24"/>
          <w:szCs w:val="24"/>
          <w:lang w:eastAsia="pt-BR"/>
        </w:rPr>
        <w:t>A</w:t>
      </w:r>
      <w:r w:rsidR="00DD0F60" w:rsidRPr="00596D1F">
        <w:rPr>
          <w:rFonts w:ascii="Times New Roman" w:eastAsia="Times New Roman" w:hAnsi="Times New Roman"/>
          <w:color w:val="000000" w:themeColor="text1"/>
          <w:sz w:val="24"/>
          <w:szCs w:val="24"/>
          <w:lang w:eastAsia="pt-BR"/>
        </w:rPr>
        <w:t xml:space="preserve"> Lei nº 12.572, promulgada em 18 de novembro de 2011, </w:t>
      </w:r>
      <w:r w:rsidR="00F43EFB" w:rsidRPr="00596D1F">
        <w:rPr>
          <w:rFonts w:ascii="Times New Roman" w:hAnsi="Times New Roman"/>
          <w:color w:val="000000" w:themeColor="text1"/>
          <w:sz w:val="24"/>
          <w:szCs w:val="24"/>
        </w:rPr>
        <w:t>regulamentou</w:t>
      </w:r>
      <w:r w:rsidR="00DD0F60" w:rsidRPr="00596D1F">
        <w:rPr>
          <w:rFonts w:ascii="Times New Roman" w:hAnsi="Times New Roman"/>
          <w:color w:val="000000" w:themeColor="text1"/>
          <w:sz w:val="24"/>
          <w:szCs w:val="24"/>
        </w:rPr>
        <w:t xml:space="preserve"> o acesso a informações previsto no inciso XXXIII, do art. 5, da Constituição Federal de 1988, de que todos têm direito a receber dos órgãos públicos informações do seu interesse particular, ou do interesse coletivo ou geral, que serão prestados no prazo da lei, sob pena de responsabilidade, ressalvadas as informações com sigilo. </w:t>
      </w:r>
      <w:r w:rsidR="008B6348">
        <w:rPr>
          <w:rFonts w:ascii="Times New Roman" w:hAnsi="Times New Roman"/>
          <w:color w:val="000000" w:themeColor="text1"/>
          <w:sz w:val="24"/>
          <w:szCs w:val="24"/>
        </w:rPr>
        <w:t>A lei, doravante LAI,</w:t>
      </w:r>
      <w:r w:rsidRPr="00596D1F">
        <w:rPr>
          <w:rFonts w:ascii="Times New Roman" w:hAnsi="Times New Roman"/>
          <w:color w:val="000000" w:themeColor="text1"/>
          <w:sz w:val="24"/>
          <w:szCs w:val="24"/>
        </w:rPr>
        <w:t xml:space="preserve"> representou um </w:t>
      </w:r>
      <w:r w:rsidR="0043294A" w:rsidRPr="00596D1F">
        <w:rPr>
          <w:rFonts w:ascii="Times New Roman" w:hAnsi="Times New Roman"/>
          <w:color w:val="000000" w:themeColor="text1"/>
          <w:sz w:val="24"/>
          <w:szCs w:val="24"/>
        </w:rPr>
        <w:t>marco</w:t>
      </w:r>
      <w:r w:rsidRPr="00596D1F">
        <w:rPr>
          <w:rFonts w:ascii="Times New Roman" w:hAnsi="Times New Roman"/>
          <w:color w:val="000000" w:themeColor="text1"/>
          <w:sz w:val="24"/>
          <w:szCs w:val="24"/>
        </w:rPr>
        <w:t xml:space="preserve"> fundamental rumo à consolidação da democracia brasileira, pois o Brasil deu um importante passo em direção à </w:t>
      </w:r>
      <w:r w:rsidR="00117487" w:rsidRPr="00596D1F">
        <w:rPr>
          <w:rFonts w:ascii="Times New Roman" w:hAnsi="Times New Roman"/>
          <w:color w:val="000000" w:themeColor="text1"/>
          <w:sz w:val="24"/>
          <w:szCs w:val="24"/>
        </w:rPr>
        <w:t>sedimentação</w:t>
      </w:r>
      <w:r w:rsidRPr="00596D1F">
        <w:rPr>
          <w:rFonts w:ascii="Times New Roman" w:hAnsi="Times New Roman"/>
          <w:color w:val="000000" w:themeColor="text1"/>
          <w:sz w:val="24"/>
          <w:szCs w:val="24"/>
        </w:rPr>
        <w:t xml:space="preserve"> e ao amadurecimento do processo democrático, </w:t>
      </w:r>
      <w:r w:rsidR="006F0B6F">
        <w:rPr>
          <w:rFonts w:ascii="Times New Roman" w:hAnsi="Times New Roman"/>
          <w:color w:val="000000" w:themeColor="text1"/>
          <w:sz w:val="24"/>
          <w:szCs w:val="24"/>
        </w:rPr>
        <w:t>ao passar</w:t>
      </w:r>
      <w:r w:rsidRPr="00596D1F">
        <w:rPr>
          <w:rFonts w:ascii="Times New Roman" w:hAnsi="Times New Roman"/>
          <w:color w:val="000000" w:themeColor="text1"/>
          <w:sz w:val="24"/>
          <w:szCs w:val="24"/>
        </w:rPr>
        <w:t xml:space="preserve"> da cultura do segredo para a do acesso, e</w:t>
      </w:r>
      <w:r w:rsidR="00117487"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nesse cenário</w:t>
      </w:r>
      <w:r w:rsidR="00117487"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a informação é regra e o sigilo a exceção (</w:t>
      </w:r>
      <w:r w:rsidR="00996A3F" w:rsidRPr="00596D1F">
        <w:rPr>
          <w:rFonts w:ascii="Times New Roman" w:hAnsi="Times New Roman"/>
          <w:color w:val="000000" w:themeColor="text1"/>
          <w:sz w:val="24"/>
          <w:szCs w:val="24"/>
        </w:rPr>
        <w:t>BERNARDES</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SANTOS</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ROVER</w:t>
      </w:r>
      <w:r w:rsidRPr="00596D1F">
        <w:rPr>
          <w:rFonts w:ascii="Times New Roman" w:hAnsi="Times New Roman"/>
          <w:color w:val="000000" w:themeColor="text1"/>
          <w:sz w:val="24"/>
          <w:szCs w:val="24"/>
        </w:rPr>
        <w:t xml:space="preserve">, 2015). </w:t>
      </w:r>
    </w:p>
    <w:p w14:paraId="06378D01" w14:textId="7D33E0AE" w:rsidR="00C65128" w:rsidRPr="00596D1F" w:rsidRDefault="00154F68" w:rsidP="00743677">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Klein, Klein e Luciano (2018</w:t>
      </w:r>
      <w:r w:rsidR="00B1105B">
        <w:rPr>
          <w:rFonts w:ascii="Times New Roman" w:hAnsi="Times New Roman"/>
          <w:color w:val="000000" w:themeColor="text1"/>
          <w:sz w:val="24"/>
          <w:szCs w:val="24"/>
        </w:rPr>
        <w:t>b</w:t>
      </w:r>
      <w:r w:rsidRPr="00596D1F">
        <w:rPr>
          <w:rFonts w:ascii="Times New Roman" w:hAnsi="Times New Roman"/>
          <w:color w:val="000000" w:themeColor="text1"/>
          <w:sz w:val="24"/>
          <w:szCs w:val="24"/>
        </w:rPr>
        <w:t xml:space="preserve">) </w:t>
      </w:r>
      <w:r w:rsidR="00117487" w:rsidRPr="00596D1F">
        <w:rPr>
          <w:rFonts w:ascii="Times New Roman" w:hAnsi="Times New Roman"/>
          <w:color w:val="000000" w:themeColor="text1"/>
          <w:sz w:val="24"/>
          <w:szCs w:val="24"/>
        </w:rPr>
        <w:t>asseveram</w:t>
      </w:r>
      <w:r w:rsidRPr="00596D1F">
        <w:rPr>
          <w:rFonts w:ascii="Times New Roman" w:hAnsi="Times New Roman"/>
          <w:color w:val="000000" w:themeColor="text1"/>
          <w:sz w:val="24"/>
          <w:szCs w:val="24"/>
        </w:rPr>
        <w:t xml:space="preserve"> que a transparência de dados públicos é capaz de</w:t>
      </w:r>
      <w:r w:rsidR="00065C53"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 xml:space="preserve">contribuir para reduzir a corrupção no espaço público e estabelecer relações mais democráticas entre o Estado e a sociedade cível. </w:t>
      </w:r>
      <w:proofErr w:type="spellStart"/>
      <w:r w:rsidRPr="00596D1F">
        <w:rPr>
          <w:rFonts w:ascii="Times New Roman" w:hAnsi="Times New Roman"/>
          <w:color w:val="000000" w:themeColor="text1"/>
          <w:sz w:val="24"/>
          <w:szCs w:val="24"/>
        </w:rPr>
        <w:t>Hoffner</w:t>
      </w:r>
      <w:proofErr w:type="spellEnd"/>
      <w:r w:rsidRPr="00596D1F">
        <w:rPr>
          <w:rFonts w:ascii="Times New Roman" w:hAnsi="Times New Roman"/>
          <w:color w:val="000000" w:themeColor="text1"/>
          <w:sz w:val="24"/>
          <w:szCs w:val="24"/>
        </w:rPr>
        <w:t>, Mar</w:t>
      </w:r>
      <w:r w:rsidR="00357907" w:rsidRPr="00596D1F">
        <w:rPr>
          <w:rFonts w:ascii="Times New Roman" w:hAnsi="Times New Roman"/>
          <w:color w:val="000000" w:themeColor="text1"/>
          <w:sz w:val="24"/>
          <w:szCs w:val="24"/>
        </w:rPr>
        <w:t xml:space="preserve">tins </w:t>
      </w:r>
      <w:r w:rsidR="008F0975">
        <w:rPr>
          <w:rFonts w:ascii="Times New Roman" w:hAnsi="Times New Roman"/>
          <w:color w:val="000000" w:themeColor="text1"/>
          <w:sz w:val="24"/>
          <w:szCs w:val="24"/>
        </w:rPr>
        <w:t>e</w:t>
      </w:r>
      <w:r w:rsidR="008F0975"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Lehman (2016)</w:t>
      </w:r>
      <w:r w:rsidR="00117487" w:rsidRPr="00596D1F">
        <w:rPr>
          <w:rFonts w:ascii="Times New Roman" w:hAnsi="Times New Roman"/>
          <w:color w:val="000000" w:themeColor="text1"/>
          <w:sz w:val="24"/>
          <w:szCs w:val="24"/>
        </w:rPr>
        <w:t xml:space="preserve"> explicam que </w:t>
      </w:r>
      <w:r w:rsidRPr="00596D1F">
        <w:rPr>
          <w:rFonts w:ascii="Times New Roman" w:hAnsi="Times New Roman"/>
          <w:color w:val="000000" w:themeColor="text1"/>
          <w:sz w:val="24"/>
          <w:szCs w:val="24"/>
        </w:rPr>
        <w:t>dados públicos abertos t</w:t>
      </w:r>
      <w:r w:rsidR="00117487" w:rsidRPr="00596D1F">
        <w:rPr>
          <w:rFonts w:ascii="Times New Roman" w:hAnsi="Times New Roman"/>
          <w:color w:val="000000" w:themeColor="text1"/>
          <w:sz w:val="24"/>
          <w:szCs w:val="24"/>
        </w:rPr>
        <w:t>ê</w:t>
      </w:r>
      <w:r w:rsidRPr="00596D1F">
        <w:rPr>
          <w:rFonts w:ascii="Times New Roman" w:hAnsi="Times New Roman"/>
          <w:color w:val="000000" w:themeColor="text1"/>
          <w:sz w:val="24"/>
          <w:szCs w:val="24"/>
        </w:rPr>
        <w:t>m o poder de reduzir a corrupção por</w:t>
      </w:r>
      <w:r w:rsidR="003832C3" w:rsidRPr="00596D1F">
        <w:rPr>
          <w:rFonts w:ascii="Times New Roman" w:hAnsi="Times New Roman"/>
          <w:color w:val="000000" w:themeColor="text1"/>
          <w:sz w:val="24"/>
          <w:szCs w:val="24"/>
        </w:rPr>
        <w:t>que</w:t>
      </w:r>
      <w:r w:rsidRPr="00596D1F">
        <w:rPr>
          <w:rFonts w:ascii="Times New Roman" w:hAnsi="Times New Roman"/>
          <w:color w:val="000000" w:themeColor="text1"/>
          <w:sz w:val="24"/>
          <w:szCs w:val="24"/>
        </w:rPr>
        <w:t xml:space="preserve"> aumenta</w:t>
      </w:r>
      <w:r w:rsidR="006F0B6F">
        <w:rPr>
          <w:rFonts w:ascii="Times New Roman" w:hAnsi="Times New Roman"/>
          <w:color w:val="000000" w:themeColor="text1"/>
          <w:sz w:val="24"/>
          <w:szCs w:val="24"/>
        </w:rPr>
        <w:t>m a</w:t>
      </w:r>
      <w:r w:rsidRPr="00596D1F">
        <w:rPr>
          <w:rFonts w:ascii="Times New Roman" w:hAnsi="Times New Roman"/>
          <w:color w:val="000000" w:themeColor="text1"/>
          <w:sz w:val="24"/>
          <w:szCs w:val="24"/>
        </w:rPr>
        <w:t xml:space="preserve"> prestação de contas e</w:t>
      </w:r>
      <w:r w:rsidR="00117487" w:rsidRPr="00596D1F">
        <w:rPr>
          <w:rFonts w:ascii="Times New Roman" w:hAnsi="Times New Roman"/>
          <w:color w:val="000000" w:themeColor="text1"/>
          <w:sz w:val="24"/>
          <w:szCs w:val="24"/>
        </w:rPr>
        <w:t xml:space="preserve"> a</w:t>
      </w:r>
      <w:r w:rsidRPr="00596D1F">
        <w:rPr>
          <w:rFonts w:ascii="Times New Roman" w:hAnsi="Times New Roman"/>
          <w:color w:val="000000" w:themeColor="text1"/>
          <w:sz w:val="24"/>
          <w:szCs w:val="24"/>
        </w:rPr>
        <w:t xml:space="preserve"> transparência, </w:t>
      </w:r>
      <w:r w:rsidR="006F0B6F">
        <w:rPr>
          <w:rFonts w:ascii="Times New Roman" w:hAnsi="Times New Roman"/>
          <w:color w:val="000000" w:themeColor="text1"/>
          <w:sz w:val="24"/>
          <w:szCs w:val="24"/>
        </w:rPr>
        <w:t>no sentido de fortalecer</w:t>
      </w:r>
      <w:r w:rsidRPr="00596D1F">
        <w:rPr>
          <w:rFonts w:ascii="Times New Roman" w:hAnsi="Times New Roman"/>
          <w:color w:val="000000" w:themeColor="text1"/>
          <w:sz w:val="24"/>
          <w:szCs w:val="24"/>
        </w:rPr>
        <w:t xml:space="preserve"> a democracia</w:t>
      </w:r>
      <w:r w:rsidR="003832C3" w:rsidRPr="00596D1F">
        <w:rPr>
          <w:rFonts w:ascii="Times New Roman" w:hAnsi="Times New Roman"/>
          <w:color w:val="000000" w:themeColor="text1"/>
          <w:sz w:val="24"/>
          <w:szCs w:val="24"/>
        </w:rPr>
        <w:t>, tendo em vista que</w:t>
      </w:r>
      <w:r w:rsidRPr="00596D1F">
        <w:rPr>
          <w:rFonts w:ascii="Times New Roman" w:hAnsi="Times New Roman"/>
          <w:color w:val="000000" w:themeColor="text1"/>
          <w:sz w:val="24"/>
          <w:szCs w:val="24"/>
        </w:rPr>
        <w:t xml:space="preserve"> os eleitores podem tomar melhores decisões </w:t>
      </w:r>
      <w:r w:rsidR="00E4752A">
        <w:rPr>
          <w:rFonts w:ascii="Times New Roman" w:hAnsi="Times New Roman"/>
          <w:color w:val="000000" w:themeColor="text1"/>
          <w:sz w:val="24"/>
          <w:szCs w:val="24"/>
        </w:rPr>
        <w:t>ao estarem</w:t>
      </w:r>
      <w:r w:rsidRPr="00596D1F">
        <w:rPr>
          <w:rFonts w:ascii="Times New Roman" w:hAnsi="Times New Roman"/>
          <w:color w:val="000000" w:themeColor="text1"/>
          <w:sz w:val="24"/>
          <w:szCs w:val="24"/>
        </w:rPr>
        <w:t xml:space="preserve"> bem</w:t>
      </w:r>
      <w:r w:rsidR="00357907" w:rsidRPr="00596D1F">
        <w:rPr>
          <w:rFonts w:ascii="Times New Roman" w:hAnsi="Times New Roman"/>
          <w:color w:val="000000" w:themeColor="text1"/>
          <w:sz w:val="24"/>
          <w:szCs w:val="24"/>
        </w:rPr>
        <w:t xml:space="preserve"> mais</w:t>
      </w:r>
      <w:r w:rsidRPr="00596D1F">
        <w:rPr>
          <w:rFonts w:ascii="Times New Roman" w:hAnsi="Times New Roman"/>
          <w:color w:val="000000" w:themeColor="text1"/>
          <w:sz w:val="24"/>
          <w:szCs w:val="24"/>
        </w:rPr>
        <w:t xml:space="preserve"> informados e</w:t>
      </w:r>
      <w:r w:rsidR="00E4752A">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assim sendo</w:t>
      </w:r>
      <w:r w:rsidR="00E4752A">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pode fortalecer o governo, </w:t>
      </w:r>
      <w:r w:rsidR="008F0975">
        <w:rPr>
          <w:rFonts w:ascii="Times New Roman" w:hAnsi="Times New Roman"/>
          <w:color w:val="000000" w:themeColor="text1"/>
          <w:sz w:val="24"/>
          <w:szCs w:val="24"/>
        </w:rPr>
        <w:t>ao exigir</w:t>
      </w:r>
      <w:r w:rsidR="003832C3" w:rsidRPr="00596D1F">
        <w:rPr>
          <w:rFonts w:ascii="Times New Roman" w:hAnsi="Times New Roman"/>
          <w:color w:val="000000" w:themeColor="text1"/>
          <w:sz w:val="24"/>
          <w:szCs w:val="24"/>
        </w:rPr>
        <w:t>-lhe</w:t>
      </w:r>
      <w:r w:rsidRPr="00596D1F">
        <w:rPr>
          <w:rFonts w:ascii="Times New Roman" w:hAnsi="Times New Roman"/>
          <w:color w:val="000000" w:themeColor="text1"/>
          <w:sz w:val="24"/>
          <w:szCs w:val="24"/>
        </w:rPr>
        <w:t xml:space="preserve"> mais compromisso com os projetos propostos.</w:t>
      </w:r>
      <w:r w:rsidR="00766C2B" w:rsidRPr="00596D1F">
        <w:rPr>
          <w:rFonts w:ascii="Times New Roman" w:hAnsi="Times New Roman"/>
          <w:color w:val="000000" w:themeColor="text1"/>
          <w:sz w:val="24"/>
          <w:szCs w:val="24"/>
        </w:rPr>
        <w:t xml:space="preserve"> </w:t>
      </w:r>
      <w:r w:rsidR="00C65128" w:rsidRPr="00596D1F">
        <w:rPr>
          <w:rFonts w:ascii="Times New Roman" w:hAnsi="Times New Roman"/>
          <w:color w:val="000000" w:themeColor="text1"/>
          <w:sz w:val="24"/>
          <w:szCs w:val="24"/>
        </w:rPr>
        <w:t>Para Sol (2013)</w:t>
      </w:r>
      <w:r w:rsidR="00E4752A">
        <w:rPr>
          <w:rFonts w:ascii="Times New Roman" w:hAnsi="Times New Roman"/>
          <w:color w:val="000000" w:themeColor="text1"/>
          <w:sz w:val="24"/>
          <w:szCs w:val="24"/>
        </w:rPr>
        <w:t>,</w:t>
      </w:r>
      <w:r w:rsidR="00C65128" w:rsidRPr="00596D1F">
        <w:rPr>
          <w:rFonts w:ascii="Times New Roman" w:hAnsi="Times New Roman"/>
          <w:color w:val="000000" w:themeColor="text1"/>
          <w:sz w:val="24"/>
          <w:szCs w:val="24"/>
        </w:rPr>
        <w:t xml:space="preserve"> a transparência ajuda a responsabilizar os funcionários do governo por suas ações e omissões. </w:t>
      </w:r>
    </w:p>
    <w:p w14:paraId="1C2900C9" w14:textId="4D060F55" w:rsidR="0068706A" w:rsidRPr="00596D1F" w:rsidRDefault="00065C53" w:rsidP="00743677">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Segundo a LAI</w:t>
      </w:r>
      <w:r w:rsidR="00DC4DC8"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c</w:t>
      </w:r>
      <w:r w:rsidR="00501C7C" w:rsidRPr="00596D1F">
        <w:rPr>
          <w:rFonts w:ascii="Times New Roman" w:hAnsi="Times New Roman"/>
          <w:color w:val="000000" w:themeColor="text1"/>
          <w:sz w:val="24"/>
          <w:szCs w:val="24"/>
        </w:rPr>
        <w:t xml:space="preserve">abe </w:t>
      </w:r>
      <w:r w:rsidR="003900AD" w:rsidRPr="00596D1F">
        <w:rPr>
          <w:rFonts w:ascii="Times New Roman" w:hAnsi="Times New Roman"/>
          <w:color w:val="000000" w:themeColor="text1"/>
          <w:sz w:val="24"/>
          <w:szCs w:val="24"/>
        </w:rPr>
        <w:t>a União, Estados, Distrito Federal</w:t>
      </w:r>
      <w:r w:rsidR="00DC4DC8" w:rsidRPr="00596D1F">
        <w:rPr>
          <w:rFonts w:ascii="Times New Roman" w:hAnsi="Times New Roman"/>
          <w:color w:val="000000" w:themeColor="text1"/>
          <w:sz w:val="24"/>
          <w:szCs w:val="24"/>
        </w:rPr>
        <w:t>,</w:t>
      </w:r>
      <w:r w:rsidR="003900AD" w:rsidRPr="00596D1F">
        <w:rPr>
          <w:rFonts w:ascii="Times New Roman" w:hAnsi="Times New Roman"/>
          <w:color w:val="000000" w:themeColor="text1"/>
          <w:sz w:val="24"/>
          <w:szCs w:val="24"/>
        </w:rPr>
        <w:t xml:space="preserve"> Munic</w:t>
      </w:r>
      <w:r w:rsidR="00DC4DC8" w:rsidRPr="00596D1F">
        <w:rPr>
          <w:rFonts w:ascii="Times New Roman" w:hAnsi="Times New Roman"/>
          <w:color w:val="000000" w:themeColor="text1"/>
          <w:sz w:val="24"/>
          <w:szCs w:val="24"/>
        </w:rPr>
        <w:t>ípios</w:t>
      </w:r>
      <w:r w:rsidR="0068706A" w:rsidRPr="00596D1F">
        <w:rPr>
          <w:rFonts w:ascii="Times New Roman" w:hAnsi="Times New Roman"/>
          <w:color w:val="000000" w:themeColor="text1"/>
          <w:sz w:val="24"/>
          <w:szCs w:val="24"/>
        </w:rPr>
        <w:t>,</w:t>
      </w:r>
      <w:r w:rsidR="00DC4DC8" w:rsidRPr="00596D1F">
        <w:rPr>
          <w:rFonts w:ascii="Times New Roman" w:hAnsi="Times New Roman"/>
          <w:color w:val="000000" w:themeColor="text1"/>
          <w:sz w:val="24"/>
          <w:szCs w:val="24"/>
        </w:rPr>
        <w:t xml:space="preserve"> bem como os órgãos públicos da administração direta e indireta dos Poderes Executivo, Legislativo, </w:t>
      </w:r>
      <w:r w:rsidR="00E4752A">
        <w:rPr>
          <w:rFonts w:ascii="Times New Roman" w:hAnsi="Times New Roman"/>
          <w:color w:val="000000" w:themeColor="text1"/>
          <w:sz w:val="24"/>
          <w:szCs w:val="24"/>
        </w:rPr>
        <w:t>ao se incluírem</w:t>
      </w:r>
      <w:r w:rsidR="00DC4DC8" w:rsidRPr="00596D1F">
        <w:rPr>
          <w:rFonts w:ascii="Times New Roman" w:hAnsi="Times New Roman"/>
          <w:color w:val="000000" w:themeColor="text1"/>
          <w:sz w:val="24"/>
          <w:szCs w:val="24"/>
        </w:rPr>
        <w:t xml:space="preserve"> Cortes de Contas, Judiciário e Ministério Público, dentre outros, </w:t>
      </w:r>
      <w:r w:rsidR="0068706A" w:rsidRPr="00596D1F">
        <w:rPr>
          <w:rFonts w:ascii="Times New Roman" w:hAnsi="Times New Roman"/>
          <w:color w:val="000000" w:themeColor="text1"/>
          <w:sz w:val="24"/>
          <w:szCs w:val="24"/>
        </w:rPr>
        <w:t xml:space="preserve">assegurar a gestão transparente da informação com amplo acesso a ela, proteção da informação com garantia de sua disponibilidade, autenticidade e integridade. O acesso, portanto, compreende os direitos de obter orientação de como e onde conseguir dados, informações produzidas por pessoas físicas e jurídicas decorrentes de vínculos com o poder público, informações sobre atividades exercidas pelos órgãos e entidades, informações pertinentes </w:t>
      </w:r>
      <w:r w:rsidR="00E4752A">
        <w:rPr>
          <w:rFonts w:ascii="Times New Roman" w:hAnsi="Times New Roman"/>
          <w:color w:val="000000" w:themeColor="text1"/>
          <w:sz w:val="24"/>
          <w:szCs w:val="24"/>
        </w:rPr>
        <w:t xml:space="preserve">à </w:t>
      </w:r>
      <w:r w:rsidR="0068706A" w:rsidRPr="00596D1F">
        <w:rPr>
          <w:rFonts w:ascii="Times New Roman" w:hAnsi="Times New Roman"/>
          <w:color w:val="000000" w:themeColor="text1"/>
          <w:sz w:val="24"/>
          <w:szCs w:val="24"/>
        </w:rPr>
        <w:t>administração do patrimônio, informações de implantação acompanhamento e resultado de programas, projetos e ações de órgãos públicos e entidades públicas, bem como metas e indicadores, e informações de inspeção, auditorias</w:t>
      </w:r>
      <w:r w:rsidR="001C1100" w:rsidRPr="00596D1F">
        <w:rPr>
          <w:rFonts w:ascii="Times New Roman" w:hAnsi="Times New Roman"/>
          <w:color w:val="000000" w:themeColor="text1"/>
          <w:sz w:val="24"/>
          <w:szCs w:val="24"/>
        </w:rPr>
        <w:t>, prestações e tomadas de contas realizadas por órgãos de controle.</w:t>
      </w:r>
    </w:p>
    <w:p w14:paraId="6C0FD2F1" w14:textId="7C870EF6" w:rsidR="003D15A7" w:rsidRPr="00596D1F" w:rsidRDefault="00EC3621" w:rsidP="00743677">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As pesquisas </w:t>
      </w:r>
      <w:r w:rsidR="00F43EFB" w:rsidRPr="00596D1F">
        <w:rPr>
          <w:rFonts w:ascii="Times New Roman" w:hAnsi="Times New Roman"/>
          <w:color w:val="000000" w:themeColor="text1"/>
          <w:sz w:val="24"/>
          <w:szCs w:val="24"/>
        </w:rPr>
        <w:t>sobre</w:t>
      </w:r>
      <w:r w:rsidRPr="00596D1F">
        <w:rPr>
          <w:rFonts w:ascii="Times New Roman" w:hAnsi="Times New Roman"/>
          <w:color w:val="000000" w:themeColor="text1"/>
          <w:sz w:val="24"/>
          <w:szCs w:val="24"/>
        </w:rPr>
        <w:t xml:space="preserve"> LAI são recentes</w:t>
      </w:r>
      <w:r w:rsidR="008E0824"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em função</w:t>
      </w:r>
      <w:r w:rsidR="00F43EFB"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 xml:space="preserve">do pouco tempo de sua vigência. </w:t>
      </w:r>
      <w:r w:rsidR="00C4618A" w:rsidRPr="00596D1F">
        <w:rPr>
          <w:rFonts w:ascii="Times New Roman" w:hAnsi="Times New Roman"/>
          <w:color w:val="000000" w:themeColor="text1"/>
          <w:sz w:val="24"/>
          <w:szCs w:val="24"/>
        </w:rPr>
        <w:t>O objetivo principal</w:t>
      </w:r>
      <w:r w:rsidR="008E0824" w:rsidRPr="00596D1F">
        <w:rPr>
          <w:rFonts w:ascii="Times New Roman" w:hAnsi="Times New Roman"/>
          <w:color w:val="000000" w:themeColor="text1"/>
          <w:sz w:val="24"/>
          <w:szCs w:val="24"/>
        </w:rPr>
        <w:t xml:space="preserve"> dos estudos, regra geral, foi o de </w:t>
      </w:r>
      <w:r w:rsidRPr="00596D1F">
        <w:rPr>
          <w:rFonts w:ascii="Times New Roman" w:hAnsi="Times New Roman"/>
          <w:color w:val="000000" w:themeColor="text1"/>
          <w:sz w:val="24"/>
          <w:szCs w:val="24"/>
        </w:rPr>
        <w:t xml:space="preserve">verificar se os </w:t>
      </w:r>
      <w:r w:rsidR="00117487" w:rsidRPr="00596D1F">
        <w:rPr>
          <w:rFonts w:ascii="Times New Roman" w:hAnsi="Times New Roman"/>
          <w:color w:val="000000" w:themeColor="text1"/>
          <w:sz w:val="24"/>
          <w:szCs w:val="24"/>
        </w:rPr>
        <w:t>órgãos públicos</w:t>
      </w:r>
      <w:r w:rsidRPr="00596D1F">
        <w:rPr>
          <w:rFonts w:ascii="Times New Roman" w:hAnsi="Times New Roman"/>
          <w:color w:val="000000" w:themeColor="text1"/>
          <w:sz w:val="24"/>
          <w:szCs w:val="24"/>
        </w:rPr>
        <w:t xml:space="preserve"> estavam </w:t>
      </w:r>
      <w:r w:rsidRPr="00596D1F">
        <w:rPr>
          <w:rFonts w:ascii="Times New Roman" w:hAnsi="Times New Roman"/>
          <w:color w:val="000000" w:themeColor="text1"/>
          <w:sz w:val="24"/>
          <w:szCs w:val="24"/>
        </w:rPr>
        <w:lastRenderedPageBreak/>
        <w:t>cumpri</w:t>
      </w:r>
      <w:r w:rsidR="007028D5" w:rsidRPr="00596D1F">
        <w:rPr>
          <w:rFonts w:ascii="Times New Roman" w:hAnsi="Times New Roman"/>
          <w:color w:val="000000" w:themeColor="text1"/>
          <w:sz w:val="24"/>
          <w:szCs w:val="24"/>
        </w:rPr>
        <w:t>ndo</w:t>
      </w:r>
      <w:r w:rsidR="00D10887" w:rsidRPr="00596D1F">
        <w:rPr>
          <w:rFonts w:ascii="Times New Roman" w:hAnsi="Times New Roman"/>
          <w:color w:val="000000" w:themeColor="text1"/>
          <w:sz w:val="24"/>
          <w:szCs w:val="24"/>
        </w:rPr>
        <w:t xml:space="preserve">, efetivamente, </w:t>
      </w:r>
      <w:r w:rsidRPr="00596D1F">
        <w:rPr>
          <w:rFonts w:ascii="Times New Roman" w:hAnsi="Times New Roman"/>
          <w:color w:val="000000" w:themeColor="text1"/>
          <w:sz w:val="24"/>
          <w:szCs w:val="24"/>
        </w:rPr>
        <w:t xml:space="preserve">as exigências de transparência dos dados públicos. </w:t>
      </w:r>
      <w:r w:rsidR="00117487" w:rsidRPr="00596D1F">
        <w:rPr>
          <w:rFonts w:ascii="Times New Roman" w:hAnsi="Times New Roman"/>
          <w:color w:val="000000" w:themeColor="text1"/>
          <w:sz w:val="24"/>
          <w:szCs w:val="24"/>
        </w:rPr>
        <w:t>Os resultados</w:t>
      </w:r>
      <w:r w:rsidR="00F43EFB" w:rsidRPr="00596D1F">
        <w:rPr>
          <w:rFonts w:ascii="Times New Roman" w:hAnsi="Times New Roman"/>
          <w:color w:val="000000" w:themeColor="text1"/>
          <w:sz w:val="24"/>
          <w:szCs w:val="24"/>
        </w:rPr>
        <w:t xml:space="preserve"> apontam</w:t>
      </w:r>
      <w:r w:rsidR="00D10887" w:rsidRPr="00596D1F">
        <w:rPr>
          <w:rFonts w:ascii="Times New Roman" w:hAnsi="Times New Roman"/>
          <w:color w:val="000000" w:themeColor="text1"/>
          <w:sz w:val="24"/>
          <w:szCs w:val="24"/>
        </w:rPr>
        <w:t xml:space="preserve"> que a LAI</w:t>
      </w:r>
      <w:r w:rsidR="005678B8" w:rsidRPr="00596D1F">
        <w:rPr>
          <w:rFonts w:ascii="Times New Roman" w:hAnsi="Times New Roman"/>
          <w:color w:val="000000" w:themeColor="text1"/>
          <w:sz w:val="24"/>
          <w:szCs w:val="24"/>
        </w:rPr>
        <w:t xml:space="preserve"> não </w:t>
      </w:r>
      <w:r w:rsidR="008E0824" w:rsidRPr="00596D1F">
        <w:rPr>
          <w:rFonts w:ascii="Times New Roman" w:hAnsi="Times New Roman"/>
          <w:color w:val="000000" w:themeColor="text1"/>
          <w:sz w:val="24"/>
          <w:szCs w:val="24"/>
        </w:rPr>
        <w:t>vem sendo</w:t>
      </w:r>
      <w:r w:rsidR="00D10887" w:rsidRPr="00596D1F">
        <w:rPr>
          <w:rFonts w:ascii="Times New Roman" w:hAnsi="Times New Roman"/>
          <w:color w:val="000000" w:themeColor="text1"/>
          <w:sz w:val="24"/>
          <w:szCs w:val="24"/>
        </w:rPr>
        <w:t xml:space="preserve"> </w:t>
      </w:r>
      <w:r w:rsidR="005678B8" w:rsidRPr="00596D1F">
        <w:rPr>
          <w:rFonts w:ascii="Times New Roman" w:hAnsi="Times New Roman"/>
          <w:color w:val="000000" w:themeColor="text1"/>
          <w:sz w:val="24"/>
          <w:szCs w:val="24"/>
        </w:rPr>
        <w:t>observada</w:t>
      </w:r>
      <w:r w:rsidR="00C65128" w:rsidRPr="00596D1F">
        <w:rPr>
          <w:rFonts w:ascii="Times New Roman" w:hAnsi="Times New Roman"/>
          <w:color w:val="000000" w:themeColor="text1"/>
          <w:sz w:val="24"/>
          <w:szCs w:val="24"/>
        </w:rPr>
        <w:t xml:space="preserve"> integralmente</w:t>
      </w:r>
      <w:r w:rsidR="005678B8" w:rsidRPr="00596D1F">
        <w:rPr>
          <w:rFonts w:ascii="Times New Roman" w:hAnsi="Times New Roman"/>
          <w:color w:val="000000" w:themeColor="text1"/>
          <w:sz w:val="24"/>
          <w:szCs w:val="24"/>
        </w:rPr>
        <w:t xml:space="preserve"> </w:t>
      </w:r>
      <w:r w:rsidR="00FA1DB6" w:rsidRPr="00596D1F">
        <w:rPr>
          <w:rFonts w:ascii="Times New Roman" w:hAnsi="Times New Roman"/>
          <w:color w:val="000000" w:themeColor="text1"/>
          <w:sz w:val="24"/>
          <w:szCs w:val="24"/>
        </w:rPr>
        <w:t>nos</w:t>
      </w:r>
      <w:r w:rsidR="00D10887" w:rsidRPr="00596D1F">
        <w:rPr>
          <w:rFonts w:ascii="Times New Roman" w:hAnsi="Times New Roman"/>
          <w:color w:val="000000" w:themeColor="text1"/>
          <w:sz w:val="24"/>
          <w:szCs w:val="24"/>
        </w:rPr>
        <w:t xml:space="preserve"> diferentes poderes</w:t>
      </w:r>
      <w:r w:rsidR="00530D25" w:rsidRPr="00596D1F">
        <w:rPr>
          <w:rFonts w:ascii="Times New Roman" w:hAnsi="Times New Roman"/>
          <w:color w:val="000000" w:themeColor="text1"/>
          <w:sz w:val="24"/>
          <w:szCs w:val="24"/>
        </w:rPr>
        <w:t xml:space="preserve"> </w:t>
      </w:r>
      <w:r w:rsidR="005678B8" w:rsidRPr="00596D1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MICHENER</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CONTRERAS</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NISKIER, 2018; CARDOSO</w:t>
      </w:r>
      <w:r w:rsidR="00996A3F">
        <w:rPr>
          <w:rFonts w:ascii="Times New Roman" w:hAnsi="Times New Roman"/>
          <w:color w:val="000000" w:themeColor="text1"/>
          <w:sz w:val="24"/>
          <w:szCs w:val="24"/>
        </w:rPr>
        <w:t xml:space="preserve"> </w:t>
      </w:r>
      <w:r w:rsidR="00996A3F" w:rsidRPr="00996A3F">
        <w:rPr>
          <w:rFonts w:ascii="Times New Roman" w:hAnsi="Times New Roman"/>
          <w:i/>
          <w:iCs/>
          <w:color w:val="000000" w:themeColor="text1"/>
          <w:sz w:val="24"/>
          <w:szCs w:val="24"/>
        </w:rPr>
        <w:t>et al.</w:t>
      </w:r>
      <w:r w:rsidR="0043294A" w:rsidRPr="00596D1F">
        <w:rPr>
          <w:rFonts w:ascii="Times New Roman" w:hAnsi="Times New Roman"/>
          <w:color w:val="000000" w:themeColor="text1"/>
          <w:sz w:val="24"/>
          <w:szCs w:val="24"/>
        </w:rPr>
        <w:t xml:space="preserve">, 2018; </w:t>
      </w:r>
      <w:r w:rsidR="00996A3F" w:rsidRPr="00596D1F">
        <w:rPr>
          <w:rFonts w:ascii="Times New Roman" w:eastAsia="Times New Roman" w:hAnsi="Times New Roman"/>
          <w:color w:val="000000" w:themeColor="text1"/>
          <w:sz w:val="24"/>
          <w:szCs w:val="24"/>
          <w:lang w:eastAsia="pt-BR"/>
        </w:rPr>
        <w:t>BERNARDES</w:t>
      </w:r>
      <w:r w:rsidR="00996A3F">
        <w:rPr>
          <w:rFonts w:ascii="Times New Roman" w:eastAsia="Times New Roman" w:hAnsi="Times New Roman"/>
          <w:color w:val="000000" w:themeColor="text1"/>
          <w:sz w:val="24"/>
          <w:szCs w:val="24"/>
          <w:lang w:eastAsia="pt-BR"/>
        </w:rPr>
        <w:t>;</w:t>
      </w:r>
      <w:r w:rsidR="00996A3F" w:rsidRPr="00596D1F">
        <w:rPr>
          <w:rFonts w:ascii="Times New Roman" w:eastAsia="Times New Roman" w:hAnsi="Times New Roman"/>
          <w:color w:val="000000" w:themeColor="text1"/>
          <w:sz w:val="24"/>
          <w:szCs w:val="24"/>
          <w:lang w:eastAsia="pt-BR"/>
        </w:rPr>
        <w:t xml:space="preserve"> SANTOS</w:t>
      </w:r>
      <w:r w:rsidR="00996A3F">
        <w:rPr>
          <w:rFonts w:ascii="Times New Roman" w:eastAsia="Times New Roman" w:hAnsi="Times New Roman"/>
          <w:color w:val="000000" w:themeColor="text1"/>
          <w:sz w:val="24"/>
          <w:szCs w:val="24"/>
          <w:lang w:eastAsia="pt-BR"/>
        </w:rPr>
        <w:t>;</w:t>
      </w:r>
      <w:r w:rsidR="00996A3F" w:rsidRPr="00596D1F">
        <w:rPr>
          <w:rFonts w:ascii="Times New Roman" w:eastAsia="Times New Roman" w:hAnsi="Times New Roman"/>
          <w:color w:val="000000" w:themeColor="text1"/>
          <w:sz w:val="24"/>
          <w:szCs w:val="24"/>
          <w:lang w:eastAsia="pt-BR"/>
        </w:rPr>
        <w:t xml:space="preserve"> ROVER, 2015; </w:t>
      </w:r>
      <w:r w:rsidR="00996A3F" w:rsidRPr="00596D1F">
        <w:rPr>
          <w:rFonts w:ascii="Times New Roman" w:hAnsi="Times New Roman"/>
          <w:color w:val="000000" w:themeColor="text1"/>
          <w:sz w:val="24"/>
          <w:szCs w:val="24"/>
        </w:rPr>
        <w:t>RESENDE</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NASSIF, 2015; ROSA</w:t>
      </w:r>
      <w:r w:rsidR="00996A3F">
        <w:rPr>
          <w:rFonts w:ascii="Times New Roman" w:hAnsi="Times New Roman"/>
          <w:color w:val="000000" w:themeColor="text1"/>
          <w:sz w:val="24"/>
          <w:szCs w:val="24"/>
        </w:rPr>
        <w:t xml:space="preserve"> </w:t>
      </w:r>
      <w:r w:rsidR="00996A3F" w:rsidRPr="00996A3F">
        <w:rPr>
          <w:rFonts w:ascii="Times New Roman" w:hAnsi="Times New Roman"/>
          <w:i/>
          <w:iCs/>
          <w:color w:val="000000" w:themeColor="text1"/>
          <w:sz w:val="24"/>
          <w:szCs w:val="24"/>
        </w:rPr>
        <w:t>et al.,</w:t>
      </w:r>
      <w:r w:rsidR="00996A3F" w:rsidRPr="00596D1F">
        <w:rPr>
          <w:rFonts w:ascii="Times New Roman" w:hAnsi="Times New Roman"/>
          <w:color w:val="000000" w:themeColor="text1"/>
          <w:sz w:val="24"/>
          <w:szCs w:val="24"/>
        </w:rPr>
        <w:t xml:space="preserve"> 2016</w:t>
      </w:r>
      <w:r w:rsidR="00996A3F" w:rsidRPr="00596D1F">
        <w:rPr>
          <w:rFonts w:ascii="Times New Roman" w:eastAsia="Times New Roman" w:hAnsi="Times New Roman"/>
          <w:color w:val="000000" w:themeColor="text1"/>
          <w:sz w:val="24"/>
          <w:szCs w:val="24"/>
          <w:lang w:eastAsia="pt-BR"/>
        </w:rPr>
        <w:t xml:space="preserve">; </w:t>
      </w:r>
      <w:r w:rsidR="00996A3F" w:rsidRPr="00596D1F">
        <w:rPr>
          <w:rFonts w:ascii="Times New Roman" w:hAnsi="Times New Roman"/>
          <w:color w:val="000000" w:themeColor="text1"/>
          <w:sz w:val="24"/>
          <w:szCs w:val="24"/>
        </w:rPr>
        <w:t>SILVA</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HOCH</w:t>
      </w:r>
      <w:r w:rsidR="00996A3F">
        <w:rPr>
          <w:rFonts w:ascii="Times New Roman" w:hAnsi="Times New Roman"/>
          <w:color w:val="000000" w:themeColor="text1"/>
          <w:sz w:val="24"/>
          <w:szCs w:val="24"/>
        </w:rPr>
        <w:t>;</w:t>
      </w:r>
      <w:r w:rsidR="00996A3F" w:rsidRPr="00596D1F">
        <w:rPr>
          <w:rFonts w:ascii="Times New Roman" w:hAnsi="Times New Roman"/>
          <w:color w:val="000000" w:themeColor="text1"/>
          <w:sz w:val="24"/>
          <w:szCs w:val="24"/>
        </w:rPr>
        <w:t xml:space="preserve"> SANTOS, 2013</w:t>
      </w:r>
      <w:r w:rsidR="005678B8" w:rsidRPr="00596D1F">
        <w:rPr>
          <w:rFonts w:ascii="Times New Roman" w:hAnsi="Times New Roman"/>
          <w:color w:val="000000" w:themeColor="text1"/>
          <w:sz w:val="24"/>
          <w:szCs w:val="24"/>
        </w:rPr>
        <w:t xml:space="preserve">). </w:t>
      </w:r>
      <w:r w:rsidR="00E4752A">
        <w:rPr>
          <w:rFonts w:ascii="Times New Roman" w:hAnsi="Times New Roman"/>
          <w:color w:val="000000" w:themeColor="text1"/>
          <w:sz w:val="24"/>
          <w:szCs w:val="24"/>
        </w:rPr>
        <w:t xml:space="preserve">Tal fato </w:t>
      </w:r>
      <w:r w:rsidR="00501C7C" w:rsidRPr="00596D1F">
        <w:rPr>
          <w:rFonts w:ascii="Times New Roman" w:hAnsi="Times New Roman"/>
          <w:color w:val="000000" w:themeColor="text1"/>
          <w:sz w:val="24"/>
          <w:szCs w:val="24"/>
        </w:rPr>
        <w:t xml:space="preserve">implica </w:t>
      </w:r>
      <w:r w:rsidR="00E4752A">
        <w:rPr>
          <w:rFonts w:ascii="Times New Roman" w:hAnsi="Times New Roman"/>
          <w:color w:val="000000" w:themeColor="text1"/>
          <w:sz w:val="24"/>
          <w:szCs w:val="24"/>
        </w:rPr>
        <w:t>ressaltar</w:t>
      </w:r>
      <w:r w:rsidR="00501C7C" w:rsidRPr="00596D1F">
        <w:rPr>
          <w:rFonts w:ascii="Times New Roman" w:hAnsi="Times New Roman"/>
          <w:color w:val="000000" w:themeColor="text1"/>
          <w:sz w:val="24"/>
          <w:szCs w:val="24"/>
        </w:rPr>
        <w:t xml:space="preserve"> que o objetivo maior da </w:t>
      </w:r>
      <w:r w:rsidR="0043294A" w:rsidRPr="00596D1F">
        <w:rPr>
          <w:rFonts w:ascii="Times New Roman" w:hAnsi="Times New Roman"/>
          <w:color w:val="000000" w:themeColor="text1"/>
          <w:sz w:val="24"/>
          <w:szCs w:val="24"/>
        </w:rPr>
        <w:t>l</w:t>
      </w:r>
      <w:r w:rsidR="00501C7C" w:rsidRPr="00596D1F">
        <w:rPr>
          <w:rFonts w:ascii="Times New Roman" w:hAnsi="Times New Roman"/>
          <w:color w:val="000000" w:themeColor="text1"/>
          <w:sz w:val="24"/>
          <w:szCs w:val="24"/>
        </w:rPr>
        <w:t xml:space="preserve">ei, de trazer transparência aos atos públicos, pode </w:t>
      </w:r>
      <w:r w:rsidR="00E259D4" w:rsidRPr="00596D1F">
        <w:rPr>
          <w:rFonts w:ascii="Times New Roman" w:hAnsi="Times New Roman"/>
          <w:color w:val="000000" w:themeColor="text1"/>
          <w:sz w:val="24"/>
          <w:szCs w:val="24"/>
        </w:rPr>
        <w:t>não estar sendo alcançado com plenitude</w:t>
      </w:r>
      <w:r w:rsidR="00501C7C" w:rsidRPr="00596D1F">
        <w:rPr>
          <w:rFonts w:ascii="Times New Roman" w:hAnsi="Times New Roman"/>
          <w:color w:val="000000" w:themeColor="text1"/>
          <w:sz w:val="24"/>
          <w:szCs w:val="24"/>
        </w:rPr>
        <w:t xml:space="preserve">, por </w:t>
      </w:r>
      <w:r w:rsidR="00E259D4" w:rsidRPr="00596D1F">
        <w:rPr>
          <w:rFonts w:ascii="Times New Roman" w:hAnsi="Times New Roman"/>
          <w:color w:val="000000" w:themeColor="text1"/>
          <w:sz w:val="24"/>
          <w:szCs w:val="24"/>
        </w:rPr>
        <w:t>ineficiência dos</w:t>
      </w:r>
      <w:r w:rsidR="00501C7C" w:rsidRPr="00596D1F">
        <w:rPr>
          <w:rFonts w:ascii="Times New Roman" w:hAnsi="Times New Roman"/>
          <w:color w:val="000000" w:themeColor="text1"/>
          <w:sz w:val="24"/>
          <w:szCs w:val="24"/>
        </w:rPr>
        <w:t xml:space="preserve"> órgãos responsáveis </w:t>
      </w:r>
      <w:r w:rsidR="00105928" w:rsidRPr="00596D1F">
        <w:rPr>
          <w:rFonts w:ascii="Times New Roman" w:hAnsi="Times New Roman"/>
          <w:color w:val="000000" w:themeColor="text1"/>
          <w:sz w:val="24"/>
          <w:szCs w:val="24"/>
        </w:rPr>
        <w:t>em</w:t>
      </w:r>
      <w:r w:rsidR="00501C7C" w:rsidRPr="00596D1F">
        <w:rPr>
          <w:rFonts w:ascii="Times New Roman" w:hAnsi="Times New Roman"/>
          <w:color w:val="000000" w:themeColor="text1"/>
          <w:sz w:val="24"/>
          <w:szCs w:val="24"/>
        </w:rPr>
        <w:t xml:space="preserve"> garantir </w:t>
      </w:r>
      <w:r w:rsidR="0043294A" w:rsidRPr="00596D1F">
        <w:rPr>
          <w:rFonts w:ascii="Times New Roman" w:hAnsi="Times New Roman"/>
          <w:color w:val="000000" w:themeColor="text1"/>
          <w:sz w:val="24"/>
          <w:szCs w:val="24"/>
        </w:rPr>
        <w:t>o seu cumprimento</w:t>
      </w:r>
      <w:r w:rsidR="00501C7C" w:rsidRPr="00596D1F">
        <w:rPr>
          <w:rFonts w:ascii="Times New Roman" w:hAnsi="Times New Roman"/>
          <w:color w:val="000000" w:themeColor="text1"/>
          <w:sz w:val="24"/>
          <w:szCs w:val="24"/>
        </w:rPr>
        <w:t>, ou por falha</w:t>
      </w:r>
      <w:r w:rsidR="00E259D4" w:rsidRPr="00596D1F">
        <w:rPr>
          <w:rFonts w:ascii="Times New Roman" w:hAnsi="Times New Roman"/>
          <w:color w:val="000000" w:themeColor="text1"/>
          <w:sz w:val="24"/>
          <w:szCs w:val="24"/>
        </w:rPr>
        <w:t>s</w:t>
      </w:r>
      <w:r w:rsidR="00501C7C" w:rsidRPr="00596D1F">
        <w:rPr>
          <w:rFonts w:ascii="Times New Roman" w:hAnsi="Times New Roman"/>
          <w:color w:val="000000" w:themeColor="text1"/>
          <w:sz w:val="24"/>
          <w:szCs w:val="24"/>
        </w:rPr>
        <w:t xml:space="preserve"> na própria lei</w:t>
      </w:r>
      <w:r w:rsidR="003A3AC4" w:rsidRPr="00596D1F">
        <w:rPr>
          <w:rFonts w:ascii="Times New Roman" w:hAnsi="Times New Roman"/>
          <w:color w:val="000000" w:themeColor="text1"/>
          <w:sz w:val="24"/>
          <w:szCs w:val="24"/>
        </w:rPr>
        <w:t>, ao não prever mecanismos de punição efetivos aos</w:t>
      </w:r>
      <w:r w:rsidR="00E259D4" w:rsidRPr="00596D1F">
        <w:rPr>
          <w:rFonts w:ascii="Times New Roman" w:hAnsi="Times New Roman"/>
          <w:color w:val="000000" w:themeColor="text1"/>
          <w:sz w:val="24"/>
          <w:szCs w:val="24"/>
        </w:rPr>
        <w:t xml:space="preserve"> organismos infratores</w:t>
      </w:r>
      <w:r w:rsidR="00501C7C" w:rsidRPr="00596D1F">
        <w:rPr>
          <w:rFonts w:ascii="Times New Roman" w:hAnsi="Times New Roman"/>
          <w:color w:val="000000" w:themeColor="text1"/>
          <w:sz w:val="24"/>
          <w:szCs w:val="24"/>
        </w:rPr>
        <w:t>.</w:t>
      </w:r>
    </w:p>
    <w:p w14:paraId="7A1010EE" w14:textId="6455E076" w:rsidR="00FA1DB6" w:rsidRPr="00596D1F" w:rsidRDefault="00FA1DB6" w:rsidP="00DC4DC8">
      <w:pPr>
        <w:spacing w:after="0" w:line="240" w:lineRule="auto"/>
        <w:ind w:firstLine="709"/>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Todorov (2005) afirma que</w:t>
      </w:r>
      <w:r w:rsidR="00501C7C" w:rsidRPr="00596D1F">
        <w:rPr>
          <w:rFonts w:ascii="Times New Roman" w:eastAsia="Times New Roman" w:hAnsi="Times New Roman"/>
          <w:color w:val="000000" w:themeColor="text1"/>
          <w:sz w:val="24"/>
          <w:szCs w:val="24"/>
          <w:lang w:eastAsia="pt-BR"/>
        </w:rPr>
        <w:t xml:space="preserve"> as</w:t>
      </w:r>
      <w:r w:rsidRPr="00596D1F">
        <w:rPr>
          <w:rFonts w:ascii="Times New Roman" w:eastAsia="Times New Roman" w:hAnsi="Times New Roman"/>
          <w:color w:val="000000" w:themeColor="text1"/>
          <w:sz w:val="24"/>
          <w:szCs w:val="24"/>
          <w:lang w:eastAsia="pt-BR"/>
        </w:rPr>
        <w:t xml:space="preserve"> </w:t>
      </w:r>
      <w:r w:rsidR="00040147" w:rsidRPr="00596D1F">
        <w:rPr>
          <w:rFonts w:ascii="Times New Roman" w:eastAsia="Times New Roman" w:hAnsi="Times New Roman"/>
          <w:color w:val="000000" w:themeColor="text1"/>
          <w:sz w:val="24"/>
          <w:szCs w:val="24"/>
          <w:lang w:eastAsia="pt-BR"/>
        </w:rPr>
        <w:t>leis</w:t>
      </w:r>
      <w:r w:rsidRPr="00596D1F">
        <w:rPr>
          <w:rFonts w:ascii="Times New Roman" w:eastAsia="Times New Roman" w:hAnsi="Times New Roman"/>
          <w:color w:val="000000" w:themeColor="text1"/>
          <w:sz w:val="24"/>
          <w:szCs w:val="24"/>
          <w:lang w:eastAsia="pt-BR"/>
        </w:rPr>
        <w:t xml:space="preserve"> envolvem comportamentos complexos, no sentido de que seus artigos descrevem mais do que respostas únicas, mas especificam ou detalham circunstâncias aplicáveis e, ainda, detalham condições atenuantes. Segundo Cavalcanti (2017), a análise comportamental do direito identifica os elementos descritos na lei apoiado em seus antecedentes, comportamentos e consequências, que podem ser caracterizado</w:t>
      </w:r>
      <w:r w:rsidR="007028D5" w:rsidRPr="00596D1F">
        <w:rPr>
          <w:rFonts w:ascii="Times New Roman" w:eastAsia="Times New Roman" w:hAnsi="Times New Roman"/>
          <w:color w:val="000000" w:themeColor="text1"/>
          <w:sz w:val="24"/>
          <w:szCs w:val="24"/>
          <w:lang w:eastAsia="pt-BR"/>
        </w:rPr>
        <w:t>s</w:t>
      </w:r>
      <w:r w:rsidRPr="00596D1F">
        <w:rPr>
          <w:rFonts w:ascii="Times New Roman" w:eastAsia="Times New Roman" w:hAnsi="Times New Roman"/>
          <w:color w:val="000000" w:themeColor="text1"/>
          <w:sz w:val="24"/>
          <w:szCs w:val="24"/>
          <w:lang w:eastAsia="pt-BR"/>
        </w:rPr>
        <w:t xml:space="preserve"> como uma contingência jurídica. Assim,</w:t>
      </w:r>
      <w:r w:rsidR="00645BE0">
        <w:rPr>
          <w:rFonts w:ascii="Times New Roman" w:eastAsia="Times New Roman" w:hAnsi="Times New Roman"/>
          <w:color w:val="000000" w:themeColor="text1"/>
          <w:sz w:val="24"/>
          <w:szCs w:val="24"/>
          <w:lang w:eastAsia="pt-BR"/>
        </w:rPr>
        <w:t xml:space="preserve"> Oliveira-Castro, Oliveira e Aguiar (2018),</w:t>
      </w:r>
      <w:r w:rsidRPr="00596D1F">
        <w:rPr>
          <w:rFonts w:ascii="Times New Roman" w:eastAsia="Times New Roman" w:hAnsi="Times New Roman"/>
          <w:color w:val="000000" w:themeColor="text1"/>
          <w:sz w:val="24"/>
          <w:szCs w:val="24"/>
          <w:lang w:eastAsia="pt-BR"/>
        </w:rPr>
        <w:t xml:space="preserve"> Aguiar (2013, 2014, 201</w:t>
      </w:r>
      <w:r w:rsidR="00DB5302">
        <w:rPr>
          <w:rFonts w:ascii="Times New Roman" w:eastAsia="Times New Roman" w:hAnsi="Times New Roman"/>
          <w:color w:val="000000" w:themeColor="text1"/>
          <w:sz w:val="24"/>
          <w:szCs w:val="24"/>
          <w:lang w:eastAsia="pt-BR"/>
        </w:rPr>
        <w:t>7</w:t>
      </w:r>
      <w:r w:rsidRPr="00596D1F">
        <w:rPr>
          <w:rFonts w:ascii="Times New Roman" w:eastAsia="Times New Roman" w:hAnsi="Times New Roman"/>
          <w:color w:val="000000" w:themeColor="text1"/>
          <w:sz w:val="24"/>
          <w:szCs w:val="24"/>
          <w:lang w:eastAsia="pt-BR"/>
        </w:rPr>
        <w:t xml:space="preserve">), Oliveira (2016) e Cavalcanti (2017) discorrem que contingências previstas em leis e demais regramentos jurídicos são punições, porque boa parte desses atos tem por meta reduzir a frequência dos comportamentos socialmente indesejáveis. </w:t>
      </w:r>
      <w:r w:rsidR="007028D5" w:rsidRPr="00596D1F">
        <w:rPr>
          <w:rFonts w:ascii="Times New Roman" w:eastAsia="Times New Roman" w:hAnsi="Times New Roman"/>
          <w:color w:val="000000" w:themeColor="text1"/>
          <w:sz w:val="24"/>
          <w:szCs w:val="24"/>
          <w:lang w:eastAsia="pt-BR"/>
        </w:rPr>
        <w:t>Logo</w:t>
      </w:r>
      <w:r w:rsidRPr="00596D1F">
        <w:rPr>
          <w:rFonts w:ascii="Times New Roman" w:eastAsia="Times New Roman" w:hAnsi="Times New Roman"/>
          <w:color w:val="000000" w:themeColor="text1"/>
          <w:sz w:val="24"/>
          <w:szCs w:val="24"/>
          <w:lang w:eastAsia="pt-BR"/>
        </w:rPr>
        <w:t xml:space="preserve">, ao seguir as leis, o comportamento do indivíduo será reforçado negativamente, na medida em que se evita as punições nelas previstas. </w:t>
      </w:r>
    </w:p>
    <w:p w14:paraId="5566714C" w14:textId="4D90FAB0" w:rsidR="00FA1DB6" w:rsidRPr="00596D1F" w:rsidRDefault="00FA1DB6"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 xml:space="preserve">Salienta-se, considerando Cavalcanti (2017), que leis, enquanto elemento textual, não determina o comportamento das pessoas e operadores do direito, mas possui uma função de variável de contexto para o comportamento. As leis e normas jurídicas em geral </w:t>
      </w:r>
      <w:r w:rsidR="00E4752A">
        <w:rPr>
          <w:rFonts w:ascii="Times New Roman" w:eastAsia="Times New Roman" w:hAnsi="Times New Roman"/>
          <w:color w:val="000000" w:themeColor="text1"/>
          <w:sz w:val="24"/>
          <w:szCs w:val="24"/>
          <w:lang w:eastAsia="pt-BR"/>
        </w:rPr>
        <w:t>que envolvem</w:t>
      </w:r>
      <w:r w:rsidRPr="00596D1F">
        <w:rPr>
          <w:rFonts w:ascii="Times New Roman" w:eastAsia="Times New Roman" w:hAnsi="Times New Roman"/>
          <w:color w:val="000000" w:themeColor="text1"/>
          <w:sz w:val="24"/>
          <w:szCs w:val="24"/>
          <w:lang w:eastAsia="pt-BR"/>
        </w:rPr>
        <w:t xml:space="preserve"> a prestação de contas de recursos públicos visam, </w:t>
      </w:r>
      <w:r w:rsidRPr="008B6348">
        <w:rPr>
          <w:rFonts w:ascii="Times New Roman" w:eastAsia="Times New Roman" w:hAnsi="Times New Roman"/>
          <w:i/>
          <w:color w:val="000000" w:themeColor="text1"/>
          <w:sz w:val="24"/>
          <w:szCs w:val="24"/>
          <w:lang w:eastAsia="pt-BR"/>
        </w:rPr>
        <w:t>a priori</w:t>
      </w:r>
      <w:r w:rsidRPr="00596D1F">
        <w:rPr>
          <w:rFonts w:ascii="Times New Roman" w:eastAsia="Times New Roman" w:hAnsi="Times New Roman"/>
          <w:color w:val="000000" w:themeColor="text1"/>
          <w:sz w:val="24"/>
          <w:szCs w:val="24"/>
          <w:lang w:eastAsia="pt-BR"/>
        </w:rPr>
        <w:t>, controlar o comportamento dos administradores desse dinheiro. Deste modo, podem ser descritas em termos de relação entre certos comportamentos e determinadas consequências (</w:t>
      </w:r>
      <w:r w:rsidR="00E4752A" w:rsidRPr="00596D1F">
        <w:rPr>
          <w:rFonts w:ascii="Times New Roman" w:eastAsia="Times New Roman" w:hAnsi="Times New Roman"/>
          <w:color w:val="000000" w:themeColor="text1"/>
          <w:sz w:val="24"/>
          <w:szCs w:val="24"/>
          <w:lang w:eastAsia="pt-BR"/>
        </w:rPr>
        <w:t>OLIVEIRA</w:t>
      </w:r>
      <w:r w:rsidR="002A5F2E" w:rsidRPr="00596D1F">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2016). Conclui-se que esse tipo de regra visa o alcance de metas, meios ou instrumentos de controle social do comportamento, utilizando-se, basicamente, de sanções ou punições de condutas indesejáveis.</w:t>
      </w:r>
    </w:p>
    <w:p w14:paraId="56154DBF" w14:textId="4DEE1A63" w:rsidR="00C65128" w:rsidRPr="00596D1F" w:rsidRDefault="00FA1DB6" w:rsidP="00743677">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 LAI</w:t>
      </w:r>
      <w:r w:rsidR="004915BD" w:rsidRPr="00596D1F">
        <w:rPr>
          <w:rFonts w:ascii="Times New Roman" w:hAnsi="Times New Roman"/>
          <w:color w:val="000000" w:themeColor="text1"/>
          <w:sz w:val="24"/>
          <w:szCs w:val="24"/>
        </w:rPr>
        <w:t xml:space="preserve"> pode ser entendida, a partir do que já foi exposto, como</w:t>
      </w:r>
      <w:r w:rsidRPr="00596D1F">
        <w:rPr>
          <w:rFonts w:ascii="Times New Roman" w:hAnsi="Times New Roman"/>
          <w:color w:val="000000" w:themeColor="text1"/>
          <w:sz w:val="24"/>
          <w:szCs w:val="24"/>
        </w:rPr>
        <w:t xml:space="preserve"> importante meio para que as prestações de contas de gestores públicos sejam acompanhadas</w:t>
      </w:r>
      <w:r w:rsidR="008F0975">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w:t>
      </w:r>
      <w:r w:rsidR="00DC4DC8" w:rsidRPr="00596D1F">
        <w:rPr>
          <w:rFonts w:ascii="Times New Roman" w:hAnsi="Times New Roman"/>
          <w:color w:val="000000" w:themeColor="text1"/>
          <w:sz w:val="24"/>
          <w:szCs w:val="24"/>
        </w:rPr>
        <w:t>em</w:t>
      </w:r>
      <w:r w:rsidRPr="00596D1F">
        <w:rPr>
          <w:rFonts w:ascii="Times New Roman" w:hAnsi="Times New Roman"/>
          <w:color w:val="000000" w:themeColor="text1"/>
          <w:sz w:val="24"/>
          <w:szCs w:val="24"/>
        </w:rPr>
        <w:t xml:space="preserve"> detalhes</w:t>
      </w:r>
      <w:r w:rsidR="008F0975">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por mais pessoas, não só pelos órgãos competentes </w:t>
      </w:r>
      <w:r w:rsidR="00463839" w:rsidRPr="00596D1F">
        <w:rPr>
          <w:rFonts w:ascii="Times New Roman" w:hAnsi="Times New Roman"/>
          <w:color w:val="000000" w:themeColor="text1"/>
          <w:sz w:val="24"/>
          <w:szCs w:val="24"/>
        </w:rPr>
        <w:t>por fiscalizar e punir, como os</w:t>
      </w:r>
      <w:r w:rsidR="00C65128" w:rsidRPr="00596D1F">
        <w:rPr>
          <w:rFonts w:ascii="Times New Roman" w:hAnsi="Times New Roman"/>
          <w:color w:val="000000" w:themeColor="text1"/>
          <w:sz w:val="24"/>
          <w:szCs w:val="24"/>
        </w:rPr>
        <w:t xml:space="preserve"> Tribunais de Contas (TC)</w:t>
      </w:r>
      <w:r w:rsidR="00AB13C8" w:rsidRPr="00596D1F">
        <w:rPr>
          <w:rFonts w:ascii="Times New Roman" w:hAnsi="Times New Roman"/>
          <w:color w:val="000000" w:themeColor="text1"/>
          <w:sz w:val="24"/>
          <w:szCs w:val="24"/>
        </w:rPr>
        <w:t>, cujos resultados de seu trabalho</w:t>
      </w:r>
      <w:r w:rsidR="008F0975">
        <w:rPr>
          <w:rFonts w:ascii="Times New Roman" w:hAnsi="Times New Roman"/>
          <w:color w:val="000000" w:themeColor="text1"/>
          <w:sz w:val="24"/>
          <w:szCs w:val="24"/>
        </w:rPr>
        <w:t>,</w:t>
      </w:r>
      <w:r w:rsidR="00AB13C8" w:rsidRPr="00596D1F">
        <w:rPr>
          <w:rFonts w:ascii="Times New Roman" w:hAnsi="Times New Roman"/>
          <w:color w:val="000000" w:themeColor="text1"/>
          <w:sz w:val="24"/>
          <w:szCs w:val="24"/>
        </w:rPr>
        <w:t xml:space="preserve"> também</w:t>
      </w:r>
      <w:r w:rsidR="008F0975">
        <w:rPr>
          <w:rFonts w:ascii="Times New Roman" w:hAnsi="Times New Roman"/>
          <w:color w:val="000000" w:themeColor="text1"/>
          <w:sz w:val="24"/>
          <w:szCs w:val="24"/>
        </w:rPr>
        <w:t>,</w:t>
      </w:r>
      <w:r w:rsidR="00AB13C8" w:rsidRPr="00596D1F">
        <w:rPr>
          <w:rFonts w:ascii="Times New Roman" w:hAnsi="Times New Roman"/>
          <w:color w:val="000000" w:themeColor="text1"/>
          <w:sz w:val="24"/>
          <w:szCs w:val="24"/>
        </w:rPr>
        <w:t xml:space="preserve"> estão sujeitos </w:t>
      </w:r>
      <w:r w:rsidR="00DC4DC8" w:rsidRPr="00596D1F">
        <w:rPr>
          <w:rFonts w:ascii="Times New Roman" w:hAnsi="Times New Roman"/>
          <w:color w:val="000000" w:themeColor="text1"/>
          <w:sz w:val="24"/>
          <w:szCs w:val="24"/>
        </w:rPr>
        <w:t>à</w:t>
      </w:r>
      <w:r w:rsidR="00AB13C8" w:rsidRPr="00596D1F">
        <w:rPr>
          <w:rFonts w:ascii="Times New Roman" w:hAnsi="Times New Roman"/>
          <w:color w:val="000000" w:themeColor="text1"/>
          <w:sz w:val="24"/>
          <w:szCs w:val="24"/>
        </w:rPr>
        <w:t xml:space="preserve"> transparência pública</w:t>
      </w:r>
      <w:r w:rsidR="00463839" w:rsidRPr="00596D1F">
        <w:rPr>
          <w:rFonts w:ascii="Times New Roman" w:hAnsi="Times New Roman"/>
          <w:color w:val="000000" w:themeColor="text1"/>
          <w:sz w:val="24"/>
          <w:szCs w:val="24"/>
        </w:rPr>
        <w:t>. Segundo o</w:t>
      </w:r>
      <w:r w:rsidR="00C65128" w:rsidRPr="00596D1F">
        <w:rPr>
          <w:rFonts w:ascii="Times New Roman" w:hAnsi="Times New Roman"/>
          <w:color w:val="000000" w:themeColor="text1"/>
          <w:sz w:val="24"/>
          <w:szCs w:val="24"/>
        </w:rPr>
        <w:t xml:space="preserve"> ord</w:t>
      </w:r>
      <w:r w:rsidR="00463839" w:rsidRPr="00596D1F">
        <w:rPr>
          <w:rFonts w:ascii="Times New Roman" w:hAnsi="Times New Roman"/>
          <w:color w:val="000000" w:themeColor="text1"/>
          <w:sz w:val="24"/>
          <w:szCs w:val="24"/>
        </w:rPr>
        <w:t>enamento constitucional de 1988</w:t>
      </w:r>
      <w:r w:rsidR="008B6348">
        <w:rPr>
          <w:rFonts w:ascii="Times New Roman" w:hAnsi="Times New Roman"/>
          <w:color w:val="000000" w:themeColor="text1"/>
          <w:sz w:val="24"/>
          <w:szCs w:val="24"/>
        </w:rPr>
        <w:t>,</w:t>
      </w:r>
      <w:r w:rsidR="00463839" w:rsidRPr="00596D1F">
        <w:rPr>
          <w:rFonts w:ascii="Times New Roman" w:hAnsi="Times New Roman"/>
          <w:color w:val="000000" w:themeColor="text1"/>
          <w:sz w:val="24"/>
          <w:szCs w:val="24"/>
        </w:rPr>
        <w:t xml:space="preserve"> esses tribunais </w:t>
      </w:r>
      <w:r w:rsidR="00C65128" w:rsidRPr="00596D1F">
        <w:rPr>
          <w:rFonts w:ascii="Times New Roman" w:hAnsi="Times New Roman"/>
          <w:color w:val="000000" w:themeColor="text1"/>
          <w:sz w:val="24"/>
          <w:szCs w:val="24"/>
        </w:rPr>
        <w:t>são organismos de controle técnico, competindo-lhes à fiscalização contábil, financeira, orçamentária, operacional e patrimonial e que, juntamente com o Poder Legislativo (PL), é responsável pelo controle externo das contas públicas (</w:t>
      </w:r>
      <w:r w:rsidR="007B44E3" w:rsidRPr="00596D1F">
        <w:rPr>
          <w:rFonts w:ascii="Times New Roman" w:hAnsi="Times New Roman"/>
          <w:color w:val="000000" w:themeColor="text1"/>
          <w:sz w:val="24"/>
          <w:szCs w:val="24"/>
        </w:rPr>
        <w:t>FAGUNDES,</w:t>
      </w:r>
      <w:r w:rsidR="008B6348" w:rsidRPr="00596D1F">
        <w:rPr>
          <w:rFonts w:ascii="Times New Roman" w:hAnsi="Times New Roman"/>
          <w:color w:val="000000" w:themeColor="text1"/>
          <w:sz w:val="24"/>
          <w:szCs w:val="24"/>
        </w:rPr>
        <w:t xml:space="preserve"> 2012</w:t>
      </w:r>
      <w:r w:rsidR="00C65128" w:rsidRPr="00596D1F">
        <w:rPr>
          <w:rFonts w:ascii="Times New Roman" w:hAnsi="Times New Roman"/>
          <w:color w:val="000000" w:themeColor="text1"/>
          <w:sz w:val="24"/>
          <w:szCs w:val="24"/>
        </w:rPr>
        <w:t xml:space="preserve">). </w:t>
      </w:r>
    </w:p>
    <w:p w14:paraId="0A5469C3" w14:textId="427729BF" w:rsidR="00F169DF" w:rsidRPr="00596D1F" w:rsidRDefault="00C22F23"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Ultimamente, alguns pesquisadores (</w:t>
      </w:r>
      <w:r w:rsidR="00A3535A" w:rsidRPr="00596D1F">
        <w:rPr>
          <w:rFonts w:ascii="Times New Roman" w:eastAsia="Times New Roman" w:hAnsi="Times New Roman"/>
          <w:color w:val="000000" w:themeColor="text1"/>
          <w:sz w:val="24"/>
          <w:szCs w:val="24"/>
          <w:lang w:eastAsia="pt-BR"/>
        </w:rPr>
        <w:t>OLIVEIRA, 2016; CAVALCANTI</w:t>
      </w:r>
      <w:r w:rsidR="00B936BB" w:rsidRPr="00596D1F">
        <w:rPr>
          <w:rFonts w:ascii="Times New Roman" w:eastAsia="Times New Roman" w:hAnsi="Times New Roman"/>
          <w:color w:val="000000" w:themeColor="text1"/>
          <w:sz w:val="24"/>
          <w:szCs w:val="24"/>
          <w:lang w:eastAsia="pt-BR"/>
        </w:rPr>
        <w:t>, 2017</w:t>
      </w:r>
      <w:r w:rsidRPr="00596D1F">
        <w:rPr>
          <w:rFonts w:ascii="Times New Roman" w:eastAsia="Times New Roman" w:hAnsi="Times New Roman"/>
          <w:color w:val="000000" w:themeColor="text1"/>
          <w:sz w:val="24"/>
          <w:szCs w:val="24"/>
          <w:lang w:eastAsia="pt-BR"/>
        </w:rPr>
        <w:t>)</w:t>
      </w:r>
      <w:r w:rsidR="008D3C33" w:rsidRPr="00596D1F">
        <w:rPr>
          <w:rFonts w:ascii="Times New Roman" w:eastAsia="Times New Roman" w:hAnsi="Times New Roman"/>
          <w:color w:val="000000" w:themeColor="text1"/>
          <w:sz w:val="24"/>
          <w:szCs w:val="24"/>
          <w:lang w:eastAsia="pt-BR"/>
        </w:rPr>
        <w:t xml:space="preserve"> têm investigado as </w:t>
      </w:r>
      <w:r w:rsidR="00F169DF" w:rsidRPr="00596D1F">
        <w:rPr>
          <w:rFonts w:ascii="Times New Roman" w:eastAsia="Times New Roman" w:hAnsi="Times New Roman"/>
          <w:color w:val="000000" w:themeColor="text1"/>
          <w:sz w:val="24"/>
          <w:szCs w:val="24"/>
          <w:lang w:eastAsia="pt-BR"/>
        </w:rPr>
        <w:t xml:space="preserve">decisões </w:t>
      </w:r>
      <w:r w:rsidR="009A1F0B" w:rsidRPr="00596D1F">
        <w:rPr>
          <w:rFonts w:ascii="Times New Roman" w:eastAsia="Times New Roman" w:hAnsi="Times New Roman"/>
          <w:color w:val="000000" w:themeColor="text1"/>
          <w:sz w:val="24"/>
          <w:szCs w:val="24"/>
          <w:lang w:eastAsia="pt-BR"/>
        </w:rPr>
        <w:t>de tribunal de contas</w:t>
      </w:r>
      <w:r w:rsidRPr="00596D1F">
        <w:rPr>
          <w:rFonts w:ascii="Times New Roman" w:eastAsia="Times New Roman" w:hAnsi="Times New Roman"/>
          <w:color w:val="000000" w:themeColor="text1"/>
          <w:sz w:val="24"/>
          <w:szCs w:val="24"/>
          <w:lang w:eastAsia="pt-BR"/>
        </w:rPr>
        <w:t xml:space="preserve"> sob </w:t>
      </w:r>
      <w:r w:rsidR="00F169DF" w:rsidRPr="00596D1F">
        <w:rPr>
          <w:rFonts w:ascii="Times New Roman" w:eastAsia="Times New Roman" w:hAnsi="Times New Roman"/>
          <w:color w:val="000000" w:themeColor="text1"/>
          <w:sz w:val="24"/>
          <w:szCs w:val="24"/>
          <w:lang w:eastAsia="pt-BR"/>
        </w:rPr>
        <w:t>o prisma comportamental</w:t>
      </w:r>
      <w:r w:rsidRPr="00596D1F">
        <w:rPr>
          <w:rFonts w:ascii="Times New Roman" w:eastAsia="Times New Roman" w:hAnsi="Times New Roman"/>
          <w:color w:val="000000" w:themeColor="text1"/>
          <w:sz w:val="24"/>
          <w:szCs w:val="24"/>
          <w:lang w:eastAsia="pt-BR"/>
        </w:rPr>
        <w:t xml:space="preserve">. </w:t>
      </w:r>
      <w:r w:rsidR="00C21B07" w:rsidRPr="00596D1F">
        <w:rPr>
          <w:rFonts w:ascii="Times New Roman" w:eastAsia="Times New Roman" w:hAnsi="Times New Roman"/>
          <w:color w:val="000000" w:themeColor="text1"/>
          <w:sz w:val="24"/>
          <w:szCs w:val="24"/>
          <w:lang w:eastAsia="pt-BR"/>
        </w:rPr>
        <w:t>Oliveira (2016) identificou as contingências jurídicas descritas nas leis e regulamentos de tomadas de contas especiais</w:t>
      </w:r>
      <w:r w:rsidR="009A1F0B" w:rsidRPr="00596D1F">
        <w:rPr>
          <w:rFonts w:ascii="Times New Roman" w:eastAsia="Times New Roman" w:hAnsi="Times New Roman"/>
          <w:color w:val="000000" w:themeColor="text1"/>
          <w:sz w:val="24"/>
          <w:szCs w:val="24"/>
          <w:lang w:eastAsia="pt-BR"/>
        </w:rPr>
        <w:t xml:space="preserve"> do Tribunal de Contas da União</w:t>
      </w:r>
      <w:r w:rsidR="00C21B07" w:rsidRPr="00596D1F">
        <w:rPr>
          <w:rFonts w:ascii="Times New Roman" w:eastAsia="Times New Roman" w:hAnsi="Times New Roman"/>
          <w:color w:val="000000" w:themeColor="text1"/>
          <w:sz w:val="24"/>
          <w:szCs w:val="24"/>
          <w:lang w:eastAsia="pt-BR"/>
        </w:rPr>
        <w:t xml:space="preserve">, um dos tipos de contas examinadas </w:t>
      </w:r>
      <w:r w:rsidR="009A1F0B" w:rsidRPr="00596D1F">
        <w:rPr>
          <w:rFonts w:ascii="Times New Roman" w:eastAsia="Times New Roman" w:hAnsi="Times New Roman"/>
          <w:color w:val="000000" w:themeColor="text1"/>
          <w:sz w:val="24"/>
          <w:szCs w:val="24"/>
          <w:lang w:eastAsia="pt-BR"/>
        </w:rPr>
        <w:t>por este</w:t>
      </w:r>
      <w:r w:rsidR="00C21B07" w:rsidRPr="00596D1F">
        <w:rPr>
          <w:rFonts w:ascii="Times New Roman" w:eastAsia="Times New Roman" w:hAnsi="Times New Roman"/>
          <w:color w:val="000000" w:themeColor="text1"/>
          <w:sz w:val="24"/>
          <w:szCs w:val="24"/>
          <w:lang w:eastAsia="pt-BR"/>
        </w:rPr>
        <w:t>, e</w:t>
      </w:r>
      <w:r w:rsidR="008B6348">
        <w:rPr>
          <w:rFonts w:ascii="Times New Roman" w:eastAsia="Times New Roman" w:hAnsi="Times New Roman"/>
          <w:color w:val="000000" w:themeColor="text1"/>
          <w:sz w:val="24"/>
          <w:szCs w:val="24"/>
          <w:lang w:eastAsia="pt-BR"/>
        </w:rPr>
        <w:t xml:space="preserve"> </w:t>
      </w:r>
      <w:r w:rsidR="008F0975">
        <w:rPr>
          <w:rFonts w:ascii="Times New Roman" w:eastAsia="Times New Roman" w:hAnsi="Times New Roman"/>
          <w:color w:val="000000" w:themeColor="text1"/>
          <w:sz w:val="24"/>
          <w:szCs w:val="24"/>
          <w:lang w:eastAsia="pt-BR"/>
        </w:rPr>
        <w:t>alcançou os</w:t>
      </w:r>
      <w:r w:rsidR="00C21B07" w:rsidRPr="00596D1F">
        <w:rPr>
          <w:rFonts w:ascii="Times New Roman" w:eastAsia="Times New Roman" w:hAnsi="Times New Roman"/>
          <w:color w:val="000000" w:themeColor="text1"/>
          <w:sz w:val="24"/>
          <w:szCs w:val="24"/>
          <w:lang w:eastAsia="pt-BR"/>
        </w:rPr>
        <w:t xml:space="preserve"> seguintes resultados: i) valor absoluto das multas é diretamente proporcional ao valor do prejuízo causado aos cofres públicos; </w:t>
      </w:r>
      <w:proofErr w:type="spellStart"/>
      <w:r w:rsidR="00C21B07" w:rsidRPr="00596D1F">
        <w:rPr>
          <w:rFonts w:ascii="Times New Roman" w:eastAsia="Times New Roman" w:hAnsi="Times New Roman"/>
          <w:color w:val="000000" w:themeColor="text1"/>
          <w:sz w:val="24"/>
          <w:szCs w:val="24"/>
          <w:lang w:eastAsia="pt-BR"/>
        </w:rPr>
        <w:t>ii</w:t>
      </w:r>
      <w:proofErr w:type="spellEnd"/>
      <w:r w:rsidR="00C21B07" w:rsidRPr="00596D1F">
        <w:rPr>
          <w:rFonts w:ascii="Times New Roman" w:eastAsia="Times New Roman" w:hAnsi="Times New Roman"/>
          <w:color w:val="000000" w:themeColor="text1"/>
          <w:sz w:val="24"/>
          <w:szCs w:val="24"/>
          <w:lang w:eastAsia="pt-BR"/>
        </w:rPr>
        <w:t xml:space="preserve">) as porcentagens das multas são inversamente proporcionais ao valor do débito; </w:t>
      </w:r>
      <w:proofErr w:type="spellStart"/>
      <w:r w:rsidR="00C21B07" w:rsidRPr="00596D1F">
        <w:rPr>
          <w:rFonts w:ascii="Times New Roman" w:eastAsia="Times New Roman" w:hAnsi="Times New Roman"/>
          <w:color w:val="000000" w:themeColor="text1"/>
          <w:sz w:val="24"/>
          <w:szCs w:val="24"/>
          <w:lang w:eastAsia="pt-BR"/>
        </w:rPr>
        <w:t>iii</w:t>
      </w:r>
      <w:proofErr w:type="spellEnd"/>
      <w:r w:rsidR="00C21B07" w:rsidRPr="00596D1F">
        <w:rPr>
          <w:rFonts w:ascii="Times New Roman" w:eastAsia="Times New Roman" w:hAnsi="Times New Roman"/>
          <w:color w:val="000000" w:themeColor="text1"/>
          <w:sz w:val="24"/>
          <w:szCs w:val="24"/>
          <w:lang w:eastAsia="pt-BR"/>
        </w:rPr>
        <w:t>) maiores multas  são aplicadas para condutas tidas como mais graves.  Cavalcanti (2017)</w:t>
      </w:r>
      <w:r w:rsidR="008F0975">
        <w:rPr>
          <w:rFonts w:ascii="Times New Roman" w:eastAsia="Times New Roman" w:hAnsi="Times New Roman"/>
          <w:color w:val="000000" w:themeColor="text1"/>
          <w:sz w:val="24"/>
          <w:szCs w:val="24"/>
          <w:lang w:eastAsia="pt-BR"/>
        </w:rPr>
        <w:t>,</w:t>
      </w:r>
      <w:r w:rsidR="002C3D24" w:rsidRPr="00596D1F">
        <w:rPr>
          <w:rFonts w:ascii="Times New Roman" w:eastAsia="Times New Roman" w:hAnsi="Times New Roman"/>
          <w:color w:val="000000" w:themeColor="text1"/>
          <w:sz w:val="24"/>
          <w:szCs w:val="24"/>
          <w:lang w:eastAsia="pt-BR"/>
        </w:rPr>
        <w:t xml:space="preserve"> ao investigar</w:t>
      </w:r>
      <w:r w:rsidR="00C21B07" w:rsidRPr="00596D1F">
        <w:rPr>
          <w:rFonts w:ascii="Times New Roman" w:eastAsia="Times New Roman" w:hAnsi="Times New Roman"/>
          <w:color w:val="000000" w:themeColor="text1"/>
          <w:sz w:val="24"/>
          <w:szCs w:val="24"/>
          <w:lang w:eastAsia="pt-BR"/>
        </w:rPr>
        <w:t xml:space="preserve"> acórdãos de julgamento de </w:t>
      </w:r>
      <w:proofErr w:type="spellStart"/>
      <w:r w:rsidR="00C21B07" w:rsidRPr="00596D1F">
        <w:rPr>
          <w:rFonts w:ascii="Times New Roman" w:eastAsia="Times New Roman" w:hAnsi="Times New Roman"/>
          <w:color w:val="000000" w:themeColor="text1"/>
          <w:sz w:val="24"/>
          <w:szCs w:val="24"/>
          <w:lang w:eastAsia="pt-BR"/>
        </w:rPr>
        <w:t>TCEs</w:t>
      </w:r>
      <w:proofErr w:type="spellEnd"/>
      <w:r w:rsidR="00C21B07" w:rsidRPr="00596D1F">
        <w:rPr>
          <w:rFonts w:ascii="Times New Roman" w:eastAsia="Times New Roman" w:hAnsi="Times New Roman"/>
          <w:color w:val="000000" w:themeColor="text1"/>
          <w:sz w:val="24"/>
          <w:szCs w:val="24"/>
          <w:lang w:eastAsia="pt-BR"/>
        </w:rPr>
        <w:t xml:space="preserve"> do Tribunal de Contas da União, </w:t>
      </w:r>
      <w:r w:rsidR="002C3D24" w:rsidRPr="00596D1F">
        <w:rPr>
          <w:rFonts w:ascii="Times New Roman" w:eastAsia="Times New Roman" w:hAnsi="Times New Roman"/>
          <w:color w:val="000000" w:themeColor="text1"/>
          <w:sz w:val="24"/>
          <w:szCs w:val="24"/>
          <w:lang w:eastAsia="pt-BR"/>
        </w:rPr>
        <w:t xml:space="preserve">constatou que as sanções propostas pelos relatores sofrem influência do colegiado de ministros e que variações nas decisões de ministros e ministros substitutos do TCU sofrem influência de variáveis ambientais e individuais. </w:t>
      </w:r>
    </w:p>
    <w:p w14:paraId="636A1B5B" w14:textId="70895FCC" w:rsidR="007668EA" w:rsidRPr="00596D1F" w:rsidRDefault="007668EA" w:rsidP="000B6B45">
      <w:pPr>
        <w:spacing w:after="0" w:line="240" w:lineRule="auto"/>
        <w:ind w:firstLine="708"/>
        <w:jc w:val="both"/>
        <w:rPr>
          <w:rFonts w:ascii="Times New Roman" w:hAnsi="Times New Roman"/>
          <w:color w:val="000000" w:themeColor="text1"/>
          <w:sz w:val="24"/>
          <w:szCs w:val="24"/>
        </w:rPr>
      </w:pPr>
      <w:r w:rsidRPr="00596D1F">
        <w:rPr>
          <w:rFonts w:ascii="Times New Roman" w:eastAsia="Times New Roman" w:hAnsi="Times New Roman"/>
          <w:color w:val="000000" w:themeColor="text1"/>
          <w:sz w:val="24"/>
          <w:szCs w:val="24"/>
          <w:lang w:eastAsia="pt-BR"/>
        </w:rPr>
        <w:t>Além destas, cita-se, embora não direcionada a análise comportamental dos julgadores, o estudo realizado por Azambuja, Teixeira e Nossa (2</w:t>
      </w:r>
      <w:r w:rsidR="006134FE" w:rsidRPr="00596D1F">
        <w:rPr>
          <w:rFonts w:ascii="Times New Roman" w:eastAsia="Times New Roman" w:hAnsi="Times New Roman"/>
          <w:color w:val="000000" w:themeColor="text1"/>
          <w:sz w:val="24"/>
          <w:szCs w:val="24"/>
          <w:lang w:eastAsia="pt-BR"/>
        </w:rPr>
        <w:t>01</w:t>
      </w:r>
      <w:r w:rsidRPr="00596D1F">
        <w:rPr>
          <w:rFonts w:ascii="Times New Roman" w:eastAsia="Times New Roman" w:hAnsi="Times New Roman"/>
          <w:color w:val="000000" w:themeColor="text1"/>
          <w:sz w:val="24"/>
          <w:szCs w:val="24"/>
          <w:lang w:eastAsia="pt-BR"/>
        </w:rPr>
        <w:t xml:space="preserve">8) </w:t>
      </w:r>
      <w:r w:rsidR="00DC4DC8" w:rsidRPr="00596D1F">
        <w:rPr>
          <w:rFonts w:ascii="Times New Roman" w:eastAsia="Times New Roman" w:hAnsi="Times New Roman"/>
          <w:color w:val="000000" w:themeColor="text1"/>
          <w:sz w:val="24"/>
          <w:szCs w:val="24"/>
          <w:lang w:eastAsia="pt-BR"/>
        </w:rPr>
        <w:t>em</w:t>
      </w:r>
      <w:r w:rsidRPr="00596D1F">
        <w:rPr>
          <w:rFonts w:ascii="Times New Roman" w:eastAsia="Times New Roman" w:hAnsi="Times New Roman"/>
          <w:color w:val="000000" w:themeColor="text1"/>
          <w:sz w:val="24"/>
          <w:szCs w:val="24"/>
          <w:lang w:eastAsia="pt-BR"/>
        </w:rPr>
        <w:t xml:space="preserve"> dados das análises de contas de 141 municípios do Mato Grosso, de 2011 a 2015, com o objetivo de identificar a probabilidade dos relatores votarem favoravelmente a aprovação de contas municipais com apontamentos de </w:t>
      </w:r>
      <w:r w:rsidRPr="00596D1F">
        <w:rPr>
          <w:rFonts w:ascii="Times New Roman" w:eastAsia="Times New Roman" w:hAnsi="Times New Roman"/>
          <w:color w:val="000000" w:themeColor="text1"/>
          <w:sz w:val="24"/>
          <w:szCs w:val="24"/>
          <w:lang w:eastAsia="pt-BR"/>
        </w:rPr>
        <w:lastRenderedPageBreak/>
        <w:t xml:space="preserve">irregularidades gravíssimas pela equipe de auditoria a tendência dos conselheiros acompanharem o voto do relator. Resumidamente, os autores notaram que </w:t>
      </w:r>
      <w:r w:rsidRPr="00596D1F">
        <w:rPr>
          <w:rFonts w:ascii="Times New Roman" w:hAnsi="Times New Roman"/>
          <w:color w:val="000000" w:themeColor="text1"/>
          <w:sz w:val="24"/>
          <w:szCs w:val="24"/>
        </w:rPr>
        <w:t>o plenário da corte de contas segue o voto do relator na maioria das apreciações e que o voto do relator diverge do parecer do Ministério Público de Contas em grade parte dos casos. Os pesquisadores indicam que esse quadro é um indício de que o relator não leva em consideração as irregularidades gravíssimas apontada</w:t>
      </w:r>
      <w:r w:rsidR="003620FE" w:rsidRPr="00596D1F">
        <w:rPr>
          <w:rFonts w:ascii="Times New Roman" w:hAnsi="Times New Roman"/>
          <w:color w:val="000000" w:themeColor="text1"/>
          <w:sz w:val="24"/>
          <w:szCs w:val="24"/>
        </w:rPr>
        <w:t>s</w:t>
      </w:r>
      <w:r w:rsidRPr="00596D1F">
        <w:rPr>
          <w:rFonts w:ascii="Times New Roman" w:hAnsi="Times New Roman"/>
          <w:color w:val="000000" w:themeColor="text1"/>
          <w:sz w:val="24"/>
          <w:szCs w:val="24"/>
        </w:rPr>
        <w:t xml:space="preserve"> pela equipe de auditoria. Sugerem que a interferência política na nomeação dos conselheiros comprometeria a apreciação das contas municipais e</w:t>
      </w:r>
      <w:r w:rsidR="00183A64"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portanto</w:t>
      </w:r>
      <w:r w:rsidR="00183A64"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a efetividade do Tribunal de Contas.</w:t>
      </w:r>
    </w:p>
    <w:p w14:paraId="78A850C4" w14:textId="612D0606" w:rsidR="004C30A2" w:rsidRPr="00596D1F" w:rsidRDefault="00466C3E"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O presente estudo</w:t>
      </w:r>
      <w:r w:rsidR="004915BD" w:rsidRPr="00596D1F">
        <w:rPr>
          <w:rFonts w:ascii="Times New Roman" w:eastAsia="Times New Roman" w:hAnsi="Times New Roman"/>
          <w:color w:val="000000" w:themeColor="text1"/>
          <w:sz w:val="24"/>
          <w:szCs w:val="24"/>
          <w:lang w:eastAsia="pt-BR"/>
        </w:rPr>
        <w:t xml:space="preserve"> se diferencia d</w:t>
      </w:r>
      <w:r w:rsidR="008F0975">
        <w:rPr>
          <w:rFonts w:ascii="Times New Roman" w:eastAsia="Times New Roman" w:hAnsi="Times New Roman"/>
          <w:color w:val="000000" w:themeColor="text1"/>
          <w:sz w:val="24"/>
          <w:szCs w:val="24"/>
          <w:lang w:eastAsia="pt-BR"/>
        </w:rPr>
        <w:t>o</w:t>
      </w:r>
      <w:r w:rsidR="004915BD" w:rsidRPr="00596D1F">
        <w:rPr>
          <w:rFonts w:ascii="Times New Roman" w:eastAsia="Times New Roman" w:hAnsi="Times New Roman"/>
          <w:color w:val="000000" w:themeColor="text1"/>
          <w:sz w:val="24"/>
          <w:szCs w:val="24"/>
          <w:lang w:eastAsia="pt-BR"/>
        </w:rPr>
        <w:t>s demais</w:t>
      </w:r>
      <w:r w:rsidR="007668EA" w:rsidRPr="00596D1F">
        <w:rPr>
          <w:rFonts w:ascii="Times New Roman" w:eastAsia="Times New Roman" w:hAnsi="Times New Roman"/>
          <w:color w:val="000000" w:themeColor="text1"/>
          <w:sz w:val="24"/>
          <w:szCs w:val="24"/>
          <w:lang w:eastAsia="pt-BR"/>
        </w:rPr>
        <w:t xml:space="preserve">, por </w:t>
      </w:r>
      <w:r w:rsidR="00AB13C8" w:rsidRPr="00596D1F">
        <w:rPr>
          <w:rFonts w:ascii="Times New Roman" w:eastAsia="Times New Roman" w:hAnsi="Times New Roman"/>
          <w:color w:val="000000" w:themeColor="text1"/>
          <w:sz w:val="24"/>
          <w:szCs w:val="24"/>
          <w:lang w:eastAsia="pt-BR"/>
        </w:rPr>
        <w:t>investigar o</w:t>
      </w:r>
      <w:r w:rsidR="00183A64" w:rsidRPr="00596D1F">
        <w:rPr>
          <w:rFonts w:ascii="Times New Roman" w:eastAsia="Times New Roman" w:hAnsi="Times New Roman"/>
          <w:color w:val="000000" w:themeColor="text1"/>
          <w:sz w:val="24"/>
          <w:szCs w:val="24"/>
          <w:lang w:eastAsia="pt-BR"/>
        </w:rPr>
        <w:t xml:space="preserve"> impacto</w:t>
      </w:r>
      <w:r w:rsidR="00AB13C8" w:rsidRPr="00596D1F">
        <w:rPr>
          <w:rFonts w:ascii="Times New Roman" w:eastAsia="Times New Roman" w:hAnsi="Times New Roman"/>
          <w:color w:val="000000" w:themeColor="text1"/>
          <w:sz w:val="24"/>
          <w:szCs w:val="24"/>
          <w:lang w:eastAsia="pt-BR"/>
        </w:rPr>
        <w:t xml:space="preserve"> ocasionado pela LAI,</w:t>
      </w:r>
      <w:r w:rsidR="00183A64" w:rsidRPr="00596D1F">
        <w:rPr>
          <w:rFonts w:ascii="Times New Roman" w:eastAsia="Times New Roman" w:hAnsi="Times New Roman"/>
          <w:color w:val="000000" w:themeColor="text1"/>
          <w:sz w:val="24"/>
          <w:szCs w:val="24"/>
          <w:lang w:eastAsia="pt-BR"/>
        </w:rPr>
        <w:t xml:space="preserve"> no</w:t>
      </w:r>
      <w:r w:rsidR="007668EA" w:rsidRPr="00596D1F">
        <w:rPr>
          <w:rFonts w:ascii="Times New Roman" w:eastAsia="Times New Roman" w:hAnsi="Times New Roman"/>
          <w:color w:val="000000" w:themeColor="text1"/>
          <w:sz w:val="24"/>
          <w:szCs w:val="24"/>
          <w:lang w:eastAsia="pt-BR"/>
        </w:rPr>
        <w:t xml:space="preserve"> comportamento dos</w:t>
      </w:r>
      <w:r w:rsidR="004915BD" w:rsidRPr="00596D1F">
        <w:rPr>
          <w:rFonts w:ascii="Times New Roman" w:eastAsia="Times New Roman" w:hAnsi="Times New Roman"/>
          <w:color w:val="000000" w:themeColor="text1"/>
          <w:sz w:val="24"/>
          <w:szCs w:val="24"/>
          <w:lang w:eastAsia="pt-BR"/>
        </w:rPr>
        <w:t xml:space="preserve"> agentes públicos</w:t>
      </w:r>
      <w:r w:rsidR="00AB13C8" w:rsidRPr="00596D1F">
        <w:rPr>
          <w:rFonts w:ascii="Times New Roman" w:eastAsia="Times New Roman" w:hAnsi="Times New Roman"/>
          <w:color w:val="000000" w:themeColor="text1"/>
          <w:sz w:val="24"/>
          <w:szCs w:val="24"/>
          <w:lang w:eastAsia="pt-BR"/>
        </w:rPr>
        <w:t xml:space="preserve"> de um Tribunal</w:t>
      </w:r>
      <w:r w:rsidR="004915BD" w:rsidRPr="00596D1F">
        <w:rPr>
          <w:rFonts w:ascii="Times New Roman" w:eastAsia="Times New Roman" w:hAnsi="Times New Roman"/>
          <w:color w:val="000000" w:themeColor="text1"/>
          <w:sz w:val="24"/>
          <w:szCs w:val="24"/>
          <w:lang w:eastAsia="pt-BR"/>
        </w:rPr>
        <w:t xml:space="preserve"> responsáveis pela fiscalização</w:t>
      </w:r>
      <w:r w:rsidR="00AB13C8" w:rsidRPr="00596D1F">
        <w:rPr>
          <w:rFonts w:ascii="Times New Roman" w:eastAsia="Times New Roman" w:hAnsi="Times New Roman"/>
          <w:color w:val="000000" w:themeColor="text1"/>
          <w:sz w:val="24"/>
          <w:szCs w:val="24"/>
          <w:lang w:eastAsia="pt-BR"/>
        </w:rPr>
        <w:t xml:space="preserve"> e punição, quando aplicável,</w:t>
      </w:r>
      <w:r w:rsidR="004915BD" w:rsidRPr="00596D1F">
        <w:rPr>
          <w:rFonts w:ascii="Times New Roman" w:eastAsia="Times New Roman" w:hAnsi="Times New Roman"/>
          <w:color w:val="000000" w:themeColor="text1"/>
          <w:sz w:val="24"/>
          <w:szCs w:val="24"/>
          <w:lang w:eastAsia="pt-BR"/>
        </w:rPr>
        <w:t xml:space="preserve"> </w:t>
      </w:r>
      <w:r w:rsidR="00AB13C8" w:rsidRPr="00596D1F">
        <w:rPr>
          <w:rFonts w:ascii="Times New Roman" w:eastAsia="Times New Roman" w:hAnsi="Times New Roman"/>
          <w:color w:val="000000" w:themeColor="text1"/>
          <w:sz w:val="24"/>
          <w:szCs w:val="24"/>
          <w:lang w:eastAsia="pt-BR"/>
        </w:rPr>
        <w:t>a gestores</w:t>
      </w:r>
      <w:r w:rsidR="004915BD" w:rsidRPr="00596D1F">
        <w:rPr>
          <w:rFonts w:ascii="Times New Roman" w:eastAsia="Times New Roman" w:hAnsi="Times New Roman"/>
          <w:color w:val="000000" w:themeColor="text1"/>
          <w:sz w:val="24"/>
          <w:szCs w:val="24"/>
          <w:lang w:eastAsia="pt-BR"/>
        </w:rPr>
        <w:t xml:space="preserve"> de recurso públicos</w:t>
      </w:r>
      <w:r w:rsidR="007668EA" w:rsidRPr="00596D1F">
        <w:rPr>
          <w:rFonts w:ascii="Times New Roman" w:eastAsia="Times New Roman" w:hAnsi="Times New Roman"/>
          <w:color w:val="000000" w:themeColor="text1"/>
          <w:sz w:val="24"/>
          <w:szCs w:val="24"/>
          <w:lang w:eastAsia="pt-BR"/>
        </w:rPr>
        <w:t xml:space="preserve"> </w:t>
      </w:r>
      <w:r w:rsidR="00AB13C8" w:rsidRPr="00596D1F">
        <w:rPr>
          <w:rFonts w:ascii="Times New Roman" w:eastAsia="Times New Roman" w:hAnsi="Times New Roman"/>
          <w:color w:val="000000" w:themeColor="text1"/>
          <w:sz w:val="24"/>
          <w:szCs w:val="24"/>
          <w:lang w:eastAsia="pt-BR"/>
        </w:rPr>
        <w:t>municipais</w:t>
      </w:r>
      <w:r w:rsidR="00B27AB1" w:rsidRPr="00596D1F">
        <w:rPr>
          <w:rFonts w:ascii="Times New Roman" w:eastAsia="Times New Roman" w:hAnsi="Times New Roman"/>
          <w:color w:val="000000" w:themeColor="text1"/>
          <w:sz w:val="24"/>
          <w:szCs w:val="24"/>
          <w:lang w:eastAsia="pt-BR"/>
        </w:rPr>
        <w:t>,</w:t>
      </w:r>
      <w:r w:rsidR="00AB13C8" w:rsidRPr="00596D1F">
        <w:rPr>
          <w:rFonts w:ascii="Times New Roman" w:eastAsia="Times New Roman" w:hAnsi="Times New Roman"/>
          <w:color w:val="000000" w:themeColor="text1"/>
          <w:sz w:val="24"/>
          <w:szCs w:val="24"/>
          <w:lang w:eastAsia="pt-BR"/>
        </w:rPr>
        <w:t xml:space="preserve"> </w:t>
      </w:r>
      <w:r w:rsidR="0016162B">
        <w:rPr>
          <w:rFonts w:ascii="Times New Roman" w:eastAsia="Times New Roman" w:hAnsi="Times New Roman"/>
          <w:color w:val="000000" w:themeColor="text1"/>
          <w:sz w:val="24"/>
          <w:szCs w:val="24"/>
          <w:lang w:eastAsia="pt-BR"/>
        </w:rPr>
        <w:t>na utilização</w:t>
      </w:r>
      <w:r w:rsidR="007668EA" w:rsidRPr="00596D1F">
        <w:rPr>
          <w:rFonts w:ascii="Times New Roman" w:eastAsia="Times New Roman" w:hAnsi="Times New Roman"/>
          <w:color w:val="000000" w:themeColor="text1"/>
          <w:sz w:val="24"/>
          <w:szCs w:val="24"/>
          <w:lang w:eastAsia="pt-BR"/>
        </w:rPr>
        <w:t xml:space="preserve"> </w:t>
      </w:r>
      <w:r w:rsidR="00AB13C8" w:rsidRPr="00596D1F">
        <w:rPr>
          <w:rFonts w:ascii="Times New Roman" w:eastAsia="Times New Roman" w:hAnsi="Times New Roman"/>
          <w:color w:val="000000" w:themeColor="text1"/>
          <w:sz w:val="24"/>
          <w:szCs w:val="24"/>
          <w:lang w:eastAsia="pt-BR"/>
        </w:rPr>
        <w:t>com</w:t>
      </w:r>
      <w:r w:rsidR="008B6348">
        <w:rPr>
          <w:rFonts w:ascii="Times New Roman" w:eastAsia="Times New Roman" w:hAnsi="Times New Roman"/>
          <w:color w:val="000000" w:themeColor="text1"/>
          <w:sz w:val="24"/>
          <w:szCs w:val="24"/>
          <w:lang w:eastAsia="pt-BR"/>
        </w:rPr>
        <w:t>o</w:t>
      </w:r>
      <w:r w:rsidR="00AB13C8" w:rsidRPr="00596D1F">
        <w:rPr>
          <w:rFonts w:ascii="Times New Roman" w:eastAsia="Times New Roman" w:hAnsi="Times New Roman"/>
          <w:color w:val="000000" w:themeColor="text1"/>
          <w:sz w:val="24"/>
          <w:szCs w:val="24"/>
          <w:lang w:eastAsia="pt-BR"/>
        </w:rPr>
        <w:t xml:space="preserve"> </w:t>
      </w:r>
      <w:r w:rsidR="00AB13C8" w:rsidRPr="00596D1F">
        <w:rPr>
          <w:rFonts w:ascii="Times New Roman" w:eastAsia="Times New Roman" w:hAnsi="Times New Roman"/>
          <w:i/>
          <w:color w:val="000000" w:themeColor="text1"/>
          <w:sz w:val="24"/>
          <w:szCs w:val="24"/>
          <w:lang w:eastAsia="pt-BR"/>
        </w:rPr>
        <w:t>proxy</w:t>
      </w:r>
      <w:r w:rsidR="00AB13C8" w:rsidRPr="00596D1F">
        <w:rPr>
          <w:rFonts w:ascii="Times New Roman" w:eastAsia="Times New Roman" w:hAnsi="Times New Roman"/>
          <w:color w:val="000000" w:themeColor="text1"/>
          <w:sz w:val="24"/>
          <w:szCs w:val="24"/>
          <w:lang w:eastAsia="pt-BR"/>
        </w:rPr>
        <w:t xml:space="preserve"> da modificação comportamental, o resultado das</w:t>
      </w:r>
      <w:r w:rsidR="007668EA" w:rsidRPr="00596D1F">
        <w:rPr>
          <w:rFonts w:ascii="Times New Roman" w:eastAsia="Times New Roman" w:hAnsi="Times New Roman"/>
          <w:color w:val="000000" w:themeColor="text1"/>
          <w:sz w:val="24"/>
          <w:szCs w:val="24"/>
          <w:lang w:eastAsia="pt-BR"/>
        </w:rPr>
        <w:t xml:space="preserve"> punições</w:t>
      </w:r>
      <w:r w:rsidR="008B6348">
        <w:rPr>
          <w:rFonts w:ascii="Times New Roman" w:eastAsia="Times New Roman" w:hAnsi="Times New Roman"/>
          <w:color w:val="000000" w:themeColor="text1"/>
          <w:sz w:val="24"/>
          <w:szCs w:val="24"/>
          <w:lang w:eastAsia="pt-BR"/>
        </w:rPr>
        <w:t xml:space="preserve"> por eles</w:t>
      </w:r>
      <w:r w:rsidR="007668EA" w:rsidRPr="00596D1F">
        <w:rPr>
          <w:rFonts w:ascii="Times New Roman" w:eastAsia="Times New Roman" w:hAnsi="Times New Roman"/>
          <w:color w:val="000000" w:themeColor="text1"/>
          <w:sz w:val="24"/>
          <w:szCs w:val="24"/>
          <w:lang w:eastAsia="pt-BR"/>
        </w:rPr>
        <w:t xml:space="preserve"> </w:t>
      </w:r>
      <w:r w:rsidR="00AB13C8" w:rsidRPr="00596D1F">
        <w:rPr>
          <w:rFonts w:ascii="Times New Roman" w:eastAsia="Times New Roman" w:hAnsi="Times New Roman"/>
          <w:color w:val="000000" w:themeColor="text1"/>
          <w:sz w:val="24"/>
          <w:szCs w:val="24"/>
          <w:lang w:eastAsia="pt-BR"/>
        </w:rPr>
        <w:t>impostas</w:t>
      </w:r>
      <w:r w:rsidR="008B6348">
        <w:rPr>
          <w:rFonts w:ascii="Times New Roman" w:eastAsia="Times New Roman" w:hAnsi="Times New Roman"/>
          <w:color w:val="000000" w:themeColor="text1"/>
          <w:sz w:val="24"/>
          <w:szCs w:val="24"/>
          <w:lang w:eastAsia="pt-BR"/>
        </w:rPr>
        <w:t>,</w:t>
      </w:r>
      <w:r w:rsidR="00AB13C8" w:rsidRPr="00596D1F">
        <w:rPr>
          <w:rFonts w:ascii="Times New Roman" w:eastAsia="Times New Roman" w:hAnsi="Times New Roman"/>
          <w:color w:val="000000" w:themeColor="text1"/>
          <w:sz w:val="24"/>
          <w:szCs w:val="24"/>
          <w:lang w:eastAsia="pt-BR"/>
        </w:rPr>
        <w:t xml:space="preserve"> </w:t>
      </w:r>
      <w:r w:rsidR="008B6348">
        <w:rPr>
          <w:rFonts w:ascii="Times New Roman" w:eastAsia="Times New Roman" w:hAnsi="Times New Roman"/>
          <w:color w:val="000000" w:themeColor="text1"/>
          <w:sz w:val="24"/>
          <w:szCs w:val="24"/>
          <w:lang w:eastAsia="pt-BR"/>
        </w:rPr>
        <w:t>em período anterior e posterior a lei de acesso a informações</w:t>
      </w:r>
      <w:r w:rsidR="00B27AB1" w:rsidRPr="00596D1F">
        <w:rPr>
          <w:rFonts w:ascii="Times New Roman" w:eastAsia="Times New Roman" w:hAnsi="Times New Roman"/>
          <w:color w:val="000000" w:themeColor="text1"/>
          <w:sz w:val="24"/>
          <w:szCs w:val="24"/>
          <w:lang w:eastAsia="pt-BR"/>
        </w:rPr>
        <w:t xml:space="preserve">. </w:t>
      </w:r>
      <w:r w:rsidR="00C77158" w:rsidRPr="00596D1F">
        <w:rPr>
          <w:rFonts w:ascii="Times New Roman" w:eastAsia="Times New Roman" w:hAnsi="Times New Roman"/>
          <w:color w:val="000000" w:themeColor="text1"/>
          <w:sz w:val="24"/>
          <w:szCs w:val="24"/>
          <w:lang w:eastAsia="pt-BR"/>
        </w:rPr>
        <w:t>Em síntese, a pergunta de pesquisa é ser elucidada é: a LAI alterou o comportamento dos agentes fiscalizadores</w:t>
      </w:r>
      <w:r w:rsidR="00CD404A" w:rsidRPr="00596D1F">
        <w:rPr>
          <w:rFonts w:ascii="Times New Roman" w:eastAsia="Times New Roman" w:hAnsi="Times New Roman"/>
          <w:color w:val="000000" w:themeColor="text1"/>
          <w:sz w:val="24"/>
          <w:szCs w:val="24"/>
          <w:lang w:eastAsia="pt-BR"/>
        </w:rPr>
        <w:t xml:space="preserve"> e julgadores</w:t>
      </w:r>
      <w:r w:rsidRPr="00596D1F">
        <w:rPr>
          <w:rFonts w:ascii="Times New Roman" w:eastAsia="Times New Roman" w:hAnsi="Times New Roman"/>
          <w:color w:val="000000" w:themeColor="text1"/>
          <w:sz w:val="24"/>
          <w:szCs w:val="24"/>
          <w:lang w:eastAsia="pt-BR"/>
        </w:rPr>
        <w:t xml:space="preserve"> de um Tribunal de Contas do Brasil</w:t>
      </w:r>
      <w:r w:rsidR="00C77158" w:rsidRPr="00596D1F">
        <w:rPr>
          <w:rFonts w:ascii="Times New Roman" w:eastAsia="Times New Roman" w:hAnsi="Times New Roman"/>
          <w:color w:val="000000" w:themeColor="text1"/>
          <w:sz w:val="24"/>
          <w:szCs w:val="24"/>
          <w:lang w:eastAsia="pt-BR"/>
        </w:rPr>
        <w:t xml:space="preserve">? </w:t>
      </w:r>
      <w:r w:rsidR="00B27AB1" w:rsidRPr="00596D1F">
        <w:rPr>
          <w:rFonts w:ascii="Times New Roman" w:eastAsia="Times New Roman" w:hAnsi="Times New Roman"/>
          <w:color w:val="000000" w:themeColor="text1"/>
          <w:sz w:val="24"/>
          <w:szCs w:val="24"/>
          <w:lang w:eastAsia="pt-BR"/>
        </w:rPr>
        <w:t>A premissa central</w:t>
      </w:r>
      <w:r w:rsidR="005C51C3" w:rsidRPr="00596D1F">
        <w:rPr>
          <w:rFonts w:ascii="Times New Roman" w:eastAsia="Times New Roman" w:hAnsi="Times New Roman"/>
          <w:color w:val="000000" w:themeColor="text1"/>
          <w:sz w:val="24"/>
          <w:szCs w:val="24"/>
          <w:lang w:eastAsia="pt-BR"/>
        </w:rPr>
        <w:t xml:space="preserve"> estabelecida</w:t>
      </w:r>
      <w:r w:rsidR="00B27AB1" w:rsidRPr="00596D1F">
        <w:rPr>
          <w:rFonts w:ascii="Times New Roman" w:eastAsia="Times New Roman" w:hAnsi="Times New Roman"/>
          <w:color w:val="000000" w:themeColor="text1"/>
          <w:sz w:val="24"/>
          <w:szCs w:val="24"/>
          <w:lang w:eastAsia="pt-BR"/>
        </w:rPr>
        <w:t xml:space="preserve"> é a de que, com </w:t>
      </w:r>
      <w:r w:rsidR="005C51C3" w:rsidRPr="00596D1F">
        <w:rPr>
          <w:rFonts w:ascii="Times New Roman" w:eastAsia="Times New Roman" w:hAnsi="Times New Roman"/>
          <w:color w:val="000000" w:themeColor="text1"/>
          <w:sz w:val="24"/>
          <w:szCs w:val="24"/>
          <w:lang w:eastAsia="pt-BR"/>
        </w:rPr>
        <w:t xml:space="preserve">a regulação </w:t>
      </w:r>
      <w:r w:rsidR="00B27AB1" w:rsidRPr="00596D1F">
        <w:rPr>
          <w:rFonts w:ascii="Times New Roman" w:eastAsia="Times New Roman" w:hAnsi="Times New Roman"/>
          <w:color w:val="000000" w:themeColor="text1"/>
          <w:sz w:val="24"/>
          <w:szCs w:val="24"/>
          <w:lang w:eastAsia="pt-BR"/>
        </w:rPr>
        <w:t xml:space="preserve">do acesso de informações da gestão pública, inclusive </w:t>
      </w:r>
      <w:r w:rsidR="0007035E" w:rsidRPr="00596D1F">
        <w:rPr>
          <w:rFonts w:ascii="Times New Roman" w:eastAsia="Times New Roman" w:hAnsi="Times New Roman"/>
          <w:color w:val="000000" w:themeColor="text1"/>
          <w:sz w:val="24"/>
          <w:szCs w:val="24"/>
          <w:lang w:eastAsia="pt-BR"/>
        </w:rPr>
        <w:t xml:space="preserve">da atuação </w:t>
      </w:r>
      <w:r w:rsidRPr="00596D1F">
        <w:rPr>
          <w:rFonts w:ascii="Times New Roman" w:eastAsia="Times New Roman" w:hAnsi="Times New Roman"/>
          <w:color w:val="000000" w:themeColor="text1"/>
          <w:sz w:val="24"/>
          <w:szCs w:val="24"/>
          <w:lang w:eastAsia="pt-BR"/>
        </w:rPr>
        <w:t>da C</w:t>
      </w:r>
      <w:r w:rsidR="00FE6B08">
        <w:rPr>
          <w:rFonts w:ascii="Times New Roman" w:eastAsia="Times New Roman" w:hAnsi="Times New Roman"/>
          <w:color w:val="000000" w:themeColor="text1"/>
          <w:sz w:val="24"/>
          <w:szCs w:val="24"/>
          <w:lang w:eastAsia="pt-BR"/>
        </w:rPr>
        <w:t>orte de C</w:t>
      </w:r>
      <w:r w:rsidR="007668EA" w:rsidRPr="00596D1F">
        <w:rPr>
          <w:rFonts w:ascii="Times New Roman" w:eastAsia="Times New Roman" w:hAnsi="Times New Roman"/>
          <w:color w:val="000000" w:themeColor="text1"/>
          <w:sz w:val="24"/>
          <w:szCs w:val="24"/>
          <w:lang w:eastAsia="pt-BR"/>
        </w:rPr>
        <w:t>ontas</w:t>
      </w:r>
      <w:r w:rsidR="0007035E" w:rsidRPr="00596D1F">
        <w:rPr>
          <w:rFonts w:ascii="Times New Roman" w:eastAsia="Times New Roman" w:hAnsi="Times New Roman"/>
          <w:color w:val="000000" w:themeColor="text1"/>
          <w:sz w:val="24"/>
          <w:szCs w:val="24"/>
          <w:lang w:eastAsia="pt-BR"/>
        </w:rPr>
        <w:t>, ampliaram</w:t>
      </w:r>
      <w:r w:rsidR="007668EA" w:rsidRPr="00596D1F">
        <w:rPr>
          <w:rFonts w:ascii="Times New Roman" w:eastAsia="Times New Roman" w:hAnsi="Times New Roman"/>
          <w:color w:val="000000" w:themeColor="text1"/>
          <w:sz w:val="24"/>
          <w:szCs w:val="24"/>
          <w:lang w:eastAsia="pt-BR"/>
        </w:rPr>
        <w:t>-se as</w:t>
      </w:r>
      <w:r w:rsidR="00C77158" w:rsidRPr="00596D1F">
        <w:rPr>
          <w:rFonts w:ascii="Times New Roman" w:eastAsia="Times New Roman" w:hAnsi="Times New Roman"/>
          <w:color w:val="000000" w:themeColor="text1"/>
          <w:sz w:val="24"/>
          <w:szCs w:val="24"/>
          <w:lang w:eastAsia="pt-BR"/>
        </w:rPr>
        <w:t xml:space="preserve"> punições aplicadas depois da l</w:t>
      </w:r>
      <w:r w:rsidR="0007035E" w:rsidRPr="00596D1F">
        <w:rPr>
          <w:rFonts w:ascii="Times New Roman" w:eastAsia="Times New Roman" w:hAnsi="Times New Roman"/>
          <w:color w:val="000000" w:themeColor="text1"/>
          <w:sz w:val="24"/>
          <w:szCs w:val="24"/>
          <w:lang w:eastAsia="pt-BR"/>
        </w:rPr>
        <w:t>ei</w:t>
      </w:r>
      <w:r w:rsidR="005C51C3" w:rsidRPr="00596D1F">
        <w:rPr>
          <w:rFonts w:ascii="Times New Roman" w:eastAsia="Times New Roman" w:hAnsi="Times New Roman"/>
          <w:color w:val="000000" w:themeColor="text1"/>
          <w:sz w:val="24"/>
          <w:szCs w:val="24"/>
          <w:lang w:eastAsia="pt-BR"/>
        </w:rPr>
        <w:t xml:space="preserve"> por causa da maior transparência pública</w:t>
      </w:r>
      <w:r w:rsidR="0007035E" w:rsidRPr="00596D1F">
        <w:rPr>
          <w:rFonts w:ascii="Times New Roman" w:eastAsia="Times New Roman" w:hAnsi="Times New Roman"/>
          <w:color w:val="000000" w:themeColor="text1"/>
          <w:sz w:val="24"/>
          <w:szCs w:val="24"/>
          <w:lang w:eastAsia="pt-BR"/>
        </w:rPr>
        <w:t xml:space="preserve">. </w:t>
      </w:r>
    </w:p>
    <w:p w14:paraId="16713EE8" w14:textId="77777777" w:rsidR="0016162B" w:rsidRDefault="0007035E" w:rsidP="000B6B45">
      <w:pPr>
        <w:spacing w:after="0" w:line="240" w:lineRule="auto"/>
        <w:ind w:firstLine="708"/>
        <w:jc w:val="both"/>
        <w:rPr>
          <w:rFonts w:ascii="Times New Roman" w:hAnsi="Times New Roman"/>
          <w:color w:val="000000" w:themeColor="text1"/>
          <w:sz w:val="24"/>
          <w:szCs w:val="24"/>
        </w:rPr>
      </w:pPr>
      <w:r w:rsidRPr="00596D1F">
        <w:rPr>
          <w:rFonts w:ascii="Times New Roman" w:eastAsia="Times New Roman" w:hAnsi="Times New Roman"/>
          <w:color w:val="000000" w:themeColor="text1"/>
          <w:sz w:val="24"/>
          <w:szCs w:val="24"/>
          <w:lang w:eastAsia="pt-BR"/>
        </w:rPr>
        <w:t>O objetivo principal</w:t>
      </w:r>
      <w:r w:rsidR="00CD404A" w:rsidRPr="00596D1F">
        <w:rPr>
          <w:rFonts w:ascii="Times New Roman" w:eastAsia="Times New Roman" w:hAnsi="Times New Roman"/>
          <w:color w:val="000000" w:themeColor="text1"/>
          <w:sz w:val="24"/>
          <w:szCs w:val="24"/>
          <w:lang w:eastAsia="pt-BR"/>
        </w:rPr>
        <w:t xml:space="preserve"> do estudo, então, </w:t>
      </w:r>
      <w:r w:rsidRPr="00596D1F">
        <w:rPr>
          <w:rFonts w:ascii="Times New Roman" w:eastAsia="Times New Roman" w:hAnsi="Times New Roman"/>
          <w:color w:val="000000" w:themeColor="text1"/>
          <w:sz w:val="24"/>
          <w:szCs w:val="24"/>
          <w:lang w:eastAsia="pt-BR"/>
        </w:rPr>
        <w:t xml:space="preserve">é, </w:t>
      </w:r>
      <w:r w:rsidR="005C51C3" w:rsidRPr="00596D1F">
        <w:rPr>
          <w:rFonts w:ascii="Times New Roman" w:eastAsia="Times New Roman" w:hAnsi="Times New Roman"/>
          <w:color w:val="000000" w:themeColor="text1"/>
          <w:sz w:val="24"/>
          <w:szCs w:val="24"/>
          <w:lang w:eastAsia="pt-BR"/>
        </w:rPr>
        <w:t>com base na teoria da análise do</w:t>
      </w:r>
      <w:r w:rsidRPr="00596D1F">
        <w:rPr>
          <w:rFonts w:ascii="Times New Roman" w:eastAsia="Times New Roman" w:hAnsi="Times New Roman"/>
          <w:color w:val="000000" w:themeColor="text1"/>
          <w:sz w:val="24"/>
          <w:szCs w:val="24"/>
          <w:lang w:eastAsia="pt-BR"/>
        </w:rPr>
        <w:t xml:space="preserve"> comportamento humano, avaliar</w:t>
      </w:r>
      <w:r w:rsidR="00183A64" w:rsidRPr="00596D1F">
        <w:rPr>
          <w:rFonts w:ascii="Times New Roman" w:eastAsia="Times New Roman" w:hAnsi="Times New Roman"/>
          <w:color w:val="000000" w:themeColor="text1"/>
          <w:sz w:val="24"/>
          <w:szCs w:val="24"/>
          <w:lang w:eastAsia="pt-BR"/>
        </w:rPr>
        <w:t xml:space="preserve"> qual foi</w:t>
      </w:r>
      <w:r w:rsidRPr="00596D1F">
        <w:rPr>
          <w:rFonts w:ascii="Times New Roman" w:eastAsia="Times New Roman" w:hAnsi="Times New Roman"/>
          <w:color w:val="000000" w:themeColor="text1"/>
          <w:sz w:val="24"/>
          <w:szCs w:val="24"/>
          <w:lang w:eastAsia="pt-BR"/>
        </w:rPr>
        <w:t xml:space="preserve"> o impacto da LAI no comportamento dos agentes públicos de um tribunal de contas do Brasil. </w:t>
      </w:r>
      <w:r w:rsidRPr="00596D1F">
        <w:rPr>
          <w:rFonts w:ascii="Times New Roman" w:hAnsi="Times New Roman"/>
          <w:color w:val="000000" w:themeColor="text1"/>
          <w:sz w:val="24"/>
          <w:szCs w:val="24"/>
        </w:rPr>
        <w:t xml:space="preserve">Diante do exposto, a contribuição central da pesquisa é descrever e avaliar as consequências previstas implícita ou explicitamente </w:t>
      </w:r>
      <w:r w:rsidR="005C51C3" w:rsidRPr="00596D1F">
        <w:rPr>
          <w:rFonts w:ascii="Times New Roman" w:hAnsi="Times New Roman"/>
          <w:color w:val="000000" w:themeColor="text1"/>
          <w:sz w:val="24"/>
          <w:szCs w:val="24"/>
        </w:rPr>
        <w:t>na</w:t>
      </w:r>
      <w:r w:rsidRPr="00596D1F">
        <w:rPr>
          <w:rFonts w:ascii="Times New Roman" w:hAnsi="Times New Roman"/>
          <w:color w:val="000000" w:themeColor="text1"/>
          <w:sz w:val="24"/>
          <w:szCs w:val="24"/>
        </w:rPr>
        <w:t xml:space="preserve"> regra, no caso um estímulo discriminativo, na maneira de agir das pessoas alcançadas por ela</w:t>
      </w:r>
      <w:r w:rsidR="005C51C3" w:rsidRPr="00596D1F">
        <w:rPr>
          <w:rFonts w:ascii="Times New Roman" w:hAnsi="Times New Roman"/>
          <w:color w:val="000000" w:themeColor="text1"/>
          <w:sz w:val="24"/>
          <w:szCs w:val="24"/>
        </w:rPr>
        <w:t xml:space="preserve">. </w:t>
      </w:r>
    </w:p>
    <w:p w14:paraId="6C2F5FD1" w14:textId="6B36ABFE" w:rsidR="0007035E" w:rsidRPr="00596D1F" w:rsidRDefault="005C51C3"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S</w:t>
      </w:r>
      <w:r w:rsidR="0007035E" w:rsidRPr="00596D1F">
        <w:rPr>
          <w:rFonts w:ascii="Times New Roman" w:hAnsi="Times New Roman"/>
          <w:color w:val="000000" w:themeColor="text1"/>
          <w:sz w:val="24"/>
          <w:szCs w:val="24"/>
        </w:rPr>
        <w:t>egundo Moreira e Medeiros (2007)</w:t>
      </w:r>
      <w:r w:rsidR="00F836E0">
        <w:rPr>
          <w:rFonts w:ascii="Times New Roman" w:hAnsi="Times New Roman"/>
          <w:color w:val="000000" w:themeColor="text1"/>
          <w:sz w:val="24"/>
          <w:szCs w:val="24"/>
        </w:rPr>
        <w:t>,</w:t>
      </w:r>
      <w:r w:rsidR="0007035E" w:rsidRPr="00596D1F">
        <w:rPr>
          <w:rFonts w:ascii="Times New Roman" w:hAnsi="Times New Roman"/>
          <w:color w:val="000000" w:themeColor="text1"/>
          <w:sz w:val="24"/>
          <w:szCs w:val="24"/>
        </w:rPr>
        <w:t xml:space="preserve"> o ambiente, </w:t>
      </w:r>
      <w:r w:rsidR="0016162B">
        <w:rPr>
          <w:rFonts w:ascii="Times New Roman" w:hAnsi="Times New Roman"/>
          <w:color w:val="000000" w:themeColor="text1"/>
          <w:sz w:val="24"/>
          <w:szCs w:val="24"/>
        </w:rPr>
        <w:t>nesse âmbito</w:t>
      </w:r>
      <w:r w:rsidR="0007035E" w:rsidRPr="00596D1F">
        <w:rPr>
          <w:rFonts w:ascii="Times New Roman" w:hAnsi="Times New Roman"/>
          <w:color w:val="000000" w:themeColor="text1"/>
          <w:sz w:val="24"/>
          <w:szCs w:val="24"/>
        </w:rPr>
        <w:t xml:space="preserve"> compreendido como antes e depois da LAI, exerce controle sobre o comportamento humano, ou seja, altera a probabilidade de ocorrência do comportamento. Então, será possível compreender o efeito da regra</w:t>
      </w:r>
      <w:r w:rsidR="00466C3E" w:rsidRPr="00596D1F">
        <w:rPr>
          <w:rFonts w:ascii="Times New Roman" w:hAnsi="Times New Roman"/>
          <w:color w:val="000000" w:themeColor="text1"/>
          <w:sz w:val="24"/>
          <w:szCs w:val="24"/>
        </w:rPr>
        <w:t xml:space="preserve"> (LAI)</w:t>
      </w:r>
      <w:r w:rsidR="0007035E" w:rsidRPr="00596D1F">
        <w:rPr>
          <w:rFonts w:ascii="Times New Roman" w:hAnsi="Times New Roman"/>
          <w:color w:val="000000" w:themeColor="text1"/>
          <w:sz w:val="24"/>
          <w:szCs w:val="24"/>
        </w:rPr>
        <w:t>, sobre o comportamento dos agentes públicos responsáveis em reduzir a probabilidade de que seus jurisdicionados deixem de cumprir com suas atribuições no que tange a gestão</w:t>
      </w:r>
      <w:r w:rsidRPr="00596D1F">
        <w:rPr>
          <w:rFonts w:ascii="Times New Roman" w:hAnsi="Times New Roman"/>
          <w:color w:val="000000" w:themeColor="text1"/>
          <w:sz w:val="24"/>
          <w:szCs w:val="24"/>
        </w:rPr>
        <w:t xml:space="preserve"> eficiente e eficaz do dinheiro público</w:t>
      </w:r>
      <w:r w:rsidR="0007035E" w:rsidRPr="00596D1F">
        <w:rPr>
          <w:rFonts w:ascii="Times New Roman" w:hAnsi="Times New Roman"/>
          <w:color w:val="000000" w:themeColor="text1"/>
          <w:sz w:val="24"/>
          <w:szCs w:val="24"/>
        </w:rPr>
        <w:t>.</w:t>
      </w:r>
    </w:p>
    <w:p w14:paraId="2B15883F" w14:textId="77777777" w:rsidR="0016162B" w:rsidRDefault="004C30A2"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 xml:space="preserve">Para consecução do objetivo de pesquisa foram obtidos </w:t>
      </w:r>
      <w:r w:rsidR="00DD6638" w:rsidRPr="00596D1F">
        <w:rPr>
          <w:rFonts w:ascii="Times New Roman" w:eastAsia="Times New Roman" w:hAnsi="Times New Roman"/>
          <w:color w:val="000000" w:themeColor="text1"/>
          <w:sz w:val="24"/>
          <w:szCs w:val="24"/>
          <w:lang w:eastAsia="pt-BR"/>
        </w:rPr>
        <w:t>do Tribunal de Contas dos Municípios de Goiás (TCM-GO)</w:t>
      </w:r>
      <w:r w:rsidR="00CD404A" w:rsidRPr="00596D1F">
        <w:rPr>
          <w:rFonts w:ascii="Times New Roman" w:eastAsia="Times New Roman" w:hAnsi="Times New Roman"/>
          <w:color w:val="000000" w:themeColor="text1"/>
          <w:sz w:val="24"/>
          <w:szCs w:val="24"/>
          <w:lang w:eastAsia="pt-BR"/>
        </w:rPr>
        <w:t xml:space="preserve"> dados</w:t>
      </w:r>
      <w:r w:rsidRPr="00596D1F">
        <w:rPr>
          <w:rFonts w:ascii="Times New Roman" w:eastAsia="Times New Roman" w:hAnsi="Times New Roman"/>
          <w:color w:val="000000" w:themeColor="text1"/>
          <w:sz w:val="24"/>
          <w:szCs w:val="24"/>
          <w:lang w:eastAsia="pt-BR"/>
        </w:rPr>
        <w:t xml:space="preserve"> </w:t>
      </w:r>
      <w:r w:rsidR="005C51C3" w:rsidRPr="00596D1F">
        <w:rPr>
          <w:rFonts w:ascii="Times New Roman" w:eastAsia="Times New Roman" w:hAnsi="Times New Roman"/>
          <w:color w:val="000000" w:themeColor="text1"/>
          <w:sz w:val="24"/>
          <w:szCs w:val="24"/>
          <w:lang w:eastAsia="pt-BR"/>
        </w:rPr>
        <w:t>d</w:t>
      </w:r>
      <w:r w:rsidR="00CD404A" w:rsidRPr="00596D1F">
        <w:rPr>
          <w:rFonts w:ascii="Times New Roman" w:eastAsia="Times New Roman" w:hAnsi="Times New Roman"/>
          <w:color w:val="000000" w:themeColor="text1"/>
          <w:sz w:val="24"/>
          <w:szCs w:val="24"/>
          <w:lang w:eastAsia="pt-BR"/>
        </w:rPr>
        <w:t>e</w:t>
      </w:r>
      <w:r w:rsidRPr="00596D1F">
        <w:rPr>
          <w:rFonts w:ascii="Times New Roman" w:eastAsia="Times New Roman" w:hAnsi="Times New Roman"/>
          <w:color w:val="000000" w:themeColor="text1"/>
          <w:sz w:val="24"/>
          <w:szCs w:val="24"/>
          <w:lang w:eastAsia="pt-BR"/>
        </w:rPr>
        <w:t xml:space="preserve"> fiscalização, julgamento de contas e punições aos gestores públicos municipais</w:t>
      </w:r>
      <w:r w:rsidR="00044513">
        <w:rPr>
          <w:rFonts w:ascii="Times New Roman" w:eastAsia="Times New Roman" w:hAnsi="Times New Roman"/>
          <w:color w:val="000000" w:themeColor="text1"/>
          <w:sz w:val="24"/>
          <w:szCs w:val="24"/>
          <w:lang w:eastAsia="pt-BR"/>
        </w:rPr>
        <w:t>, por intermédio</w:t>
      </w:r>
      <w:r w:rsidRPr="00596D1F">
        <w:rPr>
          <w:rFonts w:ascii="Times New Roman" w:eastAsia="Times New Roman" w:hAnsi="Times New Roman"/>
          <w:color w:val="000000" w:themeColor="text1"/>
          <w:sz w:val="24"/>
          <w:szCs w:val="24"/>
          <w:lang w:eastAsia="pt-BR"/>
        </w:rPr>
        <w:t xml:space="preserve"> da</w:t>
      </w:r>
      <w:r w:rsidR="00CD404A" w:rsidRPr="00596D1F">
        <w:rPr>
          <w:rFonts w:ascii="Times New Roman" w:eastAsia="Times New Roman" w:hAnsi="Times New Roman"/>
          <w:color w:val="000000" w:themeColor="text1"/>
          <w:sz w:val="24"/>
          <w:szCs w:val="24"/>
          <w:lang w:eastAsia="pt-BR"/>
        </w:rPr>
        <w:t xml:space="preserve"> própria </w:t>
      </w:r>
      <w:r w:rsidR="00044513">
        <w:rPr>
          <w:rFonts w:ascii="Times New Roman" w:eastAsia="Times New Roman" w:hAnsi="Times New Roman"/>
          <w:color w:val="000000" w:themeColor="text1"/>
          <w:sz w:val="24"/>
          <w:szCs w:val="24"/>
          <w:lang w:eastAsia="pt-BR"/>
        </w:rPr>
        <w:t>LAI</w:t>
      </w:r>
      <w:r w:rsidRPr="00596D1F">
        <w:rPr>
          <w:rFonts w:ascii="Times New Roman" w:eastAsia="Times New Roman" w:hAnsi="Times New Roman"/>
          <w:color w:val="000000" w:themeColor="text1"/>
          <w:sz w:val="24"/>
          <w:szCs w:val="24"/>
          <w:lang w:eastAsia="pt-BR"/>
        </w:rPr>
        <w:t xml:space="preserve"> (Lei n.º 18.025 de 2013</w:t>
      </w:r>
      <w:r w:rsidR="00395F0D" w:rsidRPr="00596D1F">
        <w:rPr>
          <w:rFonts w:ascii="Times New Roman" w:eastAsia="Times New Roman" w:hAnsi="Times New Roman"/>
          <w:color w:val="000000" w:themeColor="text1"/>
          <w:sz w:val="24"/>
          <w:szCs w:val="24"/>
          <w:lang w:eastAsia="pt-BR"/>
        </w:rPr>
        <w:t>, que regulamentou a lei federal</w:t>
      </w:r>
      <w:r w:rsidR="00FE6B08">
        <w:rPr>
          <w:rFonts w:ascii="Times New Roman" w:eastAsia="Times New Roman" w:hAnsi="Times New Roman"/>
          <w:color w:val="000000" w:themeColor="text1"/>
          <w:sz w:val="24"/>
          <w:szCs w:val="24"/>
          <w:lang w:eastAsia="pt-BR"/>
        </w:rPr>
        <w:t xml:space="preserve"> – </w:t>
      </w:r>
      <w:r w:rsidR="00FE6B08" w:rsidRPr="00596D1F">
        <w:rPr>
          <w:rFonts w:ascii="Times New Roman" w:eastAsia="Times New Roman" w:hAnsi="Times New Roman"/>
          <w:color w:val="000000" w:themeColor="text1"/>
          <w:sz w:val="24"/>
          <w:szCs w:val="24"/>
          <w:lang w:eastAsia="pt-BR"/>
        </w:rPr>
        <w:t>Lei nº 12.572</w:t>
      </w:r>
      <w:r w:rsidR="00FE6B08">
        <w:rPr>
          <w:rFonts w:ascii="Times New Roman" w:eastAsia="Times New Roman" w:hAnsi="Times New Roman"/>
          <w:color w:val="000000" w:themeColor="text1"/>
          <w:sz w:val="24"/>
          <w:szCs w:val="24"/>
          <w:lang w:eastAsia="pt-BR"/>
        </w:rPr>
        <w:t xml:space="preserve">/2011 - </w:t>
      </w:r>
      <w:r w:rsidR="00395F0D" w:rsidRPr="00596D1F">
        <w:rPr>
          <w:rFonts w:ascii="Times New Roman" w:eastAsia="Times New Roman" w:hAnsi="Times New Roman"/>
          <w:color w:val="000000" w:themeColor="text1"/>
          <w:sz w:val="24"/>
          <w:szCs w:val="24"/>
          <w:lang w:eastAsia="pt-BR"/>
        </w:rPr>
        <w:t>no Estado de Goiás</w:t>
      </w:r>
      <w:r w:rsidR="00DD6638" w:rsidRPr="00596D1F">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w:t>
      </w:r>
    </w:p>
    <w:p w14:paraId="6B3CAE42" w14:textId="3E1C4585" w:rsidR="00CD404A" w:rsidRPr="00596D1F" w:rsidRDefault="00DD6638"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Desta</w:t>
      </w:r>
      <w:r w:rsidR="00044513">
        <w:rPr>
          <w:rFonts w:ascii="Times New Roman" w:eastAsia="Times New Roman" w:hAnsi="Times New Roman"/>
          <w:color w:val="000000" w:themeColor="text1"/>
          <w:sz w:val="24"/>
          <w:szCs w:val="24"/>
          <w:lang w:eastAsia="pt-BR"/>
        </w:rPr>
        <w:t>que</w:t>
      </w:r>
      <w:r w:rsidRPr="00596D1F">
        <w:rPr>
          <w:rFonts w:ascii="Times New Roman" w:eastAsia="Times New Roman" w:hAnsi="Times New Roman"/>
          <w:color w:val="000000" w:themeColor="text1"/>
          <w:sz w:val="24"/>
          <w:szCs w:val="24"/>
          <w:lang w:eastAsia="pt-BR"/>
        </w:rPr>
        <w:t>-se que</w:t>
      </w:r>
      <w:r w:rsidR="00044513">
        <w:rPr>
          <w:rFonts w:ascii="Times New Roman" w:eastAsia="Times New Roman" w:hAnsi="Times New Roman"/>
          <w:color w:val="000000" w:themeColor="text1"/>
          <w:sz w:val="24"/>
          <w:szCs w:val="24"/>
          <w:lang w:eastAsia="pt-BR"/>
        </w:rPr>
        <w:t>, o</w:t>
      </w:r>
      <w:r w:rsidR="004C30A2" w:rsidRPr="00596D1F">
        <w:rPr>
          <w:rFonts w:ascii="Times New Roman" w:eastAsia="Times New Roman" w:hAnsi="Times New Roman"/>
          <w:color w:val="000000" w:themeColor="text1"/>
          <w:sz w:val="24"/>
          <w:szCs w:val="24"/>
          <w:lang w:eastAsia="pt-BR"/>
        </w:rPr>
        <w:t xml:space="preserve"> estudo não visa investigar o </w:t>
      </w:r>
      <w:r w:rsidR="00044513" w:rsidRPr="00596D1F">
        <w:rPr>
          <w:rFonts w:ascii="Times New Roman" w:eastAsia="Times New Roman" w:hAnsi="Times New Roman"/>
          <w:color w:val="000000" w:themeColor="text1"/>
          <w:sz w:val="24"/>
          <w:szCs w:val="24"/>
          <w:lang w:eastAsia="pt-BR"/>
        </w:rPr>
        <w:t>indivíduo</w:t>
      </w:r>
      <w:r w:rsidR="004C30A2" w:rsidRPr="00596D1F">
        <w:rPr>
          <w:rFonts w:ascii="Times New Roman" w:eastAsia="Times New Roman" w:hAnsi="Times New Roman"/>
          <w:color w:val="000000" w:themeColor="text1"/>
          <w:sz w:val="24"/>
          <w:szCs w:val="24"/>
          <w:lang w:eastAsia="pt-BR"/>
        </w:rPr>
        <w:t xml:space="preserve"> se comportando naturalmente, mas o produto da sua ação no ambiente</w:t>
      </w:r>
      <w:r w:rsidR="00044513">
        <w:rPr>
          <w:rFonts w:ascii="Times New Roman" w:eastAsia="Times New Roman" w:hAnsi="Times New Roman"/>
          <w:color w:val="000000" w:themeColor="text1"/>
          <w:sz w:val="24"/>
          <w:szCs w:val="24"/>
          <w:lang w:eastAsia="pt-BR"/>
        </w:rPr>
        <w:t>:</w:t>
      </w:r>
      <w:r w:rsidR="004C30A2" w:rsidRPr="00596D1F">
        <w:rPr>
          <w:rFonts w:ascii="Times New Roman" w:eastAsia="Times New Roman" w:hAnsi="Times New Roman"/>
          <w:color w:val="000000" w:themeColor="text1"/>
          <w:sz w:val="24"/>
          <w:szCs w:val="24"/>
          <w:lang w:eastAsia="pt-BR"/>
        </w:rPr>
        <w:t xml:space="preserve"> o resultado das punições impostas aos jurisdicionados. </w:t>
      </w:r>
      <w:r w:rsidR="00044513" w:rsidRPr="00596D1F">
        <w:rPr>
          <w:rFonts w:ascii="Times New Roman" w:eastAsia="Times New Roman" w:hAnsi="Times New Roman"/>
          <w:color w:val="000000" w:themeColor="text1"/>
          <w:sz w:val="24"/>
          <w:szCs w:val="24"/>
          <w:lang w:eastAsia="pt-BR"/>
        </w:rPr>
        <w:t>Realc</w:t>
      </w:r>
      <w:r w:rsidR="00044513">
        <w:rPr>
          <w:rFonts w:ascii="Times New Roman" w:eastAsia="Times New Roman" w:hAnsi="Times New Roman"/>
          <w:color w:val="000000" w:themeColor="text1"/>
          <w:sz w:val="24"/>
          <w:szCs w:val="24"/>
          <w:lang w:eastAsia="pt-BR"/>
        </w:rPr>
        <w:t>e</w:t>
      </w:r>
      <w:r w:rsidR="00044513" w:rsidRPr="00596D1F">
        <w:rPr>
          <w:rFonts w:ascii="Times New Roman" w:eastAsia="Times New Roman" w:hAnsi="Times New Roman"/>
          <w:color w:val="000000" w:themeColor="text1"/>
          <w:sz w:val="24"/>
          <w:szCs w:val="24"/>
          <w:lang w:eastAsia="pt-BR"/>
        </w:rPr>
        <w:t>-se</w:t>
      </w:r>
      <w:r w:rsidR="00CD404A" w:rsidRPr="00596D1F">
        <w:rPr>
          <w:rFonts w:ascii="Times New Roman" w:eastAsia="Times New Roman" w:hAnsi="Times New Roman"/>
          <w:color w:val="000000" w:themeColor="text1"/>
          <w:sz w:val="24"/>
          <w:szCs w:val="24"/>
          <w:lang w:eastAsia="pt-BR"/>
        </w:rPr>
        <w:t>, outrossim,</w:t>
      </w:r>
      <w:r w:rsidR="004C30A2" w:rsidRPr="00596D1F">
        <w:rPr>
          <w:rFonts w:ascii="Times New Roman" w:eastAsia="Times New Roman" w:hAnsi="Times New Roman"/>
          <w:color w:val="000000" w:themeColor="text1"/>
          <w:sz w:val="24"/>
          <w:szCs w:val="24"/>
          <w:lang w:eastAsia="pt-BR"/>
        </w:rPr>
        <w:t xml:space="preserve"> que a abordagem teórica adotada neste estudo, busca compreender o comportamento enquanto produto da interação do organismo (no caso </w:t>
      </w:r>
      <w:r w:rsidR="005C51C3" w:rsidRPr="00596D1F">
        <w:rPr>
          <w:rFonts w:ascii="Times New Roman" w:eastAsia="Times New Roman" w:hAnsi="Times New Roman"/>
          <w:color w:val="000000" w:themeColor="text1"/>
          <w:sz w:val="24"/>
          <w:szCs w:val="24"/>
          <w:lang w:eastAsia="pt-BR"/>
        </w:rPr>
        <w:t xml:space="preserve">os agentes </w:t>
      </w:r>
      <w:r w:rsidR="00CD404A" w:rsidRPr="00596D1F">
        <w:rPr>
          <w:rFonts w:ascii="Times New Roman" w:eastAsia="Times New Roman" w:hAnsi="Times New Roman"/>
          <w:color w:val="000000" w:themeColor="text1"/>
          <w:sz w:val="24"/>
          <w:szCs w:val="24"/>
          <w:lang w:eastAsia="pt-BR"/>
        </w:rPr>
        <w:t>públicos</w:t>
      </w:r>
      <w:r w:rsidR="004C30A2" w:rsidRPr="00596D1F">
        <w:rPr>
          <w:rFonts w:ascii="Times New Roman" w:eastAsia="Times New Roman" w:hAnsi="Times New Roman"/>
          <w:color w:val="000000" w:themeColor="text1"/>
          <w:sz w:val="24"/>
          <w:szCs w:val="24"/>
          <w:lang w:eastAsia="pt-BR"/>
        </w:rPr>
        <w:t>) com o seu meio, logo, não se estuda o comportamento interno dos indivíduos, mas o resultado dele (</w:t>
      </w:r>
      <w:r w:rsidR="00A3535A" w:rsidRPr="00596D1F">
        <w:rPr>
          <w:rFonts w:ascii="Times New Roman" w:eastAsia="Times New Roman" w:hAnsi="Times New Roman"/>
          <w:color w:val="000000" w:themeColor="text1"/>
          <w:sz w:val="24"/>
          <w:szCs w:val="24"/>
          <w:lang w:eastAsia="pt-BR"/>
        </w:rPr>
        <w:t>SKINNER, 1953/2006; BAUM</w:t>
      </w:r>
      <w:r w:rsidR="004C30A2" w:rsidRPr="00596D1F">
        <w:rPr>
          <w:rFonts w:ascii="Times New Roman" w:eastAsia="Times New Roman" w:hAnsi="Times New Roman"/>
          <w:color w:val="000000" w:themeColor="text1"/>
          <w:sz w:val="24"/>
          <w:szCs w:val="24"/>
          <w:lang w:eastAsia="pt-BR"/>
        </w:rPr>
        <w:t>, 2006).</w:t>
      </w:r>
    </w:p>
    <w:p w14:paraId="59B7A437" w14:textId="6C3FB199" w:rsidR="008E0824" w:rsidRPr="00596D1F" w:rsidRDefault="005C51C3" w:rsidP="000B6B45">
      <w:pPr>
        <w:spacing w:after="0" w:line="240" w:lineRule="auto"/>
        <w:ind w:firstLine="708"/>
        <w:jc w:val="both"/>
        <w:rPr>
          <w:rFonts w:ascii="Times New Roman" w:hAnsi="Times New Roman"/>
          <w:color w:val="000000" w:themeColor="text1"/>
          <w:sz w:val="24"/>
          <w:szCs w:val="24"/>
        </w:rPr>
      </w:pPr>
      <w:r w:rsidRPr="00596D1F">
        <w:rPr>
          <w:rFonts w:ascii="Times New Roman" w:eastAsia="Times New Roman" w:hAnsi="Times New Roman"/>
          <w:color w:val="000000" w:themeColor="text1"/>
          <w:sz w:val="24"/>
          <w:szCs w:val="24"/>
          <w:lang w:eastAsia="pt-BR"/>
        </w:rPr>
        <w:t>Segundo</w:t>
      </w:r>
      <w:r w:rsidR="008E0824" w:rsidRPr="00596D1F">
        <w:rPr>
          <w:rFonts w:ascii="Times New Roman" w:hAnsi="Times New Roman"/>
          <w:color w:val="000000" w:themeColor="text1"/>
          <w:sz w:val="24"/>
          <w:szCs w:val="24"/>
        </w:rPr>
        <w:t xml:space="preserve"> a filosofia behaviorista de Skinner (1953/20</w:t>
      </w:r>
      <w:r w:rsidR="004537B3">
        <w:rPr>
          <w:rFonts w:ascii="Times New Roman" w:hAnsi="Times New Roman"/>
          <w:color w:val="000000" w:themeColor="text1"/>
          <w:sz w:val="24"/>
          <w:szCs w:val="24"/>
        </w:rPr>
        <w:t>0</w:t>
      </w:r>
      <w:r w:rsidR="008E0824" w:rsidRPr="00596D1F">
        <w:rPr>
          <w:rFonts w:ascii="Times New Roman" w:hAnsi="Times New Roman"/>
          <w:color w:val="000000" w:themeColor="text1"/>
          <w:sz w:val="24"/>
          <w:szCs w:val="24"/>
        </w:rPr>
        <w:t>6)</w:t>
      </w:r>
      <w:r w:rsidRPr="00596D1F">
        <w:rPr>
          <w:rFonts w:ascii="Times New Roman" w:hAnsi="Times New Roman"/>
          <w:color w:val="000000" w:themeColor="text1"/>
          <w:sz w:val="24"/>
          <w:szCs w:val="24"/>
        </w:rPr>
        <w:t xml:space="preserve"> e seguidores</w:t>
      </w:r>
      <w:r w:rsidR="008E0824" w:rsidRPr="00596D1F">
        <w:rPr>
          <w:rFonts w:ascii="Times New Roman" w:hAnsi="Times New Roman"/>
          <w:color w:val="000000" w:themeColor="text1"/>
          <w:sz w:val="24"/>
          <w:szCs w:val="24"/>
        </w:rPr>
        <w:t>, os maiores problemas enfrentados por uma nação, só poderia</w:t>
      </w:r>
      <w:r w:rsidR="003C190B" w:rsidRPr="00596D1F">
        <w:rPr>
          <w:rFonts w:ascii="Times New Roman" w:hAnsi="Times New Roman"/>
          <w:color w:val="000000" w:themeColor="text1"/>
          <w:sz w:val="24"/>
          <w:szCs w:val="24"/>
        </w:rPr>
        <w:t>m</w:t>
      </w:r>
      <w:r w:rsidR="008E0824" w:rsidRPr="00596D1F">
        <w:rPr>
          <w:rFonts w:ascii="Times New Roman" w:hAnsi="Times New Roman"/>
          <w:color w:val="000000" w:themeColor="text1"/>
          <w:sz w:val="24"/>
          <w:szCs w:val="24"/>
        </w:rPr>
        <w:t xml:space="preserve"> ser resolvidos </w:t>
      </w:r>
      <w:r w:rsidR="003C190B" w:rsidRPr="00596D1F">
        <w:rPr>
          <w:rFonts w:ascii="Times New Roman" w:hAnsi="Times New Roman"/>
          <w:color w:val="000000" w:themeColor="text1"/>
          <w:sz w:val="24"/>
          <w:szCs w:val="24"/>
        </w:rPr>
        <w:t>à</w:t>
      </w:r>
      <w:r w:rsidR="008E0824" w:rsidRPr="00596D1F">
        <w:rPr>
          <w:rFonts w:ascii="Times New Roman" w:hAnsi="Times New Roman"/>
          <w:color w:val="000000" w:themeColor="text1"/>
          <w:sz w:val="24"/>
          <w:szCs w:val="24"/>
        </w:rPr>
        <w:t xml:space="preserve"> medida que se compreendesse melhor o comportamento humano. Neste sentido, a abordagem analítico-comportamental coloca</w:t>
      </w:r>
      <w:r w:rsidR="00044513">
        <w:rPr>
          <w:rFonts w:ascii="Times New Roman" w:hAnsi="Times New Roman"/>
          <w:color w:val="000000" w:themeColor="text1"/>
          <w:sz w:val="24"/>
          <w:szCs w:val="24"/>
        </w:rPr>
        <w:t>-se</w:t>
      </w:r>
      <w:r w:rsidR="008E0824" w:rsidRPr="00596D1F">
        <w:rPr>
          <w:rFonts w:ascii="Times New Roman" w:hAnsi="Times New Roman"/>
          <w:color w:val="000000" w:themeColor="text1"/>
          <w:sz w:val="24"/>
          <w:szCs w:val="24"/>
        </w:rPr>
        <w:t xml:space="preserve"> como instrumento para estudar os arranjos das contingências, como se objetiva nesta pesquisa com dados secundários organizados pelo TCM-GO de processos de prestação de contas dos administradores de recursos públicos com condenações.  </w:t>
      </w:r>
    </w:p>
    <w:p w14:paraId="4401C412" w14:textId="77777777" w:rsidR="001B0624" w:rsidRPr="00596D1F" w:rsidRDefault="001B0624" w:rsidP="000B6B45">
      <w:pPr>
        <w:autoSpaceDE w:val="0"/>
        <w:autoSpaceDN w:val="0"/>
        <w:adjustRightInd w:val="0"/>
        <w:spacing w:after="0" w:line="240" w:lineRule="auto"/>
        <w:ind w:firstLine="576"/>
        <w:jc w:val="both"/>
        <w:rPr>
          <w:rFonts w:ascii="Times New Roman" w:hAnsi="Times New Roman"/>
          <w:color w:val="000000" w:themeColor="text1"/>
          <w:sz w:val="24"/>
          <w:szCs w:val="24"/>
        </w:rPr>
      </w:pPr>
    </w:p>
    <w:p w14:paraId="78C7B7D0" w14:textId="77777777" w:rsidR="00420107" w:rsidRPr="00596D1F" w:rsidRDefault="00154F68" w:rsidP="005A2B69">
      <w:pPr>
        <w:pStyle w:val="Ttulo1"/>
        <w:spacing w:after="120"/>
        <w:ind w:left="431" w:hanging="431"/>
        <w:rPr>
          <w:color w:val="000000" w:themeColor="text1"/>
        </w:rPr>
      </w:pPr>
      <w:bookmarkStart w:id="0" w:name="art75p"/>
      <w:bookmarkEnd w:id="0"/>
      <w:r w:rsidRPr="00596D1F">
        <w:rPr>
          <w:color w:val="000000" w:themeColor="text1"/>
        </w:rPr>
        <w:t>Plataforma teórica e hipótese de pesquisa</w:t>
      </w:r>
    </w:p>
    <w:p w14:paraId="20E3AD5C" w14:textId="05DD61E8" w:rsidR="00511B57" w:rsidRPr="00596D1F" w:rsidRDefault="00511B57" w:rsidP="000B6B45">
      <w:pPr>
        <w:spacing w:after="0" w:line="240" w:lineRule="auto"/>
        <w:ind w:firstLine="708"/>
        <w:jc w:val="both"/>
        <w:rPr>
          <w:rStyle w:val="fontstyle01"/>
          <w:rFonts w:ascii="Times New Roman" w:hAnsi="Times New Roman"/>
          <w:color w:val="000000" w:themeColor="text1"/>
        </w:rPr>
      </w:pPr>
      <w:r w:rsidRPr="00596D1F">
        <w:rPr>
          <w:rStyle w:val="fontstyle01"/>
          <w:rFonts w:ascii="Times New Roman" w:hAnsi="Times New Roman"/>
          <w:color w:val="000000" w:themeColor="text1"/>
        </w:rPr>
        <w:t xml:space="preserve">Para Skinner (1953/2006), as contingências podem ser descritas como a probabilidade de um evento ser afetada ou causada por outros eventos, descrita na seguinte relação: em um dado contexto ou ambiente (estímulos discriminativos que antecedem um dado comportamento), se (determinado comportamento ocorrer), então (determinadas consequências </w:t>
      </w:r>
      <w:r w:rsidRPr="00596D1F">
        <w:rPr>
          <w:rStyle w:val="fontstyle01"/>
          <w:rFonts w:ascii="Times New Roman" w:hAnsi="Times New Roman"/>
          <w:color w:val="000000" w:themeColor="text1"/>
        </w:rPr>
        <w:lastRenderedPageBreak/>
        <w:t>serão apresentadas, com uma dada probabilidade) (</w:t>
      </w:r>
      <w:r w:rsidR="00A3535A" w:rsidRPr="00596D1F">
        <w:rPr>
          <w:rStyle w:val="fontstyle01"/>
          <w:rFonts w:ascii="Times New Roman" w:hAnsi="Times New Roman"/>
          <w:color w:val="000000" w:themeColor="text1"/>
        </w:rPr>
        <w:t>SKINNER, 1953/2006; MOREIRA</w:t>
      </w:r>
      <w:r w:rsidR="00A3535A">
        <w:rPr>
          <w:rStyle w:val="fontstyle01"/>
          <w:rFonts w:ascii="Times New Roman" w:hAnsi="Times New Roman"/>
          <w:color w:val="000000" w:themeColor="text1"/>
        </w:rPr>
        <w:t>;</w:t>
      </w:r>
      <w:r w:rsidR="00A3535A" w:rsidRPr="00596D1F">
        <w:rPr>
          <w:rStyle w:val="fontstyle01"/>
          <w:rFonts w:ascii="Times New Roman" w:hAnsi="Times New Roman"/>
          <w:color w:val="000000" w:themeColor="text1"/>
        </w:rPr>
        <w:t xml:space="preserve"> MEDEIROS, 2007; BAUM,</w:t>
      </w:r>
      <w:r w:rsidR="00DD6638" w:rsidRPr="00596D1F">
        <w:rPr>
          <w:rStyle w:val="fontstyle01"/>
          <w:rFonts w:ascii="Times New Roman" w:hAnsi="Times New Roman"/>
          <w:color w:val="000000" w:themeColor="text1"/>
        </w:rPr>
        <w:t xml:space="preserve"> 2006</w:t>
      </w:r>
      <w:r w:rsidRPr="00596D1F">
        <w:rPr>
          <w:rStyle w:val="fontstyle01"/>
          <w:rFonts w:ascii="Times New Roman" w:hAnsi="Times New Roman"/>
          <w:color w:val="000000" w:themeColor="text1"/>
        </w:rPr>
        <w:t xml:space="preserve">). Quando um estímulo antecedente sinaliza reforço, </w:t>
      </w:r>
      <w:r w:rsidR="009E3C9C">
        <w:rPr>
          <w:rStyle w:val="fontstyle01"/>
          <w:rFonts w:ascii="Times New Roman" w:hAnsi="Times New Roman"/>
          <w:color w:val="000000" w:themeColor="text1"/>
        </w:rPr>
        <w:t>conceitua-o como</w:t>
      </w:r>
      <w:r w:rsidRPr="00596D1F">
        <w:rPr>
          <w:rStyle w:val="fontstyle01"/>
          <w:rFonts w:ascii="Times New Roman" w:hAnsi="Times New Roman"/>
          <w:color w:val="000000" w:themeColor="text1"/>
        </w:rPr>
        <w:t xml:space="preserve"> estímulo discriminativo.</w:t>
      </w:r>
    </w:p>
    <w:p w14:paraId="597E7391" w14:textId="212A11F6" w:rsidR="00511B57" w:rsidRPr="00596D1F" w:rsidRDefault="00511B57" w:rsidP="000B6B45">
      <w:pPr>
        <w:spacing w:after="0" w:line="240" w:lineRule="auto"/>
        <w:ind w:firstLine="708"/>
        <w:jc w:val="both"/>
        <w:rPr>
          <w:rFonts w:ascii="Times New Roman" w:hAnsi="Times New Roman"/>
          <w:color w:val="000000" w:themeColor="text1"/>
          <w:sz w:val="24"/>
          <w:szCs w:val="24"/>
        </w:rPr>
      </w:pPr>
      <w:r w:rsidRPr="00596D1F">
        <w:rPr>
          <w:rStyle w:val="fontstyle01"/>
          <w:rFonts w:ascii="Times New Roman" w:hAnsi="Times New Roman"/>
          <w:color w:val="000000" w:themeColor="text1"/>
        </w:rPr>
        <w:t>Um tipo de estímulo discriminativo particularmente relevante são as regras (</w:t>
      </w:r>
      <w:r w:rsidR="00A3535A" w:rsidRPr="00596D1F">
        <w:rPr>
          <w:rStyle w:val="fontstyle01"/>
          <w:rFonts w:ascii="Times New Roman" w:hAnsi="Times New Roman"/>
          <w:color w:val="000000" w:themeColor="text1"/>
        </w:rPr>
        <w:t>BAUM, 2006;</w:t>
      </w:r>
      <w:r w:rsidR="007B44E3">
        <w:rPr>
          <w:rStyle w:val="fontstyle01"/>
          <w:rFonts w:ascii="Times New Roman" w:hAnsi="Times New Roman"/>
          <w:color w:val="000000" w:themeColor="text1"/>
        </w:rPr>
        <w:t xml:space="preserve"> </w:t>
      </w:r>
      <w:r w:rsidR="007B44E3" w:rsidRPr="00596D1F">
        <w:rPr>
          <w:rStyle w:val="fontstyle01"/>
          <w:rFonts w:ascii="Times New Roman" w:hAnsi="Times New Roman"/>
          <w:color w:val="000000" w:themeColor="text1"/>
        </w:rPr>
        <w:t>FLORES, 2004</w:t>
      </w:r>
      <w:r w:rsidR="007B44E3">
        <w:rPr>
          <w:rStyle w:val="fontstyle01"/>
          <w:rFonts w:ascii="Times New Roman" w:hAnsi="Times New Roman"/>
          <w:color w:val="000000" w:themeColor="text1"/>
        </w:rPr>
        <w:t>;</w:t>
      </w:r>
      <w:r w:rsidR="007B44E3" w:rsidRPr="00596D1F">
        <w:rPr>
          <w:rStyle w:val="fontstyle01"/>
          <w:rFonts w:ascii="Times New Roman" w:hAnsi="Times New Roman"/>
          <w:color w:val="000000" w:themeColor="text1"/>
        </w:rPr>
        <w:t xml:space="preserve"> MATOS, 2001; </w:t>
      </w:r>
      <w:r w:rsidR="00A3535A" w:rsidRPr="00596D1F">
        <w:rPr>
          <w:rStyle w:val="fontstyle01"/>
          <w:rFonts w:ascii="Times New Roman" w:hAnsi="Times New Roman"/>
          <w:color w:val="000000" w:themeColor="text1"/>
        </w:rPr>
        <w:t>GLENN, 198</w:t>
      </w:r>
      <w:r w:rsidR="007B44E3">
        <w:rPr>
          <w:rStyle w:val="fontstyle01"/>
          <w:rFonts w:ascii="Times New Roman" w:hAnsi="Times New Roman"/>
          <w:color w:val="000000" w:themeColor="text1"/>
        </w:rPr>
        <w:t>8</w:t>
      </w:r>
      <w:r w:rsidR="00A3535A" w:rsidRPr="00596D1F">
        <w:rPr>
          <w:rStyle w:val="fontstyle01"/>
          <w:rFonts w:ascii="Times New Roman" w:hAnsi="Times New Roman"/>
          <w:color w:val="000000" w:themeColor="text1"/>
        </w:rPr>
        <w:t xml:space="preserve">; </w:t>
      </w:r>
      <w:r w:rsidR="007B44E3" w:rsidRPr="00596D1F">
        <w:rPr>
          <w:rStyle w:val="fontstyle01"/>
          <w:rFonts w:ascii="Times New Roman" w:hAnsi="Times New Roman"/>
          <w:color w:val="000000" w:themeColor="text1"/>
        </w:rPr>
        <w:t>GLENN,</w:t>
      </w:r>
      <w:r w:rsidR="00A3535A" w:rsidRPr="00596D1F">
        <w:rPr>
          <w:rStyle w:val="fontstyle01"/>
          <w:rFonts w:ascii="Times New Roman" w:hAnsi="Times New Roman"/>
          <w:color w:val="000000" w:themeColor="text1"/>
        </w:rPr>
        <w:t>198</w:t>
      </w:r>
      <w:r w:rsidR="007B44E3">
        <w:rPr>
          <w:rStyle w:val="fontstyle01"/>
          <w:rFonts w:ascii="Times New Roman" w:hAnsi="Times New Roman"/>
          <w:color w:val="000000" w:themeColor="text1"/>
        </w:rPr>
        <w:t>7</w:t>
      </w:r>
      <w:r w:rsidRPr="00596D1F">
        <w:rPr>
          <w:rStyle w:val="fontstyle01"/>
          <w:rFonts w:ascii="Times New Roman" w:hAnsi="Times New Roman"/>
          <w:color w:val="000000" w:themeColor="text1"/>
        </w:rPr>
        <w:t xml:space="preserve">), que são comportamentos verbais que descrevem relações de contingências. </w:t>
      </w:r>
      <w:r w:rsidRPr="00596D1F">
        <w:rPr>
          <w:rFonts w:ascii="Times New Roman" w:hAnsi="Times New Roman"/>
          <w:color w:val="000000" w:themeColor="text1"/>
          <w:sz w:val="24"/>
          <w:szCs w:val="24"/>
        </w:rPr>
        <w:t>Desta</w:t>
      </w:r>
      <w:r w:rsidR="009E3C9C">
        <w:rPr>
          <w:rFonts w:ascii="Times New Roman" w:hAnsi="Times New Roman"/>
          <w:color w:val="000000" w:themeColor="text1"/>
          <w:sz w:val="24"/>
          <w:szCs w:val="24"/>
        </w:rPr>
        <w:t>que</w:t>
      </w:r>
      <w:r w:rsidRPr="00596D1F">
        <w:rPr>
          <w:rFonts w:ascii="Times New Roman" w:hAnsi="Times New Roman"/>
          <w:color w:val="000000" w:themeColor="text1"/>
          <w:sz w:val="24"/>
          <w:szCs w:val="24"/>
        </w:rPr>
        <w:t xml:space="preserve">-se que a legislação formal de governos especifica contingências de reforço </w:t>
      </w:r>
      <w:r w:rsidR="0016162B">
        <w:rPr>
          <w:rFonts w:ascii="Times New Roman" w:hAnsi="Times New Roman"/>
          <w:color w:val="000000" w:themeColor="text1"/>
          <w:sz w:val="24"/>
          <w:szCs w:val="24"/>
        </w:rPr>
        <w:t>ao descrever</w:t>
      </w:r>
      <w:r w:rsidRPr="00596D1F">
        <w:rPr>
          <w:rFonts w:ascii="Times New Roman" w:hAnsi="Times New Roman"/>
          <w:color w:val="000000" w:themeColor="text1"/>
          <w:sz w:val="24"/>
          <w:szCs w:val="24"/>
        </w:rPr>
        <w:t xml:space="preserve"> ocasiões nas quais o comportamento ocorre, o comportamento em si e as consequências reforçadoras. </w:t>
      </w:r>
    </w:p>
    <w:p w14:paraId="63247703" w14:textId="77777777" w:rsidR="00511B57" w:rsidRPr="00596D1F" w:rsidRDefault="00511B57" w:rsidP="000B6B45">
      <w:pPr>
        <w:spacing w:after="0" w:line="240" w:lineRule="auto"/>
        <w:ind w:firstLine="708"/>
        <w:jc w:val="both"/>
        <w:rPr>
          <w:rFonts w:ascii="Times New Roman" w:hAnsi="Times New Roman"/>
          <w:color w:val="000000" w:themeColor="text1"/>
          <w:sz w:val="24"/>
        </w:rPr>
      </w:pPr>
      <w:r w:rsidRPr="00596D1F">
        <w:rPr>
          <w:rFonts w:ascii="Times New Roman" w:hAnsi="Times New Roman"/>
          <w:color w:val="000000" w:themeColor="text1"/>
          <w:sz w:val="24"/>
        </w:rPr>
        <w:t>Segundo Catania (1999, p. 275) “A função mais ampla da linguagem é a instrução” e o controle a partir dela envolve ordens dadas, conselhos oferecidos, leis colocadas em vigor e assim por diante. Salienta, ainda, que devido às vantagens práticas da instrução, “a comunidade verbal modela o comportamento de seguir as instruções por meio de uma ampla gama de atividades, ao longo de parte substancial de nossas vidas” (p. 276).</w:t>
      </w:r>
    </w:p>
    <w:p w14:paraId="08F6992B" w14:textId="5EEB9CE7" w:rsidR="00511B57" w:rsidRPr="00596D1F" w:rsidRDefault="00511B57"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Style w:val="fontstyle01"/>
          <w:rFonts w:ascii="Times New Roman" w:hAnsi="Times New Roman"/>
          <w:color w:val="000000" w:themeColor="text1"/>
        </w:rPr>
        <w:t xml:space="preserve">Como a regra descreve uma contingência (contexto - comportamento - consequência), quando o indivíduo entra em contato com as consequências nela previstas, </w:t>
      </w:r>
      <w:r w:rsidR="0016162B">
        <w:rPr>
          <w:rStyle w:val="fontstyle01"/>
          <w:rFonts w:ascii="Times New Roman" w:hAnsi="Times New Roman"/>
          <w:color w:val="000000" w:themeColor="text1"/>
        </w:rPr>
        <w:t>tal fato</w:t>
      </w:r>
      <w:r w:rsidRPr="00596D1F">
        <w:rPr>
          <w:rStyle w:val="fontstyle01"/>
          <w:rFonts w:ascii="Times New Roman" w:hAnsi="Times New Roman"/>
          <w:color w:val="000000" w:themeColor="text1"/>
        </w:rPr>
        <w:t xml:space="preserve"> </w:t>
      </w:r>
      <w:r w:rsidR="00FA450E" w:rsidRPr="00596D1F">
        <w:rPr>
          <w:rStyle w:val="fontstyle01"/>
          <w:rFonts w:ascii="Times New Roman" w:hAnsi="Times New Roman"/>
          <w:color w:val="000000" w:themeColor="text1"/>
        </w:rPr>
        <w:t xml:space="preserve">fortalece a relação de </w:t>
      </w:r>
      <w:r w:rsidR="00A3535A" w:rsidRPr="00596D1F">
        <w:rPr>
          <w:rStyle w:val="fontstyle01"/>
          <w:rFonts w:ascii="Times New Roman" w:hAnsi="Times New Roman"/>
          <w:color w:val="000000" w:themeColor="text1"/>
        </w:rPr>
        <w:t>segu</w:t>
      </w:r>
      <w:r w:rsidR="00A3535A">
        <w:rPr>
          <w:rStyle w:val="fontstyle01"/>
          <w:rFonts w:ascii="Times New Roman" w:hAnsi="Times New Roman"/>
          <w:color w:val="000000" w:themeColor="text1"/>
        </w:rPr>
        <w:t>i</w:t>
      </w:r>
      <w:r w:rsidR="00A3535A" w:rsidRPr="00596D1F">
        <w:rPr>
          <w:rStyle w:val="fontstyle01"/>
          <w:rFonts w:ascii="Times New Roman" w:hAnsi="Times New Roman"/>
          <w:color w:val="000000" w:themeColor="text1"/>
        </w:rPr>
        <w:t>-la</w:t>
      </w:r>
      <w:r w:rsidRPr="00596D1F">
        <w:rPr>
          <w:rStyle w:val="fontstyle01"/>
          <w:rFonts w:ascii="Times New Roman" w:hAnsi="Times New Roman"/>
          <w:color w:val="000000" w:themeColor="text1"/>
        </w:rPr>
        <w:t xml:space="preserve"> (</w:t>
      </w:r>
      <w:r w:rsidR="00A3535A" w:rsidRPr="00596D1F">
        <w:rPr>
          <w:rStyle w:val="fontstyle01"/>
          <w:rFonts w:ascii="Times New Roman" w:hAnsi="Times New Roman"/>
          <w:color w:val="000000" w:themeColor="text1"/>
        </w:rPr>
        <w:t xml:space="preserve">OLIVEIRA, </w:t>
      </w:r>
      <w:r w:rsidRPr="00596D1F">
        <w:rPr>
          <w:rStyle w:val="fontstyle01"/>
          <w:rFonts w:ascii="Times New Roman" w:hAnsi="Times New Roman"/>
          <w:color w:val="000000" w:themeColor="text1"/>
        </w:rPr>
        <w:t xml:space="preserve">2016). </w:t>
      </w:r>
      <w:r w:rsidR="007B1F6B" w:rsidRPr="00596D1F">
        <w:rPr>
          <w:rStyle w:val="fontstyle01"/>
          <w:rFonts w:ascii="Times New Roman" w:hAnsi="Times New Roman"/>
          <w:color w:val="000000" w:themeColor="text1"/>
        </w:rPr>
        <w:t>É possível deduzir</w:t>
      </w:r>
      <w:r w:rsidRPr="00596D1F">
        <w:rPr>
          <w:rStyle w:val="fontstyle01"/>
          <w:rFonts w:ascii="Times New Roman" w:hAnsi="Times New Roman"/>
          <w:color w:val="000000" w:themeColor="text1"/>
        </w:rPr>
        <w:t>, com apoio em Aguiar (2017), que as</w:t>
      </w:r>
      <w:r w:rsidRPr="00596D1F">
        <w:rPr>
          <w:rFonts w:ascii="Times New Roman" w:eastAsia="Times New Roman" w:hAnsi="Times New Roman"/>
          <w:color w:val="000000" w:themeColor="text1"/>
          <w:sz w:val="24"/>
          <w:szCs w:val="24"/>
          <w:lang w:eastAsia="pt-BR"/>
        </w:rPr>
        <w:t xml:space="preserve"> regras são padrões comportamentais verbais</w:t>
      </w:r>
      <w:r w:rsidR="009E3C9C">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cuja probabilidade de ocorrência depende da sua capacidade de alterar a frequência de ocorrência de determinado padrão comportamental no repertório de um dado indivíduo ou grupo. </w:t>
      </w:r>
    </w:p>
    <w:p w14:paraId="1533A6E9" w14:textId="0B3D0D08" w:rsidR="0016162B" w:rsidRDefault="00511B57" w:rsidP="00FA450E">
      <w:pPr>
        <w:spacing w:after="0" w:line="240" w:lineRule="auto"/>
        <w:ind w:firstLine="708"/>
        <w:jc w:val="both"/>
        <w:rPr>
          <w:rFonts w:ascii="Times New Roman" w:hAnsi="Times New Roman"/>
          <w:color w:val="000000" w:themeColor="text1"/>
          <w:sz w:val="24"/>
          <w:szCs w:val="24"/>
        </w:rPr>
      </w:pPr>
      <w:r w:rsidRPr="00596D1F">
        <w:rPr>
          <w:rFonts w:ascii="Times New Roman" w:eastAsia="Times New Roman" w:hAnsi="Times New Roman"/>
          <w:color w:val="000000" w:themeColor="text1"/>
          <w:sz w:val="24"/>
          <w:szCs w:val="24"/>
          <w:lang w:eastAsia="pt-BR"/>
        </w:rPr>
        <w:t>As regras contêm de modo explícito ou implícito, premissas factuais que vinculam causalmente a alteração do repertório comportamental dos respectivos destinatários à obtenção de estado de coisas presumidamente favorável ao bem estar social como um todo. (</w:t>
      </w:r>
      <w:r w:rsidR="00A3535A" w:rsidRPr="00596D1F">
        <w:rPr>
          <w:rFonts w:ascii="Times New Roman" w:eastAsia="Times New Roman" w:hAnsi="Times New Roman"/>
          <w:color w:val="000000" w:themeColor="text1"/>
          <w:sz w:val="24"/>
          <w:szCs w:val="24"/>
          <w:lang w:eastAsia="pt-BR"/>
        </w:rPr>
        <w:t>AGUIAR</w:t>
      </w:r>
      <w:r w:rsidR="00DD6638" w:rsidRPr="00596D1F">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2017). </w:t>
      </w:r>
      <w:r w:rsidR="00FA450E" w:rsidRPr="00596D1F">
        <w:rPr>
          <w:rFonts w:ascii="Times New Roman" w:hAnsi="Times New Roman"/>
          <w:color w:val="000000" w:themeColor="text1"/>
          <w:sz w:val="24"/>
          <w:szCs w:val="24"/>
        </w:rPr>
        <w:t>Elas</w:t>
      </w:r>
      <w:r w:rsidRPr="00596D1F">
        <w:rPr>
          <w:rFonts w:ascii="Times New Roman" w:hAnsi="Times New Roman"/>
          <w:color w:val="000000" w:themeColor="text1"/>
          <w:sz w:val="24"/>
          <w:szCs w:val="24"/>
        </w:rPr>
        <w:t xml:space="preserve"> têm vida própria, independentemente de falantes e ouvintes particulares, </w:t>
      </w:r>
      <w:r w:rsidR="00FA450E" w:rsidRPr="00596D1F">
        <w:rPr>
          <w:rFonts w:ascii="Times New Roman" w:hAnsi="Times New Roman"/>
          <w:color w:val="000000" w:themeColor="text1"/>
          <w:sz w:val="24"/>
          <w:szCs w:val="24"/>
        </w:rPr>
        <w:t>pois</w:t>
      </w:r>
      <w:r w:rsidRPr="00596D1F">
        <w:rPr>
          <w:rFonts w:ascii="Times New Roman" w:hAnsi="Times New Roman"/>
          <w:color w:val="000000" w:themeColor="text1"/>
          <w:sz w:val="24"/>
          <w:szCs w:val="24"/>
        </w:rPr>
        <w:t xml:space="preserve"> auxiliam os membros de um grupo a se comportarem de forma mais prováveis de ser</w:t>
      </w:r>
      <w:r w:rsidR="009E3C9C">
        <w:rPr>
          <w:rFonts w:ascii="Times New Roman" w:hAnsi="Times New Roman"/>
          <w:color w:val="000000" w:themeColor="text1"/>
          <w:sz w:val="24"/>
          <w:szCs w:val="24"/>
        </w:rPr>
        <w:t>em</w:t>
      </w:r>
      <w:r w:rsidRPr="00596D1F">
        <w:rPr>
          <w:rFonts w:ascii="Times New Roman" w:hAnsi="Times New Roman"/>
          <w:color w:val="000000" w:themeColor="text1"/>
          <w:sz w:val="24"/>
          <w:szCs w:val="24"/>
        </w:rPr>
        <w:t xml:space="preserve"> aceitos, ou ao menos não censurados, e ajudam o grupo a aceitar ou a censurar consistentemente. (</w:t>
      </w:r>
      <w:r w:rsidR="007B44E3" w:rsidRPr="00596D1F">
        <w:rPr>
          <w:rFonts w:ascii="Times New Roman" w:hAnsi="Times New Roman"/>
          <w:color w:val="000000" w:themeColor="text1"/>
          <w:sz w:val="24"/>
          <w:szCs w:val="24"/>
        </w:rPr>
        <w:t>SKINNER,</w:t>
      </w:r>
      <w:r w:rsidRPr="00596D1F">
        <w:rPr>
          <w:rFonts w:ascii="Times New Roman" w:hAnsi="Times New Roman"/>
          <w:color w:val="000000" w:themeColor="text1"/>
          <w:sz w:val="24"/>
          <w:szCs w:val="24"/>
        </w:rPr>
        <w:t xml:space="preserve"> 1995).</w:t>
      </w:r>
      <w:r w:rsidR="00FA450E" w:rsidRPr="00596D1F">
        <w:rPr>
          <w:rFonts w:ascii="Times New Roman" w:hAnsi="Times New Roman"/>
          <w:color w:val="000000" w:themeColor="text1"/>
          <w:sz w:val="24"/>
          <w:szCs w:val="24"/>
        </w:rPr>
        <w:t xml:space="preserve"> </w:t>
      </w:r>
    </w:p>
    <w:p w14:paraId="05951F99" w14:textId="75493999" w:rsidR="00511B57" w:rsidRPr="00596D1F" w:rsidRDefault="00FA450E" w:rsidP="00FA450E">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hAnsi="Times New Roman"/>
          <w:color w:val="000000" w:themeColor="text1"/>
          <w:sz w:val="24"/>
          <w:szCs w:val="24"/>
        </w:rPr>
        <w:t>Assim, depreende-se que possuem</w:t>
      </w:r>
      <w:r w:rsidR="00511B57" w:rsidRPr="00596D1F">
        <w:rPr>
          <w:rFonts w:ascii="Times New Roman" w:hAnsi="Times New Roman"/>
          <w:color w:val="000000" w:themeColor="text1"/>
          <w:sz w:val="24"/>
          <w:szCs w:val="24"/>
        </w:rPr>
        <w:t xml:space="preserve"> a função de aumentar ou diminuir a probabilidade de ocorrência de enunciação de regras</w:t>
      </w:r>
      <w:r w:rsidR="00511B57" w:rsidRPr="00596D1F">
        <w:rPr>
          <w:rFonts w:ascii="Times New Roman" w:eastAsia="Times New Roman" w:hAnsi="Times New Roman"/>
          <w:color w:val="000000" w:themeColor="text1"/>
          <w:sz w:val="24"/>
          <w:szCs w:val="24"/>
          <w:lang w:eastAsia="pt-BR"/>
        </w:rPr>
        <w:t xml:space="preserve"> </w:t>
      </w:r>
      <w:r w:rsidR="00511B57" w:rsidRPr="00596D1F">
        <w:rPr>
          <w:rFonts w:ascii="Times New Roman" w:hAnsi="Times New Roman"/>
          <w:color w:val="000000" w:themeColor="text1"/>
          <w:sz w:val="24"/>
          <w:szCs w:val="24"/>
        </w:rPr>
        <w:t>por parte dos indivíduos. Leis ou regras são compreendidas,</w:t>
      </w:r>
      <w:r w:rsidR="00511B57" w:rsidRPr="00596D1F">
        <w:rPr>
          <w:rFonts w:ascii="Times New Roman" w:eastAsia="Times New Roman" w:hAnsi="Times New Roman"/>
          <w:color w:val="000000" w:themeColor="text1"/>
          <w:sz w:val="24"/>
          <w:szCs w:val="24"/>
          <w:lang w:eastAsia="pt-BR"/>
        </w:rPr>
        <w:t xml:space="preserve"> do ponto de vista da teoria analítico-comportamental, um texto que visa documentar o fato de que uma decisão coletiva vinculante foi tomada, a qual tem por conteúdo estabelecer sob quais pressupostos determinada sanção deve ser aplicada a um indivíduo que praticou determinada conduta (</w:t>
      </w:r>
      <w:r w:rsidR="00A3535A" w:rsidRPr="00596D1F">
        <w:rPr>
          <w:rFonts w:ascii="Times New Roman" w:eastAsia="Times New Roman" w:hAnsi="Times New Roman"/>
          <w:color w:val="000000" w:themeColor="text1"/>
          <w:sz w:val="24"/>
          <w:szCs w:val="24"/>
          <w:lang w:eastAsia="pt-BR"/>
        </w:rPr>
        <w:t>AGUIAR, 2017</w:t>
      </w:r>
      <w:r w:rsidR="00511B57" w:rsidRPr="00596D1F">
        <w:rPr>
          <w:rFonts w:ascii="Times New Roman" w:eastAsia="Times New Roman" w:hAnsi="Times New Roman"/>
          <w:color w:val="000000" w:themeColor="text1"/>
          <w:sz w:val="24"/>
          <w:szCs w:val="24"/>
          <w:lang w:eastAsia="pt-BR"/>
        </w:rPr>
        <w:t>).</w:t>
      </w:r>
    </w:p>
    <w:p w14:paraId="44E9E1F6" w14:textId="4029A5C0" w:rsidR="00511B57" w:rsidRPr="00596D1F" w:rsidRDefault="00511B57"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Para Skinner (2003, p.363), “O grupo exerce um controle ético sobre cada um dos seus membros através, principalmente, de seu poder de reforçar ou punir”. Dentro do grupo, </w:t>
      </w:r>
      <w:r w:rsidR="0035517D" w:rsidRPr="00596D1F">
        <w:rPr>
          <w:rFonts w:ascii="Times New Roman" w:hAnsi="Times New Roman"/>
          <w:color w:val="000000" w:themeColor="text1"/>
          <w:sz w:val="24"/>
          <w:szCs w:val="24"/>
        </w:rPr>
        <w:t>certos organismos</w:t>
      </w:r>
      <w:r w:rsidRPr="00596D1F">
        <w:rPr>
          <w:rFonts w:ascii="Times New Roman" w:hAnsi="Times New Roman"/>
          <w:color w:val="000000" w:themeColor="text1"/>
          <w:sz w:val="24"/>
          <w:szCs w:val="24"/>
        </w:rPr>
        <w:t xml:space="preserve"> (por exemplo: governo, agências fiscalizadoras) controladores manipulam conjuntos particulares de variáveis</w:t>
      </w:r>
      <w:r w:rsidR="0035517D">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e</w:t>
      </w:r>
      <w:r w:rsidR="0035517D">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por ser mais organizados do que o grupo como um todo, frequentemente operam com maior sucesso. “Talvez o mais óbvio tipo de agência empenhada no controle do comportamento humano seja mesmo o governo e congêneres, que, geralmente usa o poder para punir.” </w:t>
      </w:r>
      <w:r w:rsidR="00DD6638" w:rsidRPr="00596D1F">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SKINNER, </w:t>
      </w:r>
      <w:r w:rsidRPr="00596D1F">
        <w:rPr>
          <w:rFonts w:ascii="Times New Roman" w:hAnsi="Times New Roman"/>
          <w:color w:val="000000" w:themeColor="text1"/>
          <w:sz w:val="24"/>
          <w:szCs w:val="24"/>
        </w:rPr>
        <w:t xml:space="preserve">2003, p. 365). O autor afirma que, como efeito líquido do controle governamental, o comportamento ilegal gera estímulos aversivos que fazem o indivíduo sentir-se culpado e que provém o reforço positivo automático de comportar-se legalmente. </w:t>
      </w:r>
    </w:p>
    <w:p w14:paraId="5B8E68BE" w14:textId="528533C9" w:rsidR="00511B57" w:rsidRPr="00596D1F" w:rsidRDefault="00511B57"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Esse entendimento é </w:t>
      </w:r>
      <w:r w:rsidR="00FA450E" w:rsidRPr="00596D1F">
        <w:rPr>
          <w:rFonts w:ascii="Times New Roman" w:hAnsi="Times New Roman"/>
          <w:color w:val="000000" w:themeColor="text1"/>
          <w:sz w:val="24"/>
          <w:szCs w:val="24"/>
        </w:rPr>
        <w:t>destacado</w:t>
      </w:r>
      <w:r w:rsidRPr="00596D1F">
        <w:rPr>
          <w:rFonts w:ascii="Times New Roman" w:hAnsi="Times New Roman"/>
          <w:color w:val="000000" w:themeColor="text1"/>
          <w:sz w:val="24"/>
          <w:szCs w:val="24"/>
        </w:rPr>
        <w:t xml:space="preserve"> por </w:t>
      </w:r>
      <w:proofErr w:type="spellStart"/>
      <w:r w:rsidRPr="00596D1F">
        <w:rPr>
          <w:rFonts w:ascii="Times New Roman" w:hAnsi="Times New Roman"/>
          <w:color w:val="000000" w:themeColor="text1"/>
          <w:sz w:val="24"/>
          <w:szCs w:val="24"/>
        </w:rPr>
        <w:t>Baum</w:t>
      </w:r>
      <w:proofErr w:type="spellEnd"/>
      <w:r w:rsidRPr="00596D1F">
        <w:rPr>
          <w:rFonts w:ascii="Times New Roman" w:hAnsi="Times New Roman"/>
          <w:color w:val="000000" w:themeColor="text1"/>
          <w:sz w:val="24"/>
          <w:szCs w:val="24"/>
        </w:rPr>
        <w:t xml:space="preserve"> (2006), na ocasião em que afirma que o comportamento controlado por regras é modelado por reforço e punição e, </w:t>
      </w:r>
      <w:r w:rsidR="0035517D" w:rsidRPr="00596D1F">
        <w:rPr>
          <w:rFonts w:ascii="Times New Roman" w:hAnsi="Times New Roman"/>
          <w:color w:val="000000" w:themeColor="text1"/>
          <w:sz w:val="24"/>
          <w:szCs w:val="24"/>
        </w:rPr>
        <w:t>à</w:t>
      </w:r>
      <w:r w:rsidRPr="00596D1F">
        <w:rPr>
          <w:rFonts w:ascii="Times New Roman" w:hAnsi="Times New Roman"/>
          <w:color w:val="000000" w:themeColor="text1"/>
          <w:sz w:val="24"/>
          <w:szCs w:val="24"/>
        </w:rPr>
        <w:t xml:space="preserve"> medida que os sujeitos não as seguem, os dispositivos implicam em sanções variadas como multas e outras sanções dadas por organismos públicos. “Todo comportamento operante, inclusive o controlado por regras, é modelado por reforço e punição”. (</w:t>
      </w:r>
      <w:r w:rsidR="00A3535A" w:rsidRPr="00596D1F">
        <w:rPr>
          <w:rFonts w:ascii="Times New Roman" w:hAnsi="Times New Roman"/>
          <w:color w:val="000000" w:themeColor="text1"/>
          <w:sz w:val="24"/>
          <w:szCs w:val="24"/>
        </w:rPr>
        <w:t>BAUM</w:t>
      </w:r>
      <w:r w:rsidRPr="00596D1F">
        <w:rPr>
          <w:rFonts w:ascii="Times New Roman" w:hAnsi="Times New Roman"/>
          <w:color w:val="000000" w:themeColor="text1"/>
          <w:sz w:val="24"/>
          <w:szCs w:val="24"/>
        </w:rPr>
        <w:t>, 2006, p. 166).</w:t>
      </w:r>
    </w:p>
    <w:p w14:paraId="3EC7B93D" w14:textId="77777777" w:rsidR="0016162B" w:rsidRDefault="00511B57"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 xml:space="preserve">Pesquisas básicas </w:t>
      </w:r>
      <w:r w:rsidR="00FA450E" w:rsidRPr="00596D1F">
        <w:rPr>
          <w:rFonts w:ascii="Times New Roman" w:eastAsia="Times New Roman" w:hAnsi="Times New Roman"/>
          <w:color w:val="000000" w:themeColor="text1"/>
          <w:sz w:val="24"/>
          <w:szCs w:val="24"/>
          <w:lang w:eastAsia="pt-BR"/>
        </w:rPr>
        <w:t>confirmam</w:t>
      </w:r>
      <w:r w:rsidRPr="00596D1F">
        <w:rPr>
          <w:rFonts w:ascii="Times New Roman" w:eastAsia="Times New Roman" w:hAnsi="Times New Roman"/>
          <w:color w:val="000000" w:themeColor="text1"/>
          <w:sz w:val="24"/>
          <w:szCs w:val="24"/>
          <w:lang w:eastAsia="pt-BR"/>
        </w:rPr>
        <w:t xml:space="preserve"> que regras facilitam a aquisição de novos comportamentos, principalmente quando as contingências são complexas, imprecisas ou </w:t>
      </w:r>
      <w:r w:rsidRPr="00596D1F">
        <w:rPr>
          <w:rFonts w:ascii="Times New Roman" w:eastAsia="Times New Roman" w:hAnsi="Times New Roman"/>
          <w:color w:val="000000" w:themeColor="text1"/>
          <w:sz w:val="24"/>
          <w:szCs w:val="24"/>
          <w:lang w:eastAsia="pt-BR"/>
        </w:rPr>
        <w:lastRenderedPageBreak/>
        <w:t>aversivas. (</w:t>
      </w:r>
      <w:r w:rsidR="00A3535A" w:rsidRPr="00596D1F">
        <w:rPr>
          <w:rFonts w:ascii="Times New Roman" w:eastAsia="Times New Roman" w:hAnsi="Times New Roman"/>
          <w:color w:val="000000" w:themeColor="text1"/>
          <w:sz w:val="24"/>
          <w:szCs w:val="24"/>
          <w:lang w:eastAsia="pt-BR"/>
        </w:rPr>
        <w:t>MEYER</w:t>
      </w:r>
      <w:r w:rsidRPr="00596D1F">
        <w:rPr>
          <w:rFonts w:ascii="Times New Roman" w:eastAsia="Times New Roman" w:hAnsi="Times New Roman"/>
          <w:color w:val="000000" w:themeColor="text1"/>
          <w:sz w:val="24"/>
          <w:szCs w:val="24"/>
          <w:lang w:eastAsia="pt-BR"/>
        </w:rPr>
        <w:t>, 2007, p. 213). Caso seja desejável modificar ou afetar um comportamento controlado por regras, pode ser preciso mudar a regra (</w:t>
      </w:r>
      <w:r w:rsidR="00A3535A" w:rsidRPr="00596D1F">
        <w:rPr>
          <w:rFonts w:ascii="Times New Roman" w:eastAsia="Times New Roman" w:hAnsi="Times New Roman"/>
          <w:color w:val="000000" w:themeColor="text1"/>
          <w:sz w:val="24"/>
          <w:szCs w:val="24"/>
          <w:lang w:eastAsia="pt-BR"/>
        </w:rPr>
        <w:t>MEYER, 2007</w:t>
      </w:r>
      <w:r w:rsidR="00A3535A">
        <w:rPr>
          <w:rFonts w:ascii="Times New Roman" w:eastAsia="Times New Roman" w:hAnsi="Times New Roman"/>
          <w:color w:val="000000" w:themeColor="text1"/>
          <w:sz w:val="24"/>
          <w:szCs w:val="24"/>
          <w:lang w:eastAsia="pt-BR"/>
        </w:rPr>
        <w:t>;</w:t>
      </w:r>
      <w:r w:rsidR="00A3535A" w:rsidRPr="00596D1F">
        <w:rPr>
          <w:rFonts w:ascii="Times New Roman" w:eastAsia="Times New Roman" w:hAnsi="Times New Roman"/>
          <w:color w:val="000000" w:themeColor="text1"/>
          <w:sz w:val="24"/>
          <w:szCs w:val="24"/>
          <w:lang w:eastAsia="pt-BR"/>
        </w:rPr>
        <w:t xml:space="preserve"> MATOS</w:t>
      </w:r>
      <w:r w:rsidR="00DD6638" w:rsidRPr="00596D1F">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2001). </w:t>
      </w:r>
    </w:p>
    <w:p w14:paraId="01551AB7" w14:textId="40F9809C" w:rsidR="00511B57" w:rsidRPr="00596D1F" w:rsidRDefault="0035517D" w:rsidP="000B6B45">
      <w:pPr>
        <w:spacing w:after="0" w:line="240" w:lineRule="auto"/>
        <w:ind w:firstLine="708"/>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Em outras palavras</w:t>
      </w:r>
      <w:r w:rsidR="00511B57" w:rsidRPr="00596D1F">
        <w:rPr>
          <w:rFonts w:ascii="Times New Roman" w:eastAsia="Times New Roman" w:hAnsi="Times New Roman"/>
          <w:color w:val="000000" w:themeColor="text1"/>
          <w:sz w:val="24"/>
          <w:szCs w:val="24"/>
          <w:lang w:eastAsia="pt-BR"/>
        </w:rPr>
        <w:t xml:space="preserve">, </w:t>
      </w:r>
      <w:r w:rsidR="00511B57" w:rsidRPr="00596D1F">
        <w:rPr>
          <w:rFonts w:ascii="Times New Roman" w:hAnsi="Times New Roman"/>
          <w:color w:val="000000" w:themeColor="text1"/>
          <w:sz w:val="24"/>
          <w:szCs w:val="24"/>
        </w:rPr>
        <w:t>para a modificação do comportamento governado por regras é necessário que haja alteração de seus antecedentes, suas consequências, ou ambos. (</w:t>
      </w:r>
      <w:r w:rsidR="00A3535A" w:rsidRPr="00596D1F">
        <w:rPr>
          <w:rFonts w:ascii="Times New Roman" w:hAnsi="Times New Roman"/>
          <w:color w:val="000000" w:themeColor="text1"/>
          <w:sz w:val="24"/>
          <w:szCs w:val="24"/>
        </w:rPr>
        <w:t>CERUTTI</w:t>
      </w:r>
      <w:r w:rsidR="00DD6638" w:rsidRPr="00596D1F">
        <w:rPr>
          <w:rFonts w:ascii="Times New Roman" w:hAnsi="Times New Roman"/>
          <w:color w:val="000000" w:themeColor="text1"/>
          <w:sz w:val="24"/>
          <w:szCs w:val="24"/>
        </w:rPr>
        <w:t>,</w:t>
      </w:r>
      <w:r w:rsidR="00511B57" w:rsidRPr="00596D1F">
        <w:rPr>
          <w:rFonts w:ascii="Times New Roman" w:hAnsi="Times New Roman"/>
          <w:color w:val="000000" w:themeColor="text1"/>
          <w:sz w:val="24"/>
          <w:szCs w:val="24"/>
        </w:rPr>
        <w:t xml:space="preserve"> 1989</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CATANIA, </w:t>
      </w:r>
      <w:r w:rsidR="00511B57" w:rsidRPr="00596D1F">
        <w:rPr>
          <w:rFonts w:ascii="Times New Roman" w:hAnsi="Times New Roman"/>
          <w:color w:val="000000" w:themeColor="text1"/>
          <w:sz w:val="24"/>
          <w:szCs w:val="24"/>
        </w:rPr>
        <w:t xml:space="preserve">1999). </w:t>
      </w:r>
      <w:r w:rsidR="00511B57" w:rsidRPr="00596D1F">
        <w:rPr>
          <w:rFonts w:ascii="Times New Roman" w:eastAsia="Times New Roman" w:hAnsi="Times New Roman"/>
          <w:color w:val="000000" w:themeColor="text1"/>
          <w:sz w:val="24"/>
          <w:szCs w:val="24"/>
          <w:lang w:eastAsia="pt-BR"/>
        </w:rPr>
        <w:t xml:space="preserve">É relevante destacar, também, que a rapidez da aprendizagem é uma das vantagens do comportamento mantido por regras </w:t>
      </w:r>
      <w:r w:rsidR="00DD6638" w:rsidRPr="00596D1F">
        <w:rPr>
          <w:rFonts w:ascii="Times New Roman" w:eastAsia="Times New Roman" w:hAnsi="Times New Roman"/>
          <w:color w:val="000000" w:themeColor="text1"/>
          <w:sz w:val="24"/>
          <w:szCs w:val="24"/>
          <w:lang w:eastAsia="pt-BR"/>
        </w:rPr>
        <w:t>(</w:t>
      </w:r>
      <w:r w:rsidR="00A3535A" w:rsidRPr="00596D1F">
        <w:rPr>
          <w:rFonts w:ascii="Times New Roman" w:eastAsia="Times New Roman" w:hAnsi="Times New Roman"/>
          <w:color w:val="000000" w:themeColor="text1"/>
          <w:sz w:val="24"/>
          <w:szCs w:val="24"/>
          <w:lang w:eastAsia="pt-BR"/>
        </w:rPr>
        <w:t>MEYER</w:t>
      </w:r>
      <w:r w:rsidR="00DD6638" w:rsidRPr="00596D1F">
        <w:rPr>
          <w:rFonts w:ascii="Times New Roman" w:eastAsia="Times New Roman" w:hAnsi="Times New Roman"/>
          <w:color w:val="000000" w:themeColor="text1"/>
          <w:sz w:val="24"/>
          <w:szCs w:val="24"/>
          <w:lang w:eastAsia="pt-BR"/>
        </w:rPr>
        <w:t>, 2007</w:t>
      </w:r>
      <w:r w:rsidR="00511B57" w:rsidRPr="00596D1F">
        <w:rPr>
          <w:rFonts w:ascii="Times New Roman" w:eastAsia="Times New Roman" w:hAnsi="Times New Roman"/>
          <w:color w:val="000000" w:themeColor="text1"/>
          <w:sz w:val="24"/>
          <w:szCs w:val="24"/>
          <w:lang w:eastAsia="pt-BR"/>
        </w:rPr>
        <w:t xml:space="preserve">) e que quanto mais específicas às instruções, maior a aderência </w:t>
      </w:r>
      <w:r w:rsidR="00FD7E4E" w:rsidRPr="00596D1F">
        <w:rPr>
          <w:rFonts w:ascii="Times New Roman" w:eastAsia="Times New Roman" w:hAnsi="Times New Roman"/>
          <w:color w:val="000000" w:themeColor="text1"/>
          <w:sz w:val="24"/>
          <w:szCs w:val="24"/>
          <w:lang w:eastAsia="pt-BR"/>
        </w:rPr>
        <w:t>à</w:t>
      </w:r>
      <w:r w:rsidR="00511B57" w:rsidRPr="00596D1F">
        <w:rPr>
          <w:rFonts w:ascii="Times New Roman" w:eastAsia="Times New Roman" w:hAnsi="Times New Roman"/>
          <w:color w:val="000000" w:themeColor="text1"/>
          <w:sz w:val="24"/>
          <w:szCs w:val="24"/>
          <w:lang w:eastAsia="pt-BR"/>
        </w:rPr>
        <w:t xml:space="preserve"> regra e mais preciso o desempenho (</w:t>
      </w:r>
      <w:r w:rsidR="00A3535A" w:rsidRPr="00596D1F">
        <w:rPr>
          <w:rFonts w:ascii="Times New Roman" w:eastAsia="Times New Roman" w:hAnsi="Times New Roman"/>
          <w:color w:val="000000" w:themeColor="text1"/>
          <w:sz w:val="24"/>
          <w:szCs w:val="24"/>
          <w:lang w:eastAsia="pt-BR"/>
        </w:rPr>
        <w:t>MATOS</w:t>
      </w:r>
      <w:r w:rsidR="00DD6638" w:rsidRPr="00596D1F">
        <w:rPr>
          <w:rFonts w:ascii="Times New Roman" w:eastAsia="Times New Roman" w:hAnsi="Times New Roman"/>
          <w:color w:val="000000" w:themeColor="text1"/>
          <w:sz w:val="24"/>
          <w:szCs w:val="24"/>
          <w:lang w:eastAsia="pt-BR"/>
        </w:rPr>
        <w:t>, 2001</w:t>
      </w:r>
      <w:r w:rsidR="00511B57" w:rsidRPr="00596D1F">
        <w:rPr>
          <w:rFonts w:ascii="Times New Roman" w:eastAsia="Times New Roman" w:hAnsi="Times New Roman"/>
          <w:color w:val="000000" w:themeColor="text1"/>
          <w:sz w:val="24"/>
          <w:szCs w:val="24"/>
          <w:lang w:eastAsia="pt-BR"/>
        </w:rPr>
        <w:t>).</w:t>
      </w:r>
    </w:p>
    <w:p w14:paraId="6CB9D203" w14:textId="18C89949" w:rsidR="00511B57" w:rsidRPr="00596D1F" w:rsidRDefault="00511B57" w:rsidP="000B6B45">
      <w:pPr>
        <w:spacing w:after="0" w:line="240" w:lineRule="auto"/>
        <w:ind w:firstLine="708"/>
        <w:jc w:val="both"/>
        <w:rPr>
          <w:rFonts w:ascii="Times New Roman" w:eastAsia="Times New Roman" w:hAnsi="Times New Roman"/>
          <w:color w:val="000000" w:themeColor="text1"/>
          <w:sz w:val="24"/>
          <w:szCs w:val="24"/>
          <w:lang w:eastAsia="pt-BR"/>
        </w:rPr>
      </w:pPr>
      <w:r w:rsidRPr="00596D1F">
        <w:rPr>
          <w:rFonts w:ascii="Times New Roman" w:eastAsia="Times New Roman" w:hAnsi="Times New Roman"/>
          <w:color w:val="000000" w:themeColor="text1"/>
          <w:sz w:val="24"/>
          <w:szCs w:val="24"/>
          <w:lang w:eastAsia="pt-BR"/>
        </w:rPr>
        <w:t>Salienta-se, considerando Cavalcanti (2017), que leis, enquanto elemento textual, não determina o comportamento das pessoas e operadores do direito, mas possui uma função de variável de contexto para o comportamento, ou</w:t>
      </w:r>
      <w:r w:rsidR="00332201">
        <w:rPr>
          <w:rFonts w:ascii="Times New Roman" w:eastAsia="Times New Roman" w:hAnsi="Times New Roman"/>
          <w:color w:val="000000" w:themeColor="text1"/>
          <w:sz w:val="24"/>
          <w:szCs w:val="24"/>
          <w:lang w:eastAsia="pt-BR"/>
        </w:rPr>
        <w:t>,</w:t>
      </w:r>
      <w:r w:rsidRPr="00596D1F">
        <w:rPr>
          <w:rFonts w:ascii="Times New Roman" w:eastAsia="Times New Roman" w:hAnsi="Times New Roman"/>
          <w:color w:val="000000" w:themeColor="text1"/>
          <w:sz w:val="24"/>
          <w:szCs w:val="24"/>
          <w:lang w:eastAsia="pt-BR"/>
        </w:rPr>
        <w:t xml:space="preserve"> de modo mais específico, de estímulo discriminativo. As leis e normas jurídicas em geral envolvendo a prestação de contas de recursos públicos visam, </w:t>
      </w:r>
      <w:r w:rsidRPr="00D15A99">
        <w:rPr>
          <w:rFonts w:ascii="Times New Roman" w:eastAsia="Times New Roman" w:hAnsi="Times New Roman"/>
          <w:i/>
          <w:iCs/>
          <w:color w:val="000000" w:themeColor="text1"/>
          <w:sz w:val="24"/>
          <w:szCs w:val="24"/>
          <w:lang w:eastAsia="pt-BR"/>
        </w:rPr>
        <w:t>a priori</w:t>
      </w:r>
      <w:r w:rsidRPr="00596D1F">
        <w:rPr>
          <w:rFonts w:ascii="Times New Roman" w:eastAsia="Times New Roman" w:hAnsi="Times New Roman"/>
          <w:color w:val="000000" w:themeColor="text1"/>
          <w:sz w:val="24"/>
          <w:szCs w:val="24"/>
          <w:lang w:eastAsia="pt-BR"/>
        </w:rPr>
        <w:t>, controlar o comportamento dos administradores desse dinheiro. Deste modo, podem ser descritas em termos de relação entre certos comportamentos e determinadas consequências (</w:t>
      </w:r>
      <w:r w:rsidR="00A3535A" w:rsidRPr="00596D1F">
        <w:rPr>
          <w:rFonts w:ascii="Times New Roman" w:eastAsia="Times New Roman" w:hAnsi="Times New Roman"/>
          <w:color w:val="000000" w:themeColor="text1"/>
          <w:sz w:val="24"/>
          <w:szCs w:val="24"/>
          <w:lang w:eastAsia="pt-BR"/>
        </w:rPr>
        <w:t>OLIVEIRA</w:t>
      </w:r>
      <w:r w:rsidRPr="00596D1F">
        <w:rPr>
          <w:rFonts w:ascii="Times New Roman" w:eastAsia="Times New Roman" w:hAnsi="Times New Roman"/>
          <w:color w:val="000000" w:themeColor="text1"/>
          <w:sz w:val="24"/>
          <w:szCs w:val="24"/>
          <w:lang w:eastAsia="pt-BR"/>
        </w:rPr>
        <w:t xml:space="preserve">, 2016). Conclui-se que esse tipo de regra visa o alcance de metas de cunho social, meios ou instrumentos de controle social do comportamento, </w:t>
      </w:r>
      <w:r w:rsidR="0016162B">
        <w:rPr>
          <w:rFonts w:ascii="Times New Roman" w:eastAsia="Times New Roman" w:hAnsi="Times New Roman"/>
          <w:color w:val="000000" w:themeColor="text1"/>
          <w:sz w:val="24"/>
          <w:szCs w:val="24"/>
          <w:lang w:eastAsia="pt-BR"/>
        </w:rPr>
        <w:t>ao utilizar-se</w:t>
      </w:r>
      <w:r w:rsidRPr="00596D1F">
        <w:rPr>
          <w:rFonts w:ascii="Times New Roman" w:eastAsia="Times New Roman" w:hAnsi="Times New Roman"/>
          <w:color w:val="000000" w:themeColor="text1"/>
          <w:sz w:val="24"/>
          <w:szCs w:val="24"/>
          <w:lang w:eastAsia="pt-BR"/>
        </w:rPr>
        <w:t>, basicamente, de sanções ou punições de condutas indesejáveis.</w:t>
      </w:r>
    </w:p>
    <w:p w14:paraId="7C861DC5" w14:textId="4C60B7A8" w:rsidR="001B0624" w:rsidRPr="00596D1F" w:rsidRDefault="0016162B" w:rsidP="000B6B45">
      <w:pPr>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pt-BR"/>
        </w:rPr>
        <w:t>Ao considerar</w:t>
      </w:r>
      <w:r w:rsidR="00FD7E4E" w:rsidRPr="00596D1F">
        <w:rPr>
          <w:rFonts w:ascii="Times New Roman" w:eastAsia="Times New Roman" w:hAnsi="Times New Roman"/>
          <w:color w:val="000000" w:themeColor="text1"/>
          <w:sz w:val="24"/>
          <w:szCs w:val="24"/>
          <w:lang w:eastAsia="pt-BR"/>
        </w:rPr>
        <w:t xml:space="preserve"> que lei é um estímulo discriminativo que descreve contingências e funciona como uma variável de contexto para explicar modificação </w:t>
      </w:r>
      <w:r w:rsidR="00BF438C" w:rsidRPr="00596D1F">
        <w:rPr>
          <w:rFonts w:ascii="Times New Roman" w:eastAsia="Times New Roman" w:hAnsi="Times New Roman"/>
          <w:color w:val="000000" w:themeColor="text1"/>
          <w:sz w:val="24"/>
          <w:szCs w:val="24"/>
          <w:lang w:eastAsia="pt-BR"/>
        </w:rPr>
        <w:t>comportamental</w:t>
      </w:r>
      <w:r w:rsidR="0034584F" w:rsidRPr="00596D1F">
        <w:rPr>
          <w:rFonts w:ascii="Times New Roman" w:eastAsia="Times New Roman" w:hAnsi="Times New Roman"/>
          <w:color w:val="000000" w:themeColor="text1"/>
          <w:sz w:val="24"/>
          <w:szCs w:val="24"/>
          <w:lang w:eastAsia="pt-BR"/>
        </w:rPr>
        <w:t xml:space="preserve">, então, </w:t>
      </w:r>
      <w:r w:rsidR="00EB7150" w:rsidRPr="00596D1F">
        <w:rPr>
          <w:rFonts w:ascii="Times New Roman" w:eastAsia="Times New Roman" w:hAnsi="Times New Roman"/>
          <w:color w:val="000000" w:themeColor="text1"/>
          <w:sz w:val="24"/>
          <w:szCs w:val="24"/>
          <w:lang w:eastAsia="pt-BR"/>
        </w:rPr>
        <w:t>infere-se que a</w:t>
      </w:r>
      <w:r w:rsidR="0034584F" w:rsidRPr="00596D1F">
        <w:rPr>
          <w:rFonts w:ascii="Times New Roman" w:eastAsia="Times New Roman" w:hAnsi="Times New Roman"/>
          <w:color w:val="000000" w:themeColor="text1"/>
          <w:sz w:val="24"/>
          <w:szCs w:val="24"/>
          <w:lang w:eastAsia="pt-BR"/>
        </w:rPr>
        <w:t xml:space="preserve"> LAI</w:t>
      </w:r>
      <w:r w:rsidR="006C68FE" w:rsidRPr="00596D1F">
        <w:rPr>
          <w:rFonts w:ascii="Times New Roman" w:eastAsia="Times New Roman" w:hAnsi="Times New Roman"/>
          <w:color w:val="000000" w:themeColor="text1"/>
          <w:sz w:val="24"/>
          <w:szCs w:val="24"/>
          <w:lang w:eastAsia="pt-BR"/>
        </w:rPr>
        <w:t>, ao propiciar</w:t>
      </w:r>
      <w:r w:rsidR="0079511A" w:rsidRPr="00596D1F">
        <w:rPr>
          <w:rFonts w:ascii="Times New Roman" w:eastAsia="Times New Roman" w:hAnsi="Times New Roman"/>
          <w:color w:val="000000" w:themeColor="text1"/>
          <w:sz w:val="24"/>
          <w:szCs w:val="24"/>
          <w:lang w:eastAsia="pt-BR"/>
        </w:rPr>
        <w:t xml:space="preserve"> </w:t>
      </w:r>
      <w:r w:rsidR="008D7C8C" w:rsidRPr="00596D1F">
        <w:rPr>
          <w:rFonts w:ascii="Times New Roman" w:eastAsia="Times New Roman" w:hAnsi="Times New Roman"/>
          <w:color w:val="000000" w:themeColor="text1"/>
          <w:sz w:val="24"/>
          <w:szCs w:val="24"/>
          <w:lang w:eastAsia="pt-BR"/>
        </w:rPr>
        <w:t>maior</w:t>
      </w:r>
      <w:r w:rsidR="00E56B5C" w:rsidRPr="00596D1F">
        <w:rPr>
          <w:rFonts w:ascii="Times New Roman" w:eastAsia="Times New Roman" w:hAnsi="Times New Roman"/>
          <w:color w:val="000000" w:themeColor="text1"/>
          <w:sz w:val="24"/>
          <w:szCs w:val="24"/>
          <w:lang w:eastAsia="pt-BR"/>
        </w:rPr>
        <w:t xml:space="preserve"> transparência </w:t>
      </w:r>
      <w:r w:rsidR="006C68FE" w:rsidRPr="00596D1F">
        <w:rPr>
          <w:rFonts w:ascii="Times New Roman" w:eastAsia="Times New Roman" w:hAnsi="Times New Roman"/>
          <w:color w:val="000000" w:themeColor="text1"/>
          <w:sz w:val="24"/>
          <w:szCs w:val="24"/>
          <w:lang w:eastAsia="pt-BR"/>
        </w:rPr>
        <w:t>dos atos fiscalizados como</w:t>
      </w:r>
      <w:r w:rsidR="00332201">
        <w:rPr>
          <w:rFonts w:ascii="Times New Roman" w:eastAsia="Times New Roman" w:hAnsi="Times New Roman"/>
          <w:color w:val="000000" w:themeColor="text1"/>
          <w:sz w:val="24"/>
          <w:szCs w:val="24"/>
          <w:lang w:eastAsia="pt-BR"/>
        </w:rPr>
        <w:t>,</w:t>
      </w:r>
      <w:r w:rsidR="006C68FE" w:rsidRPr="00596D1F">
        <w:rPr>
          <w:rFonts w:ascii="Times New Roman" w:eastAsia="Times New Roman" w:hAnsi="Times New Roman"/>
          <w:color w:val="000000" w:themeColor="text1"/>
          <w:sz w:val="24"/>
          <w:szCs w:val="24"/>
          <w:lang w:eastAsia="pt-BR"/>
        </w:rPr>
        <w:t xml:space="preserve"> das próprias</w:t>
      </w:r>
      <w:r w:rsidR="00332201">
        <w:rPr>
          <w:rFonts w:ascii="Times New Roman" w:eastAsia="Times New Roman" w:hAnsi="Times New Roman"/>
          <w:color w:val="000000" w:themeColor="text1"/>
          <w:sz w:val="24"/>
          <w:szCs w:val="24"/>
          <w:lang w:eastAsia="pt-BR"/>
        </w:rPr>
        <w:t xml:space="preserve"> ações</w:t>
      </w:r>
      <w:r w:rsidR="006C68FE" w:rsidRPr="00596D1F">
        <w:rPr>
          <w:rFonts w:ascii="Times New Roman" w:eastAsia="Times New Roman" w:hAnsi="Times New Roman"/>
          <w:color w:val="000000" w:themeColor="text1"/>
          <w:sz w:val="24"/>
          <w:szCs w:val="24"/>
          <w:lang w:eastAsia="pt-BR"/>
        </w:rPr>
        <w:t xml:space="preserve"> dos tribunais</w:t>
      </w:r>
      <w:r w:rsidR="00332201">
        <w:rPr>
          <w:rFonts w:ascii="Times New Roman" w:eastAsia="Times New Roman" w:hAnsi="Times New Roman"/>
          <w:color w:val="000000" w:themeColor="text1"/>
          <w:sz w:val="24"/>
          <w:szCs w:val="24"/>
          <w:lang w:eastAsia="pt-BR"/>
        </w:rPr>
        <w:t>,</w:t>
      </w:r>
      <w:r w:rsidR="0034584F" w:rsidRPr="00596D1F">
        <w:rPr>
          <w:rFonts w:ascii="Times New Roman" w:eastAsia="Times New Roman" w:hAnsi="Times New Roman"/>
          <w:color w:val="000000" w:themeColor="text1"/>
          <w:sz w:val="24"/>
          <w:szCs w:val="24"/>
          <w:lang w:eastAsia="pt-BR"/>
        </w:rPr>
        <w:t xml:space="preserve"> por consequência, </w:t>
      </w:r>
      <w:r w:rsidR="00EB7150" w:rsidRPr="00596D1F">
        <w:rPr>
          <w:rFonts w:ascii="Times New Roman" w:eastAsia="Times New Roman" w:hAnsi="Times New Roman"/>
          <w:color w:val="000000" w:themeColor="text1"/>
          <w:sz w:val="24"/>
          <w:szCs w:val="24"/>
          <w:lang w:eastAsia="pt-BR"/>
        </w:rPr>
        <w:t>aumenta a probabilidade de que os</w:t>
      </w:r>
      <w:r w:rsidR="0079511A" w:rsidRPr="00596D1F">
        <w:rPr>
          <w:rFonts w:ascii="Times New Roman" w:eastAsia="Times New Roman" w:hAnsi="Times New Roman"/>
          <w:color w:val="000000" w:themeColor="text1"/>
          <w:sz w:val="24"/>
          <w:szCs w:val="24"/>
          <w:lang w:eastAsia="pt-BR"/>
        </w:rPr>
        <w:t xml:space="preserve"> agentes fiscalizadores do TCM-GO</w:t>
      </w:r>
      <w:r w:rsidR="00EB7150" w:rsidRPr="00596D1F">
        <w:rPr>
          <w:rFonts w:ascii="Times New Roman" w:eastAsia="Times New Roman" w:hAnsi="Times New Roman"/>
          <w:color w:val="000000" w:themeColor="text1"/>
          <w:sz w:val="24"/>
          <w:szCs w:val="24"/>
          <w:lang w:eastAsia="pt-BR"/>
        </w:rPr>
        <w:t xml:space="preserve"> realizem </w:t>
      </w:r>
      <w:r w:rsidR="00332201">
        <w:rPr>
          <w:rFonts w:ascii="Times New Roman" w:eastAsia="Times New Roman" w:hAnsi="Times New Roman"/>
          <w:color w:val="000000" w:themeColor="text1"/>
          <w:sz w:val="24"/>
          <w:szCs w:val="24"/>
          <w:lang w:eastAsia="pt-BR"/>
        </w:rPr>
        <w:t>seu ofício</w:t>
      </w:r>
      <w:r w:rsidR="0079511A" w:rsidRPr="00596D1F">
        <w:rPr>
          <w:rFonts w:ascii="Times New Roman" w:eastAsia="Times New Roman" w:hAnsi="Times New Roman"/>
          <w:color w:val="000000" w:themeColor="text1"/>
          <w:sz w:val="24"/>
          <w:szCs w:val="24"/>
          <w:lang w:eastAsia="pt-BR"/>
        </w:rPr>
        <w:t xml:space="preserve"> com maior nível de eficiência</w:t>
      </w:r>
      <w:r w:rsidR="006C68FE" w:rsidRPr="00596D1F">
        <w:rPr>
          <w:rFonts w:ascii="Times New Roman" w:eastAsia="Times New Roman" w:hAnsi="Times New Roman"/>
          <w:color w:val="000000" w:themeColor="text1"/>
          <w:sz w:val="24"/>
          <w:szCs w:val="24"/>
          <w:lang w:eastAsia="pt-BR"/>
        </w:rPr>
        <w:t xml:space="preserve"> e assertividade,</w:t>
      </w:r>
      <w:r w:rsidR="00BF438C" w:rsidRPr="00596D1F">
        <w:rPr>
          <w:rFonts w:ascii="Times New Roman" w:eastAsia="Times New Roman" w:hAnsi="Times New Roman"/>
          <w:color w:val="000000" w:themeColor="text1"/>
          <w:sz w:val="24"/>
          <w:szCs w:val="24"/>
          <w:lang w:eastAsia="pt-BR"/>
        </w:rPr>
        <w:t xml:space="preserve"> com a </w:t>
      </w:r>
      <w:r w:rsidR="0079511A" w:rsidRPr="00596D1F">
        <w:rPr>
          <w:rFonts w:ascii="Times New Roman" w:eastAsia="Times New Roman" w:hAnsi="Times New Roman"/>
          <w:color w:val="000000" w:themeColor="text1"/>
          <w:sz w:val="24"/>
          <w:szCs w:val="24"/>
          <w:lang w:eastAsia="pt-BR"/>
        </w:rPr>
        <w:t>imputa</w:t>
      </w:r>
      <w:r w:rsidR="00BF438C" w:rsidRPr="00596D1F">
        <w:rPr>
          <w:rFonts w:ascii="Times New Roman" w:eastAsia="Times New Roman" w:hAnsi="Times New Roman"/>
          <w:color w:val="000000" w:themeColor="text1"/>
          <w:sz w:val="24"/>
          <w:szCs w:val="24"/>
          <w:lang w:eastAsia="pt-BR"/>
        </w:rPr>
        <w:t>ção de</w:t>
      </w:r>
      <w:r w:rsidR="00E56B5C" w:rsidRPr="00596D1F">
        <w:rPr>
          <w:rFonts w:ascii="Times New Roman" w:eastAsia="Times New Roman" w:hAnsi="Times New Roman"/>
          <w:color w:val="000000" w:themeColor="text1"/>
          <w:sz w:val="24"/>
          <w:szCs w:val="24"/>
          <w:lang w:eastAsia="pt-BR"/>
        </w:rPr>
        <w:t xml:space="preserve"> mais </w:t>
      </w:r>
      <w:r w:rsidR="0079511A" w:rsidRPr="00596D1F">
        <w:rPr>
          <w:rFonts w:ascii="Times New Roman" w:eastAsia="Times New Roman" w:hAnsi="Times New Roman"/>
          <w:color w:val="000000" w:themeColor="text1"/>
          <w:sz w:val="24"/>
          <w:szCs w:val="24"/>
          <w:lang w:eastAsia="pt-BR"/>
        </w:rPr>
        <w:t xml:space="preserve">penalidades. </w:t>
      </w:r>
      <w:r w:rsidR="00EB7150" w:rsidRPr="00596D1F">
        <w:rPr>
          <w:rFonts w:ascii="Times New Roman" w:eastAsia="Times New Roman" w:hAnsi="Times New Roman"/>
          <w:color w:val="000000" w:themeColor="text1"/>
          <w:sz w:val="24"/>
          <w:szCs w:val="24"/>
          <w:lang w:eastAsia="pt-BR"/>
        </w:rPr>
        <w:t xml:space="preserve">Destarte, </w:t>
      </w:r>
      <w:r w:rsidR="006C68FE" w:rsidRPr="00596D1F">
        <w:rPr>
          <w:rFonts w:ascii="Times New Roman" w:eastAsia="Times New Roman" w:hAnsi="Times New Roman"/>
          <w:color w:val="000000" w:themeColor="text1"/>
          <w:sz w:val="24"/>
          <w:szCs w:val="24"/>
          <w:lang w:eastAsia="pt-BR"/>
        </w:rPr>
        <w:t>estabelece-se a seguinte</w:t>
      </w:r>
      <w:r w:rsidR="00FD7E4E" w:rsidRPr="00596D1F">
        <w:rPr>
          <w:rFonts w:ascii="Times New Roman" w:eastAsia="Times New Roman" w:hAnsi="Times New Roman"/>
          <w:color w:val="000000" w:themeColor="text1"/>
          <w:sz w:val="24"/>
          <w:szCs w:val="24"/>
          <w:lang w:eastAsia="pt-BR"/>
        </w:rPr>
        <w:t xml:space="preserve"> hipótese</w:t>
      </w:r>
      <w:r w:rsidR="006C68FE" w:rsidRPr="00596D1F">
        <w:rPr>
          <w:rFonts w:ascii="Times New Roman" w:eastAsia="Times New Roman" w:hAnsi="Times New Roman"/>
          <w:color w:val="000000" w:themeColor="text1"/>
          <w:sz w:val="24"/>
          <w:szCs w:val="24"/>
          <w:lang w:eastAsia="pt-BR"/>
        </w:rPr>
        <w:t xml:space="preserve"> de pesquisa</w:t>
      </w:r>
      <w:r w:rsidR="00FD7E4E" w:rsidRPr="00596D1F">
        <w:rPr>
          <w:rFonts w:ascii="Times New Roman" w:eastAsia="Times New Roman" w:hAnsi="Times New Roman"/>
          <w:color w:val="000000" w:themeColor="text1"/>
          <w:sz w:val="24"/>
          <w:szCs w:val="24"/>
          <w:lang w:eastAsia="pt-BR"/>
        </w:rPr>
        <w:t xml:space="preserve">: </w:t>
      </w:r>
      <w:r w:rsidR="004C30A2" w:rsidRPr="00596D1F">
        <w:rPr>
          <w:rFonts w:ascii="Times New Roman" w:hAnsi="Times New Roman"/>
          <w:color w:val="000000" w:themeColor="text1"/>
          <w:sz w:val="24"/>
          <w:szCs w:val="24"/>
        </w:rPr>
        <w:t>existe uma relação positiva e</w:t>
      </w:r>
      <w:r w:rsidR="00B63CC9" w:rsidRPr="00596D1F">
        <w:rPr>
          <w:rFonts w:ascii="Times New Roman" w:hAnsi="Times New Roman"/>
          <w:color w:val="000000" w:themeColor="text1"/>
          <w:sz w:val="24"/>
          <w:szCs w:val="24"/>
        </w:rPr>
        <w:t xml:space="preserve"> </w:t>
      </w:r>
      <w:r w:rsidR="004C30A2" w:rsidRPr="00596D1F">
        <w:rPr>
          <w:rFonts w:ascii="Times New Roman" w:hAnsi="Times New Roman"/>
          <w:color w:val="000000" w:themeColor="text1"/>
          <w:sz w:val="24"/>
          <w:szCs w:val="24"/>
        </w:rPr>
        <w:t xml:space="preserve">relevante entre a </w:t>
      </w:r>
      <w:r w:rsidR="00332201">
        <w:rPr>
          <w:rFonts w:ascii="Times New Roman" w:hAnsi="Times New Roman"/>
          <w:color w:val="000000" w:themeColor="text1"/>
          <w:sz w:val="24"/>
          <w:szCs w:val="24"/>
        </w:rPr>
        <w:t>LAI</w:t>
      </w:r>
      <w:r w:rsidR="004C30A2" w:rsidRPr="00596D1F">
        <w:rPr>
          <w:rFonts w:ascii="Times New Roman" w:hAnsi="Times New Roman"/>
          <w:color w:val="000000" w:themeColor="text1"/>
          <w:sz w:val="24"/>
          <w:szCs w:val="24"/>
        </w:rPr>
        <w:t xml:space="preserve"> e as punições impostas pelos agentes públicos do TCM-GO.</w:t>
      </w:r>
      <w:r w:rsidR="00E56B5C" w:rsidRPr="00596D1F">
        <w:rPr>
          <w:rFonts w:ascii="Times New Roman" w:hAnsi="Times New Roman"/>
          <w:color w:val="000000" w:themeColor="text1"/>
          <w:sz w:val="24"/>
          <w:szCs w:val="24"/>
        </w:rPr>
        <w:t xml:space="preserve"> </w:t>
      </w:r>
    </w:p>
    <w:p w14:paraId="2FBABC65" w14:textId="4DBE212E" w:rsidR="004C30A2" w:rsidRPr="00596D1F" w:rsidRDefault="00E56B5C"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Tal cenário é esperado para os primeiros anos da Lei, pois, com o passar do tempo, com a aprendizagem dos atores</w:t>
      </w:r>
      <w:r w:rsidR="00583C86" w:rsidRPr="00596D1F">
        <w:rPr>
          <w:rFonts w:ascii="Times New Roman" w:hAnsi="Times New Roman"/>
          <w:color w:val="000000" w:themeColor="text1"/>
          <w:sz w:val="24"/>
          <w:szCs w:val="24"/>
        </w:rPr>
        <w:t xml:space="preserve"> e</w:t>
      </w:r>
      <w:r w:rsidR="006C68FE" w:rsidRPr="00596D1F">
        <w:rPr>
          <w:rFonts w:ascii="Times New Roman" w:hAnsi="Times New Roman"/>
          <w:color w:val="000000" w:themeColor="text1"/>
          <w:sz w:val="24"/>
          <w:szCs w:val="24"/>
        </w:rPr>
        <w:t xml:space="preserve"> o</w:t>
      </w:r>
      <w:r w:rsidR="00583C86" w:rsidRPr="00596D1F">
        <w:rPr>
          <w:rFonts w:ascii="Times New Roman" w:hAnsi="Times New Roman"/>
          <w:color w:val="000000" w:themeColor="text1"/>
          <w:sz w:val="24"/>
          <w:szCs w:val="24"/>
        </w:rPr>
        <w:t xml:space="preserve"> aperfeiçoando </w:t>
      </w:r>
      <w:r w:rsidR="006C68FE" w:rsidRPr="00596D1F">
        <w:rPr>
          <w:rFonts w:ascii="Times New Roman" w:hAnsi="Times New Roman"/>
          <w:color w:val="000000" w:themeColor="text1"/>
          <w:sz w:val="24"/>
          <w:szCs w:val="24"/>
        </w:rPr>
        <w:t>d</w:t>
      </w:r>
      <w:r w:rsidR="00583C86" w:rsidRPr="00596D1F">
        <w:rPr>
          <w:rFonts w:ascii="Times New Roman" w:hAnsi="Times New Roman"/>
          <w:color w:val="000000" w:themeColor="text1"/>
          <w:sz w:val="24"/>
          <w:szCs w:val="24"/>
        </w:rPr>
        <w:t>o</w:t>
      </w:r>
      <w:r w:rsidRPr="00596D1F">
        <w:rPr>
          <w:rFonts w:ascii="Times New Roman" w:hAnsi="Times New Roman"/>
          <w:color w:val="000000" w:themeColor="text1"/>
          <w:sz w:val="24"/>
          <w:szCs w:val="24"/>
        </w:rPr>
        <w:t xml:space="preserve"> nível de transparência pública</w:t>
      </w:r>
      <w:r w:rsidR="00332201">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é provável que</w:t>
      </w:r>
      <w:r w:rsidR="006C68FE" w:rsidRPr="00596D1F">
        <w:rPr>
          <w:rFonts w:ascii="Times New Roman" w:hAnsi="Times New Roman"/>
          <w:color w:val="000000" w:themeColor="text1"/>
          <w:sz w:val="24"/>
          <w:szCs w:val="24"/>
        </w:rPr>
        <w:t xml:space="preserve"> se reduza </w:t>
      </w:r>
      <w:r w:rsidRPr="00596D1F">
        <w:rPr>
          <w:rFonts w:ascii="Times New Roman" w:hAnsi="Times New Roman"/>
          <w:color w:val="000000" w:themeColor="text1"/>
          <w:sz w:val="24"/>
          <w:szCs w:val="24"/>
        </w:rPr>
        <w:t>o número de punições</w:t>
      </w:r>
      <w:r w:rsidR="00BF438C" w:rsidRPr="00596D1F">
        <w:rPr>
          <w:rFonts w:ascii="Times New Roman" w:hAnsi="Times New Roman"/>
          <w:color w:val="000000" w:themeColor="text1"/>
          <w:sz w:val="24"/>
          <w:szCs w:val="24"/>
        </w:rPr>
        <w:t>, ratificando estudos que ligam maior acesso a dados públicos e, portanto, maior prestação de contas, a redução da corrupção, de atos desonestos e ampliação da ética</w:t>
      </w:r>
      <w:r w:rsidR="00115CF1" w:rsidRPr="00596D1F">
        <w:rPr>
          <w:rFonts w:ascii="Times New Roman" w:hAnsi="Times New Roman"/>
          <w:color w:val="000000" w:themeColor="text1"/>
          <w:sz w:val="24"/>
          <w:szCs w:val="24"/>
        </w:rPr>
        <w:t xml:space="preserve"> (</w:t>
      </w:r>
      <w:r w:rsidR="00A3535A" w:rsidRPr="00596D1F">
        <w:rPr>
          <w:rFonts w:ascii="Times New Roman" w:hAnsi="Times New Roman"/>
          <w:color w:val="000000" w:themeColor="text1"/>
          <w:sz w:val="24"/>
          <w:szCs w:val="24"/>
        </w:rPr>
        <w:t>KLEIN</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KLEIN</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LUCIANO, 2018</w:t>
      </w:r>
      <w:r w:rsidR="00A3535A">
        <w:rPr>
          <w:rFonts w:ascii="Times New Roman" w:hAnsi="Times New Roman"/>
          <w:color w:val="000000" w:themeColor="text1"/>
          <w:sz w:val="24"/>
          <w:szCs w:val="24"/>
        </w:rPr>
        <w:t>a</w:t>
      </w:r>
      <w:r w:rsidR="00A3535A" w:rsidRPr="00596D1F">
        <w:rPr>
          <w:rFonts w:ascii="Times New Roman" w:hAnsi="Times New Roman"/>
          <w:color w:val="000000" w:themeColor="text1"/>
          <w:sz w:val="24"/>
          <w:szCs w:val="24"/>
        </w:rPr>
        <w:t>;</w:t>
      </w:r>
      <w:r w:rsidR="00A3535A">
        <w:rPr>
          <w:rFonts w:ascii="Times New Roman" w:hAnsi="Times New Roman"/>
          <w:color w:val="000000" w:themeColor="text1"/>
          <w:sz w:val="24"/>
          <w:szCs w:val="24"/>
        </w:rPr>
        <w:t xml:space="preserve"> </w:t>
      </w:r>
      <w:r w:rsidR="00A3535A" w:rsidRPr="00596D1F">
        <w:rPr>
          <w:rFonts w:ascii="Times New Roman" w:hAnsi="Times New Roman"/>
          <w:color w:val="000000" w:themeColor="text1"/>
          <w:sz w:val="24"/>
          <w:szCs w:val="24"/>
        </w:rPr>
        <w:t>KLEIN</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KLEIN</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LUCIANO, 2018</w:t>
      </w:r>
      <w:r w:rsidR="00A3535A">
        <w:rPr>
          <w:rFonts w:ascii="Times New Roman" w:hAnsi="Times New Roman"/>
          <w:color w:val="000000" w:themeColor="text1"/>
          <w:sz w:val="24"/>
          <w:szCs w:val="24"/>
        </w:rPr>
        <w:t>b;</w:t>
      </w:r>
      <w:r w:rsidR="00A3535A" w:rsidRPr="00596D1F">
        <w:rPr>
          <w:rFonts w:ascii="Times New Roman" w:hAnsi="Times New Roman"/>
          <w:color w:val="000000" w:themeColor="text1"/>
          <w:sz w:val="24"/>
          <w:szCs w:val="24"/>
        </w:rPr>
        <w:t xml:space="preserve"> HOFFNER</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MARTINS</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LEHMAN, 2016; SOL</w:t>
      </w:r>
      <w:r w:rsidR="00A3535A">
        <w:rPr>
          <w:rFonts w:ascii="Times New Roman" w:hAnsi="Times New Roman"/>
          <w:color w:val="000000" w:themeColor="text1"/>
          <w:sz w:val="24"/>
          <w:szCs w:val="24"/>
        </w:rPr>
        <w:t>,</w:t>
      </w:r>
      <w:r w:rsidR="00A3535A" w:rsidRPr="00596D1F">
        <w:rPr>
          <w:rFonts w:ascii="Times New Roman" w:hAnsi="Times New Roman"/>
          <w:color w:val="000000" w:themeColor="text1"/>
          <w:sz w:val="24"/>
          <w:szCs w:val="24"/>
        </w:rPr>
        <w:t xml:space="preserve"> </w:t>
      </w:r>
      <w:r w:rsidR="00115CF1" w:rsidRPr="00596D1F">
        <w:rPr>
          <w:rFonts w:ascii="Times New Roman" w:hAnsi="Times New Roman"/>
          <w:color w:val="000000" w:themeColor="text1"/>
          <w:sz w:val="24"/>
          <w:szCs w:val="24"/>
        </w:rPr>
        <w:t>2013)</w:t>
      </w:r>
      <w:r w:rsidRPr="00596D1F">
        <w:rPr>
          <w:rFonts w:ascii="Times New Roman" w:hAnsi="Times New Roman"/>
          <w:color w:val="000000" w:themeColor="text1"/>
          <w:sz w:val="24"/>
          <w:szCs w:val="24"/>
        </w:rPr>
        <w:t xml:space="preserve">. </w:t>
      </w:r>
    </w:p>
    <w:p w14:paraId="29DA398C" w14:textId="77777777" w:rsidR="002455C3" w:rsidRPr="00596D1F" w:rsidRDefault="0079511A" w:rsidP="000B6B45">
      <w:pPr>
        <w:autoSpaceDE w:val="0"/>
        <w:autoSpaceDN w:val="0"/>
        <w:adjustRightInd w:val="0"/>
        <w:spacing w:after="0" w:line="240" w:lineRule="auto"/>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 </w:t>
      </w:r>
    </w:p>
    <w:p w14:paraId="33DE74F2" w14:textId="46E5A747" w:rsidR="004F1744" w:rsidRPr="00596D1F" w:rsidRDefault="00C46EDE" w:rsidP="005A2B69">
      <w:pPr>
        <w:pStyle w:val="Ttulo1"/>
        <w:spacing w:after="120"/>
        <w:ind w:left="431" w:hanging="431"/>
        <w:rPr>
          <w:color w:val="000000" w:themeColor="text1"/>
        </w:rPr>
      </w:pPr>
      <w:r>
        <w:rPr>
          <w:color w:val="000000" w:themeColor="text1"/>
        </w:rPr>
        <w:t>Proceder metodológico</w:t>
      </w:r>
    </w:p>
    <w:p w14:paraId="2563747C" w14:textId="06B62520" w:rsidR="0022025B" w:rsidRDefault="001D2345"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Esta investigação </w:t>
      </w:r>
      <w:r w:rsidR="00D72FE1" w:rsidRPr="00596D1F">
        <w:rPr>
          <w:rFonts w:ascii="Times New Roman" w:hAnsi="Times New Roman"/>
          <w:color w:val="000000" w:themeColor="text1"/>
          <w:sz w:val="24"/>
          <w:szCs w:val="24"/>
        </w:rPr>
        <w:t>é de natureza descritiva com</w:t>
      </w:r>
      <w:r w:rsidR="00927F22" w:rsidRPr="00596D1F">
        <w:rPr>
          <w:rFonts w:ascii="Times New Roman" w:hAnsi="Times New Roman"/>
          <w:color w:val="000000" w:themeColor="text1"/>
          <w:sz w:val="24"/>
          <w:szCs w:val="24"/>
        </w:rPr>
        <w:t xml:space="preserve"> a aplicação de</w:t>
      </w:r>
      <w:r w:rsidR="00D72FE1" w:rsidRPr="00596D1F">
        <w:rPr>
          <w:rFonts w:ascii="Times New Roman" w:hAnsi="Times New Roman"/>
          <w:color w:val="000000" w:themeColor="text1"/>
          <w:sz w:val="24"/>
          <w:szCs w:val="24"/>
        </w:rPr>
        <w:t xml:space="preserve"> métodos quantitativos para resolução do problema. </w:t>
      </w:r>
      <w:r w:rsidR="00CD7130" w:rsidRPr="00596D1F">
        <w:rPr>
          <w:rFonts w:ascii="Times New Roman" w:hAnsi="Times New Roman"/>
          <w:color w:val="000000" w:themeColor="text1"/>
          <w:sz w:val="24"/>
          <w:szCs w:val="24"/>
        </w:rPr>
        <w:t>Foram obtidos dados dos processos de gestão julgados pelo TCM-GO, do período de 200</w:t>
      </w:r>
      <w:r w:rsidR="00771CF1" w:rsidRPr="00596D1F">
        <w:rPr>
          <w:rFonts w:ascii="Times New Roman" w:hAnsi="Times New Roman"/>
          <w:color w:val="000000" w:themeColor="text1"/>
          <w:sz w:val="24"/>
          <w:szCs w:val="24"/>
        </w:rPr>
        <w:t>8</w:t>
      </w:r>
      <w:r w:rsidR="00CD7130" w:rsidRPr="00596D1F">
        <w:rPr>
          <w:rFonts w:ascii="Times New Roman" w:hAnsi="Times New Roman"/>
          <w:color w:val="000000" w:themeColor="text1"/>
          <w:sz w:val="24"/>
          <w:szCs w:val="24"/>
        </w:rPr>
        <w:t xml:space="preserve"> a 2016, por intermédio</w:t>
      </w:r>
      <w:r w:rsidR="00FB59BD" w:rsidRPr="00596D1F">
        <w:rPr>
          <w:rFonts w:ascii="Times New Roman" w:hAnsi="Times New Roman"/>
          <w:color w:val="000000" w:themeColor="text1"/>
          <w:sz w:val="24"/>
          <w:szCs w:val="24"/>
        </w:rPr>
        <w:t xml:space="preserve"> de ofício, tendo como justificativa</w:t>
      </w:r>
      <w:r w:rsidR="003D2C1F">
        <w:rPr>
          <w:rFonts w:ascii="Times New Roman" w:hAnsi="Times New Roman"/>
          <w:color w:val="000000" w:themeColor="text1"/>
          <w:sz w:val="24"/>
          <w:szCs w:val="24"/>
        </w:rPr>
        <w:t xml:space="preserve"> para obtê-los</w:t>
      </w:r>
      <w:r w:rsidR="00FB59BD" w:rsidRPr="00596D1F">
        <w:rPr>
          <w:rFonts w:ascii="Times New Roman" w:hAnsi="Times New Roman"/>
          <w:color w:val="000000" w:themeColor="text1"/>
          <w:sz w:val="24"/>
          <w:szCs w:val="24"/>
        </w:rPr>
        <w:t xml:space="preserve"> a própria lei da transparência</w:t>
      </w:r>
      <w:r w:rsidR="00CD7130" w:rsidRPr="00596D1F">
        <w:rPr>
          <w:rFonts w:ascii="Times New Roman" w:hAnsi="Times New Roman"/>
          <w:color w:val="000000" w:themeColor="text1"/>
          <w:sz w:val="24"/>
          <w:szCs w:val="24"/>
        </w:rPr>
        <w:t>. Desta</w:t>
      </w:r>
      <w:r w:rsidR="00325F0C">
        <w:rPr>
          <w:rFonts w:ascii="Times New Roman" w:hAnsi="Times New Roman"/>
          <w:color w:val="000000" w:themeColor="text1"/>
          <w:sz w:val="24"/>
          <w:szCs w:val="24"/>
        </w:rPr>
        <w:t>que</w:t>
      </w:r>
      <w:r w:rsidR="00CD7130" w:rsidRPr="00596D1F">
        <w:rPr>
          <w:rFonts w:ascii="Times New Roman" w:hAnsi="Times New Roman"/>
          <w:color w:val="000000" w:themeColor="text1"/>
          <w:sz w:val="24"/>
          <w:szCs w:val="24"/>
        </w:rPr>
        <w:t>-se que</w:t>
      </w:r>
      <w:r w:rsidR="00EB62A8" w:rsidRPr="00596D1F">
        <w:rPr>
          <w:rFonts w:ascii="Times New Roman" w:hAnsi="Times New Roman"/>
          <w:color w:val="000000" w:themeColor="text1"/>
          <w:sz w:val="24"/>
          <w:szCs w:val="24"/>
        </w:rPr>
        <w:t>,</w:t>
      </w:r>
      <w:r w:rsidR="00CD7130" w:rsidRPr="00596D1F">
        <w:rPr>
          <w:rFonts w:ascii="Times New Roman" w:hAnsi="Times New Roman"/>
          <w:color w:val="000000" w:themeColor="text1"/>
          <w:sz w:val="24"/>
          <w:szCs w:val="24"/>
        </w:rPr>
        <w:t xml:space="preserve"> </w:t>
      </w:r>
      <w:r w:rsidR="00FB59BD" w:rsidRPr="00596D1F">
        <w:rPr>
          <w:rFonts w:ascii="Times New Roman" w:hAnsi="Times New Roman"/>
          <w:color w:val="000000" w:themeColor="text1"/>
          <w:sz w:val="24"/>
          <w:szCs w:val="24"/>
        </w:rPr>
        <w:t>n</w:t>
      </w:r>
      <w:r w:rsidR="00CD7130" w:rsidRPr="00596D1F">
        <w:rPr>
          <w:rFonts w:ascii="Times New Roman" w:hAnsi="Times New Roman"/>
          <w:color w:val="000000" w:themeColor="text1"/>
          <w:sz w:val="24"/>
          <w:szCs w:val="24"/>
        </w:rPr>
        <w:t>a solicitação</w:t>
      </w:r>
      <w:r w:rsidR="00FB59BD" w:rsidRPr="00596D1F">
        <w:rPr>
          <w:rFonts w:ascii="Times New Roman" w:hAnsi="Times New Roman"/>
          <w:color w:val="000000" w:themeColor="text1"/>
          <w:sz w:val="24"/>
          <w:szCs w:val="24"/>
        </w:rPr>
        <w:t xml:space="preserve"> original e</w:t>
      </w:r>
      <w:r w:rsidR="00841BB9" w:rsidRPr="00596D1F">
        <w:rPr>
          <w:rFonts w:ascii="Times New Roman" w:hAnsi="Times New Roman"/>
          <w:color w:val="000000" w:themeColor="text1"/>
          <w:sz w:val="24"/>
          <w:szCs w:val="24"/>
        </w:rPr>
        <w:t xml:space="preserve"> nas</w:t>
      </w:r>
      <w:r w:rsidR="00FB59BD" w:rsidRPr="00596D1F">
        <w:rPr>
          <w:rFonts w:ascii="Times New Roman" w:hAnsi="Times New Roman"/>
          <w:color w:val="000000" w:themeColor="text1"/>
          <w:sz w:val="24"/>
          <w:szCs w:val="24"/>
        </w:rPr>
        <w:t xml:space="preserve"> reiteraç</w:t>
      </w:r>
      <w:r w:rsidR="0022025B" w:rsidRPr="00596D1F">
        <w:rPr>
          <w:rFonts w:ascii="Times New Roman" w:hAnsi="Times New Roman"/>
          <w:color w:val="000000" w:themeColor="text1"/>
          <w:sz w:val="24"/>
          <w:szCs w:val="24"/>
        </w:rPr>
        <w:t>ões</w:t>
      </w:r>
      <w:r w:rsidR="00FB59BD" w:rsidRPr="00596D1F">
        <w:rPr>
          <w:rFonts w:ascii="Times New Roman" w:hAnsi="Times New Roman"/>
          <w:color w:val="000000" w:themeColor="text1"/>
          <w:sz w:val="24"/>
          <w:szCs w:val="24"/>
        </w:rPr>
        <w:t>, foram pedidos dados dos processos também para os anos de</w:t>
      </w:r>
      <w:r w:rsidR="00CD7130" w:rsidRPr="00596D1F">
        <w:rPr>
          <w:rFonts w:ascii="Times New Roman" w:hAnsi="Times New Roman"/>
          <w:color w:val="000000" w:themeColor="text1"/>
          <w:sz w:val="24"/>
          <w:szCs w:val="24"/>
        </w:rPr>
        <w:t xml:space="preserve"> 2017 e 2018</w:t>
      </w:r>
      <w:r w:rsidR="0016162B">
        <w:rPr>
          <w:rFonts w:ascii="Times New Roman" w:hAnsi="Times New Roman"/>
          <w:color w:val="000000" w:themeColor="text1"/>
          <w:sz w:val="24"/>
          <w:szCs w:val="24"/>
        </w:rPr>
        <w:t>;</w:t>
      </w:r>
      <w:r w:rsidR="00CD7130" w:rsidRPr="00596D1F">
        <w:rPr>
          <w:rFonts w:ascii="Times New Roman" w:hAnsi="Times New Roman"/>
          <w:color w:val="000000" w:themeColor="text1"/>
          <w:sz w:val="24"/>
          <w:szCs w:val="24"/>
        </w:rPr>
        <w:t xml:space="preserve"> porém,</w:t>
      </w:r>
      <w:r w:rsidR="00FB59BD" w:rsidRPr="00596D1F">
        <w:rPr>
          <w:rFonts w:ascii="Times New Roman" w:hAnsi="Times New Roman"/>
          <w:color w:val="000000" w:themeColor="text1"/>
          <w:sz w:val="24"/>
          <w:szCs w:val="24"/>
        </w:rPr>
        <w:t xml:space="preserve"> </w:t>
      </w:r>
      <w:r w:rsidR="0022025B" w:rsidRPr="00596D1F">
        <w:rPr>
          <w:rFonts w:ascii="Times New Roman" w:hAnsi="Times New Roman"/>
          <w:color w:val="000000" w:themeColor="text1"/>
          <w:sz w:val="24"/>
          <w:szCs w:val="24"/>
        </w:rPr>
        <w:t>as informações solicitadas não foram fornecidas, com a alegação de que os dados ainda não tinham sido compilados</w:t>
      </w:r>
      <w:r w:rsidR="00841BB9" w:rsidRPr="00596D1F">
        <w:rPr>
          <w:rFonts w:ascii="Times New Roman" w:hAnsi="Times New Roman"/>
          <w:color w:val="000000" w:themeColor="text1"/>
          <w:sz w:val="24"/>
          <w:szCs w:val="24"/>
        </w:rPr>
        <w:t xml:space="preserve"> e ordenados</w:t>
      </w:r>
      <w:r w:rsidR="0022025B" w:rsidRPr="00596D1F">
        <w:rPr>
          <w:rFonts w:ascii="Times New Roman" w:hAnsi="Times New Roman"/>
          <w:color w:val="000000" w:themeColor="text1"/>
          <w:sz w:val="24"/>
          <w:szCs w:val="24"/>
        </w:rPr>
        <w:t xml:space="preserve"> pelo </w:t>
      </w:r>
      <w:r w:rsidR="00325F0C">
        <w:rPr>
          <w:rFonts w:ascii="Times New Roman" w:hAnsi="Times New Roman"/>
          <w:color w:val="000000" w:themeColor="text1"/>
          <w:sz w:val="24"/>
          <w:szCs w:val="24"/>
        </w:rPr>
        <w:t>t</w:t>
      </w:r>
      <w:r w:rsidR="0022025B" w:rsidRPr="00596D1F">
        <w:rPr>
          <w:rFonts w:ascii="Times New Roman" w:hAnsi="Times New Roman"/>
          <w:color w:val="000000" w:themeColor="text1"/>
          <w:sz w:val="24"/>
          <w:szCs w:val="24"/>
        </w:rPr>
        <w:t>ribunal.</w:t>
      </w:r>
    </w:p>
    <w:p w14:paraId="4D22B6CF" w14:textId="74027766" w:rsidR="003D2C1F" w:rsidRDefault="003D2C1F" w:rsidP="003D2C1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Ressalt</w:t>
      </w:r>
      <w:r w:rsidR="00325F0C">
        <w:rPr>
          <w:rFonts w:ascii="Times New Roman" w:hAnsi="Times New Roman"/>
          <w:sz w:val="24"/>
          <w:szCs w:val="24"/>
        </w:rPr>
        <w:t>e</w:t>
      </w:r>
      <w:r>
        <w:rPr>
          <w:rFonts w:ascii="Times New Roman" w:hAnsi="Times New Roman"/>
          <w:sz w:val="24"/>
          <w:szCs w:val="24"/>
        </w:rPr>
        <w:t>-se que</w:t>
      </w:r>
      <w:r w:rsidR="00325F0C">
        <w:rPr>
          <w:rFonts w:ascii="Times New Roman" w:hAnsi="Times New Roman"/>
          <w:sz w:val="24"/>
          <w:szCs w:val="24"/>
        </w:rPr>
        <w:t>,</w:t>
      </w:r>
      <w:r>
        <w:rPr>
          <w:rFonts w:ascii="Times New Roman" w:hAnsi="Times New Roman"/>
          <w:sz w:val="24"/>
          <w:szCs w:val="24"/>
        </w:rPr>
        <w:t xml:space="preserve"> uma característica dos tribunais de contas (TC) é a possibilidade de</w:t>
      </w:r>
      <w:r w:rsidR="00325F0C">
        <w:rPr>
          <w:rFonts w:ascii="Times New Roman" w:hAnsi="Times New Roman"/>
          <w:sz w:val="24"/>
          <w:szCs w:val="24"/>
        </w:rPr>
        <w:t xml:space="preserve"> e</w:t>
      </w:r>
      <w:r>
        <w:rPr>
          <w:rFonts w:ascii="Times New Roman" w:hAnsi="Times New Roman"/>
          <w:sz w:val="24"/>
          <w:szCs w:val="24"/>
        </w:rPr>
        <w:t>les aplicarem pena de multa e de advertência ao administrador financeiro, além de poder determinar a reposição do dinheiro ao erário. (</w:t>
      </w:r>
      <w:r w:rsidR="00A3535A">
        <w:rPr>
          <w:rFonts w:ascii="Times New Roman" w:hAnsi="Times New Roman"/>
          <w:sz w:val="24"/>
          <w:szCs w:val="24"/>
        </w:rPr>
        <w:t>FAGUNDES</w:t>
      </w:r>
      <w:r>
        <w:rPr>
          <w:rFonts w:ascii="Times New Roman" w:hAnsi="Times New Roman"/>
          <w:sz w:val="24"/>
          <w:szCs w:val="24"/>
        </w:rPr>
        <w:t xml:space="preserve">, 2012). Esta pesquisadora elenca os três tipos de contas analisadas pelos TC no contexto municipal: a) as contas de governo, relativas aos atos de governo, examinadas quando o TC, anualmente, aprecia as contas do </w:t>
      </w:r>
      <w:r w:rsidR="00325F0C">
        <w:rPr>
          <w:rFonts w:ascii="Times New Roman" w:hAnsi="Times New Roman"/>
          <w:sz w:val="24"/>
          <w:szCs w:val="24"/>
        </w:rPr>
        <w:t>p</w:t>
      </w:r>
      <w:r>
        <w:rPr>
          <w:rFonts w:ascii="Times New Roman" w:hAnsi="Times New Roman"/>
          <w:sz w:val="24"/>
          <w:szCs w:val="24"/>
        </w:rPr>
        <w:t xml:space="preserve">refeito, </w:t>
      </w:r>
      <w:r w:rsidR="0016162B">
        <w:rPr>
          <w:rFonts w:ascii="Times New Roman" w:hAnsi="Times New Roman"/>
          <w:sz w:val="24"/>
          <w:szCs w:val="24"/>
        </w:rPr>
        <w:t>ao elaborar</w:t>
      </w:r>
      <w:r>
        <w:rPr>
          <w:rFonts w:ascii="Times New Roman" w:hAnsi="Times New Roman"/>
          <w:sz w:val="24"/>
          <w:szCs w:val="24"/>
        </w:rPr>
        <w:t xml:space="preserve"> parecer prévio, que é submetido a julgamento político na Câmara Municipal; b) atos de gestão, competindo ao TC realizar o julgamento das contas de administradores e demais responsáveis pelo dinheiro público; e c) prestação de contas especiais, instaurada quando há suspeita de existência de desfalques, desvios de dinheiro, de valores ou de bens públicos, ou da prática de ato antieconômico que resulte</w:t>
      </w:r>
      <w:r w:rsidR="00325F0C">
        <w:rPr>
          <w:rFonts w:ascii="Times New Roman" w:hAnsi="Times New Roman"/>
          <w:sz w:val="24"/>
          <w:szCs w:val="24"/>
        </w:rPr>
        <w:t>m</w:t>
      </w:r>
      <w:r>
        <w:rPr>
          <w:rFonts w:ascii="Times New Roman" w:hAnsi="Times New Roman"/>
          <w:sz w:val="24"/>
          <w:szCs w:val="24"/>
        </w:rPr>
        <w:t xml:space="preserve"> dano</w:t>
      </w:r>
      <w:r w:rsidR="00325F0C">
        <w:rPr>
          <w:rFonts w:ascii="Times New Roman" w:hAnsi="Times New Roman"/>
          <w:sz w:val="24"/>
          <w:szCs w:val="24"/>
        </w:rPr>
        <w:t>s</w:t>
      </w:r>
      <w:r>
        <w:rPr>
          <w:rFonts w:ascii="Times New Roman" w:hAnsi="Times New Roman"/>
          <w:sz w:val="24"/>
          <w:szCs w:val="24"/>
        </w:rPr>
        <w:t xml:space="preserve"> ao erário.</w:t>
      </w:r>
    </w:p>
    <w:p w14:paraId="44943DB4" w14:textId="3BBAA528" w:rsidR="00771CF1" w:rsidRPr="00596D1F" w:rsidRDefault="0016162B"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De retorno</w:t>
      </w:r>
      <w:r w:rsidR="00183364">
        <w:rPr>
          <w:rFonts w:ascii="Times New Roman" w:hAnsi="Times New Roman"/>
          <w:color w:val="000000" w:themeColor="text1"/>
          <w:sz w:val="24"/>
          <w:szCs w:val="24"/>
        </w:rPr>
        <w:t xml:space="preserve"> aos dados, o </w:t>
      </w:r>
      <w:r w:rsidR="00220750" w:rsidRPr="00596D1F">
        <w:rPr>
          <w:rFonts w:ascii="Times New Roman" w:hAnsi="Times New Roman"/>
          <w:color w:val="000000" w:themeColor="text1"/>
          <w:sz w:val="24"/>
          <w:szCs w:val="24"/>
        </w:rPr>
        <w:t>relatório disponibilizado continha</w:t>
      </w:r>
      <w:r w:rsidR="007B678A" w:rsidRPr="00596D1F">
        <w:rPr>
          <w:rFonts w:ascii="Times New Roman" w:hAnsi="Times New Roman"/>
          <w:color w:val="000000" w:themeColor="text1"/>
          <w:sz w:val="24"/>
          <w:szCs w:val="24"/>
        </w:rPr>
        <w:t xml:space="preserve"> </w:t>
      </w:r>
      <w:r w:rsidR="00841BB9" w:rsidRPr="00596D1F">
        <w:rPr>
          <w:rFonts w:ascii="Times New Roman" w:hAnsi="Times New Roman"/>
          <w:color w:val="000000" w:themeColor="text1"/>
          <w:sz w:val="24"/>
          <w:szCs w:val="24"/>
        </w:rPr>
        <w:t xml:space="preserve">registros </w:t>
      </w:r>
      <w:r w:rsidR="007B678A" w:rsidRPr="00596D1F">
        <w:rPr>
          <w:rFonts w:ascii="Times New Roman" w:hAnsi="Times New Roman"/>
          <w:color w:val="000000" w:themeColor="text1"/>
          <w:sz w:val="24"/>
          <w:szCs w:val="24"/>
        </w:rPr>
        <w:t>de</w:t>
      </w:r>
      <w:r w:rsidR="00220750" w:rsidRPr="00596D1F">
        <w:rPr>
          <w:rFonts w:ascii="Times New Roman" w:hAnsi="Times New Roman"/>
          <w:color w:val="000000" w:themeColor="text1"/>
          <w:sz w:val="24"/>
          <w:szCs w:val="24"/>
        </w:rPr>
        <w:t xml:space="preserve"> </w:t>
      </w:r>
      <w:r w:rsidR="00771CF1" w:rsidRPr="00596D1F">
        <w:rPr>
          <w:rFonts w:ascii="Times New Roman" w:hAnsi="Times New Roman"/>
          <w:color w:val="000000" w:themeColor="text1"/>
          <w:sz w:val="24"/>
          <w:szCs w:val="24"/>
        </w:rPr>
        <w:t xml:space="preserve">66.642 processos. Destes, foram excluídos 8.641 por </w:t>
      </w:r>
      <w:r w:rsidR="007B678A" w:rsidRPr="00596D1F">
        <w:rPr>
          <w:rFonts w:ascii="Times New Roman" w:hAnsi="Times New Roman"/>
          <w:color w:val="000000" w:themeColor="text1"/>
          <w:sz w:val="24"/>
          <w:szCs w:val="24"/>
        </w:rPr>
        <w:t>não conterem informações</w:t>
      </w:r>
      <w:r w:rsidR="00EB62A8" w:rsidRPr="00596D1F">
        <w:rPr>
          <w:rFonts w:ascii="Times New Roman" w:hAnsi="Times New Roman"/>
          <w:color w:val="000000" w:themeColor="text1"/>
          <w:sz w:val="24"/>
          <w:szCs w:val="24"/>
        </w:rPr>
        <w:t xml:space="preserve"> completas</w:t>
      </w:r>
      <w:r w:rsidR="007B678A" w:rsidRPr="00596D1F">
        <w:rPr>
          <w:rFonts w:ascii="Times New Roman" w:hAnsi="Times New Roman"/>
          <w:color w:val="000000" w:themeColor="text1"/>
          <w:sz w:val="24"/>
          <w:szCs w:val="24"/>
        </w:rPr>
        <w:t xml:space="preserve"> dos</w:t>
      </w:r>
      <w:r w:rsidR="00771CF1" w:rsidRPr="00596D1F">
        <w:rPr>
          <w:rFonts w:ascii="Times New Roman" w:hAnsi="Times New Roman"/>
          <w:color w:val="000000" w:themeColor="text1"/>
          <w:sz w:val="24"/>
          <w:szCs w:val="24"/>
        </w:rPr>
        <w:t xml:space="preserve"> valores de débito e multa, valores nulos</w:t>
      </w:r>
      <w:r w:rsidR="00325F0C">
        <w:rPr>
          <w:rFonts w:ascii="Times New Roman" w:hAnsi="Times New Roman"/>
          <w:color w:val="000000" w:themeColor="text1"/>
          <w:sz w:val="24"/>
          <w:szCs w:val="24"/>
        </w:rPr>
        <w:t>,</w:t>
      </w:r>
      <w:r w:rsidR="00771CF1" w:rsidRPr="00596D1F">
        <w:rPr>
          <w:rFonts w:ascii="Times New Roman" w:hAnsi="Times New Roman"/>
          <w:color w:val="000000" w:themeColor="text1"/>
          <w:sz w:val="24"/>
          <w:szCs w:val="24"/>
        </w:rPr>
        <w:t xml:space="preserve"> e</w:t>
      </w:r>
      <w:r w:rsidR="00DB3459" w:rsidRPr="00596D1F">
        <w:rPr>
          <w:rFonts w:ascii="Times New Roman" w:hAnsi="Times New Roman"/>
          <w:color w:val="000000" w:themeColor="text1"/>
          <w:sz w:val="24"/>
          <w:szCs w:val="24"/>
        </w:rPr>
        <w:t>, também,</w:t>
      </w:r>
      <w:r w:rsidR="00771CF1" w:rsidRPr="00596D1F">
        <w:rPr>
          <w:rFonts w:ascii="Times New Roman" w:hAnsi="Times New Roman"/>
          <w:color w:val="000000" w:themeColor="text1"/>
          <w:sz w:val="24"/>
          <w:szCs w:val="24"/>
        </w:rPr>
        <w:t xml:space="preserve"> em função da delimitação temporal do estudo</w:t>
      </w:r>
      <w:r w:rsidR="00DB3459" w:rsidRPr="00596D1F">
        <w:rPr>
          <w:rFonts w:ascii="Times New Roman" w:hAnsi="Times New Roman"/>
          <w:color w:val="000000" w:themeColor="text1"/>
          <w:sz w:val="24"/>
          <w:szCs w:val="24"/>
        </w:rPr>
        <w:t>.</w:t>
      </w:r>
      <w:r w:rsidR="00771CF1" w:rsidRPr="00596D1F">
        <w:rPr>
          <w:rFonts w:ascii="Times New Roman" w:hAnsi="Times New Roman"/>
          <w:color w:val="000000" w:themeColor="text1"/>
          <w:sz w:val="24"/>
          <w:szCs w:val="24"/>
        </w:rPr>
        <w:t xml:space="preserve"> Logo, </w:t>
      </w:r>
      <w:r w:rsidR="00EB62A8" w:rsidRPr="00596D1F">
        <w:rPr>
          <w:rFonts w:ascii="Times New Roman" w:hAnsi="Times New Roman"/>
          <w:color w:val="000000" w:themeColor="text1"/>
          <w:sz w:val="24"/>
          <w:szCs w:val="24"/>
        </w:rPr>
        <w:t xml:space="preserve">a </w:t>
      </w:r>
      <w:r w:rsidR="00771CF1" w:rsidRPr="00596D1F">
        <w:rPr>
          <w:rFonts w:ascii="Times New Roman" w:hAnsi="Times New Roman"/>
          <w:color w:val="000000" w:themeColor="text1"/>
          <w:sz w:val="24"/>
          <w:szCs w:val="24"/>
        </w:rPr>
        <w:t xml:space="preserve">amostra </w:t>
      </w:r>
      <w:r w:rsidR="00EB62A8" w:rsidRPr="00596D1F">
        <w:rPr>
          <w:rFonts w:ascii="Times New Roman" w:hAnsi="Times New Roman"/>
          <w:color w:val="000000" w:themeColor="text1"/>
          <w:sz w:val="24"/>
          <w:szCs w:val="24"/>
        </w:rPr>
        <w:t>foi composta de</w:t>
      </w:r>
      <w:r w:rsidR="00771CF1" w:rsidRPr="00596D1F">
        <w:rPr>
          <w:rFonts w:ascii="Times New Roman" w:hAnsi="Times New Roman"/>
          <w:color w:val="000000" w:themeColor="text1"/>
          <w:sz w:val="24"/>
          <w:szCs w:val="24"/>
        </w:rPr>
        <w:t xml:space="preserve"> </w:t>
      </w:r>
      <w:r w:rsidR="00FB59BD" w:rsidRPr="00596D1F">
        <w:rPr>
          <w:rFonts w:ascii="Times New Roman" w:hAnsi="Times New Roman"/>
          <w:color w:val="000000" w:themeColor="text1"/>
          <w:sz w:val="24"/>
          <w:szCs w:val="24"/>
        </w:rPr>
        <w:t>58.001 processos julgados com imputação de débitos ou aplicação de multas aos gestores dos recursos públicos pelos seus atos de gestão</w:t>
      </w:r>
      <w:r w:rsidR="005360BD" w:rsidRPr="00596D1F">
        <w:rPr>
          <w:rFonts w:ascii="Times New Roman" w:hAnsi="Times New Roman"/>
          <w:color w:val="000000" w:themeColor="text1"/>
          <w:sz w:val="24"/>
          <w:szCs w:val="24"/>
        </w:rPr>
        <w:t>, durante o período de janeiro de 2009 a dezembro de 2016</w:t>
      </w:r>
      <w:r w:rsidR="00FB59BD" w:rsidRPr="00596D1F">
        <w:rPr>
          <w:rFonts w:ascii="Times New Roman" w:hAnsi="Times New Roman"/>
          <w:color w:val="000000" w:themeColor="text1"/>
          <w:sz w:val="24"/>
          <w:szCs w:val="24"/>
        </w:rPr>
        <w:t>.</w:t>
      </w:r>
      <w:r w:rsidR="00220750" w:rsidRPr="00596D1F">
        <w:rPr>
          <w:rFonts w:ascii="Times New Roman" w:hAnsi="Times New Roman"/>
          <w:color w:val="000000" w:themeColor="text1"/>
          <w:sz w:val="24"/>
          <w:szCs w:val="24"/>
        </w:rPr>
        <w:t xml:space="preserve"> </w:t>
      </w:r>
      <w:r w:rsidR="00183364">
        <w:rPr>
          <w:rFonts w:ascii="Times New Roman" w:hAnsi="Times New Roman"/>
          <w:color w:val="000000" w:themeColor="text1"/>
          <w:sz w:val="24"/>
          <w:szCs w:val="24"/>
        </w:rPr>
        <w:t>Optou-se, pelo exposto, por analisar os atos de gestão porque t</w:t>
      </w:r>
      <w:r>
        <w:rPr>
          <w:rFonts w:ascii="Times New Roman" w:hAnsi="Times New Roman"/>
          <w:color w:val="000000" w:themeColor="text1"/>
          <w:sz w:val="24"/>
          <w:szCs w:val="24"/>
        </w:rPr>
        <w:t>ê</w:t>
      </w:r>
      <w:r w:rsidR="00183364">
        <w:rPr>
          <w:rFonts w:ascii="Times New Roman" w:hAnsi="Times New Roman"/>
          <w:color w:val="000000" w:themeColor="text1"/>
          <w:sz w:val="24"/>
          <w:szCs w:val="24"/>
        </w:rPr>
        <w:t>m mais processos e</w:t>
      </w:r>
      <w:r w:rsidR="00325F0C">
        <w:rPr>
          <w:rFonts w:ascii="Times New Roman" w:hAnsi="Times New Roman"/>
          <w:color w:val="000000" w:themeColor="text1"/>
          <w:sz w:val="24"/>
          <w:szCs w:val="24"/>
        </w:rPr>
        <w:t>,</w:t>
      </w:r>
      <w:r w:rsidR="00183364">
        <w:rPr>
          <w:rFonts w:ascii="Times New Roman" w:hAnsi="Times New Roman"/>
          <w:color w:val="000000" w:themeColor="text1"/>
          <w:sz w:val="24"/>
          <w:szCs w:val="24"/>
        </w:rPr>
        <w:t xml:space="preserve"> também</w:t>
      </w:r>
      <w:r w:rsidR="00325F0C">
        <w:rPr>
          <w:rFonts w:ascii="Times New Roman" w:hAnsi="Times New Roman"/>
          <w:color w:val="000000" w:themeColor="text1"/>
          <w:sz w:val="24"/>
          <w:szCs w:val="24"/>
        </w:rPr>
        <w:t>,</w:t>
      </w:r>
      <w:r w:rsidR="00183364">
        <w:rPr>
          <w:rFonts w:ascii="Times New Roman" w:hAnsi="Times New Roman"/>
          <w:color w:val="000000" w:themeColor="text1"/>
          <w:sz w:val="24"/>
          <w:szCs w:val="24"/>
        </w:rPr>
        <w:t xml:space="preserve"> por não terem sido localizados estudos sobre </w:t>
      </w:r>
      <w:r w:rsidR="00325F0C">
        <w:rPr>
          <w:rFonts w:ascii="Times New Roman" w:hAnsi="Times New Roman"/>
          <w:color w:val="000000" w:themeColor="text1"/>
          <w:sz w:val="24"/>
          <w:szCs w:val="24"/>
        </w:rPr>
        <w:t>os mesmos</w:t>
      </w:r>
      <w:r w:rsidR="00183364">
        <w:rPr>
          <w:rFonts w:ascii="Times New Roman" w:hAnsi="Times New Roman"/>
          <w:color w:val="000000" w:themeColor="text1"/>
          <w:sz w:val="24"/>
          <w:szCs w:val="24"/>
        </w:rPr>
        <w:t>.</w:t>
      </w:r>
    </w:p>
    <w:p w14:paraId="589000A9" w14:textId="62AD3386" w:rsidR="007B678A" w:rsidRPr="00596D1F" w:rsidRDefault="00771CF1"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Os dados dos processos foram organizados em planilha como </w:t>
      </w:r>
      <w:r w:rsidR="003D2578" w:rsidRPr="00596D1F">
        <w:rPr>
          <w:rFonts w:ascii="Times New Roman" w:hAnsi="Times New Roman"/>
          <w:color w:val="000000" w:themeColor="text1"/>
          <w:sz w:val="24"/>
          <w:szCs w:val="24"/>
        </w:rPr>
        <w:t>um corte transversal</w:t>
      </w:r>
      <w:r w:rsidR="005360BD" w:rsidRPr="00596D1F">
        <w:rPr>
          <w:rFonts w:ascii="Times New Roman" w:hAnsi="Times New Roman"/>
          <w:i/>
          <w:color w:val="000000" w:themeColor="text1"/>
          <w:sz w:val="24"/>
          <w:szCs w:val="24"/>
        </w:rPr>
        <w:t xml:space="preserve"> </w:t>
      </w:r>
      <w:r w:rsidR="005360BD" w:rsidRPr="00596D1F">
        <w:rPr>
          <w:rFonts w:ascii="Times New Roman" w:hAnsi="Times New Roman"/>
          <w:color w:val="000000" w:themeColor="text1"/>
          <w:sz w:val="24"/>
          <w:szCs w:val="24"/>
        </w:rPr>
        <w:t>agrupad</w:t>
      </w:r>
      <w:r w:rsidR="003D2578" w:rsidRPr="00596D1F">
        <w:rPr>
          <w:rFonts w:ascii="Times New Roman" w:hAnsi="Times New Roman"/>
          <w:color w:val="000000" w:themeColor="text1"/>
          <w:sz w:val="24"/>
          <w:szCs w:val="24"/>
        </w:rPr>
        <w:t>o</w:t>
      </w:r>
      <w:r w:rsidR="00DB3459" w:rsidRPr="00596D1F">
        <w:rPr>
          <w:rFonts w:ascii="Times New Roman" w:hAnsi="Times New Roman"/>
          <w:color w:val="000000" w:themeColor="text1"/>
          <w:sz w:val="24"/>
          <w:szCs w:val="24"/>
        </w:rPr>
        <w:t>, por combinar</w:t>
      </w:r>
      <w:r w:rsidR="005360BD" w:rsidRPr="00596D1F">
        <w:rPr>
          <w:rFonts w:ascii="Times New Roman" w:hAnsi="Times New Roman"/>
          <w:color w:val="000000" w:themeColor="text1"/>
          <w:sz w:val="24"/>
          <w:szCs w:val="24"/>
        </w:rPr>
        <w:t xml:space="preserve"> características</w:t>
      </w:r>
      <w:r w:rsidR="0016162B">
        <w:rPr>
          <w:rFonts w:ascii="Times New Roman" w:hAnsi="Times New Roman"/>
          <w:color w:val="000000" w:themeColor="text1"/>
          <w:sz w:val="24"/>
          <w:szCs w:val="24"/>
        </w:rPr>
        <w:t>,</w:t>
      </w:r>
      <w:r w:rsidR="005360BD" w:rsidRPr="00596D1F">
        <w:rPr>
          <w:rFonts w:ascii="Times New Roman" w:hAnsi="Times New Roman"/>
          <w:color w:val="000000" w:themeColor="text1"/>
          <w:sz w:val="24"/>
          <w:szCs w:val="24"/>
        </w:rPr>
        <w:t xml:space="preserve"> </w:t>
      </w:r>
      <w:r w:rsidR="00DB3459" w:rsidRPr="00596D1F">
        <w:rPr>
          <w:rFonts w:ascii="Times New Roman" w:hAnsi="Times New Roman"/>
          <w:color w:val="000000" w:themeColor="text1"/>
          <w:sz w:val="24"/>
          <w:szCs w:val="24"/>
        </w:rPr>
        <w:t xml:space="preserve">tanto </w:t>
      </w:r>
      <w:r w:rsidR="005360BD" w:rsidRPr="00596D1F">
        <w:rPr>
          <w:rFonts w:ascii="Times New Roman" w:hAnsi="Times New Roman"/>
          <w:color w:val="000000" w:themeColor="text1"/>
          <w:sz w:val="24"/>
          <w:szCs w:val="24"/>
        </w:rPr>
        <w:t>de dados de corte transversal como de série temporal, isto é, períodos de tempo diferente</w:t>
      </w:r>
      <w:r w:rsidR="00FD3745" w:rsidRPr="00596D1F">
        <w:rPr>
          <w:rFonts w:ascii="Times New Roman" w:hAnsi="Times New Roman"/>
          <w:color w:val="000000" w:themeColor="text1"/>
          <w:sz w:val="24"/>
          <w:szCs w:val="24"/>
        </w:rPr>
        <w:t>s</w:t>
      </w:r>
      <w:r w:rsidR="005360BD" w:rsidRPr="00596D1F">
        <w:rPr>
          <w:rFonts w:ascii="Times New Roman" w:hAnsi="Times New Roman"/>
          <w:color w:val="000000" w:themeColor="text1"/>
          <w:sz w:val="24"/>
          <w:szCs w:val="24"/>
        </w:rPr>
        <w:t xml:space="preserve"> e indivíduos que não se </w:t>
      </w:r>
      <w:r w:rsidR="00C0165F" w:rsidRPr="00596D1F">
        <w:rPr>
          <w:rFonts w:ascii="Times New Roman" w:hAnsi="Times New Roman"/>
          <w:color w:val="000000" w:themeColor="text1"/>
          <w:sz w:val="24"/>
          <w:szCs w:val="24"/>
        </w:rPr>
        <w:t>repetiam</w:t>
      </w:r>
      <w:r w:rsidR="005360BD" w:rsidRPr="00596D1F">
        <w:rPr>
          <w:rFonts w:ascii="Times New Roman" w:hAnsi="Times New Roman"/>
          <w:color w:val="000000" w:themeColor="text1"/>
          <w:sz w:val="24"/>
          <w:szCs w:val="24"/>
        </w:rPr>
        <w:t xml:space="preserve"> ao longo do tempo (</w:t>
      </w:r>
      <w:r w:rsidR="00A3535A" w:rsidRPr="00596D1F">
        <w:rPr>
          <w:rFonts w:ascii="Times New Roman" w:hAnsi="Times New Roman"/>
          <w:color w:val="000000" w:themeColor="text1"/>
          <w:sz w:val="24"/>
          <w:szCs w:val="24"/>
        </w:rPr>
        <w:t>WOOLDRIDGE, 2</w:t>
      </w:r>
      <w:r w:rsidR="005360BD" w:rsidRPr="00596D1F">
        <w:rPr>
          <w:rFonts w:ascii="Times New Roman" w:hAnsi="Times New Roman"/>
          <w:color w:val="000000" w:themeColor="text1"/>
          <w:sz w:val="24"/>
          <w:szCs w:val="24"/>
        </w:rPr>
        <w:t xml:space="preserve">010). </w:t>
      </w:r>
      <w:r w:rsidR="003A42A1">
        <w:rPr>
          <w:rFonts w:ascii="Times New Roman" w:hAnsi="Times New Roman"/>
          <w:color w:val="000000" w:themeColor="text1"/>
          <w:sz w:val="24"/>
          <w:szCs w:val="24"/>
        </w:rPr>
        <w:t>Ao considerar</w:t>
      </w:r>
      <w:r w:rsidR="003A42A1" w:rsidRPr="00596D1F">
        <w:rPr>
          <w:rFonts w:ascii="Times New Roman" w:hAnsi="Times New Roman"/>
          <w:color w:val="000000" w:themeColor="text1"/>
          <w:sz w:val="24"/>
          <w:szCs w:val="24"/>
        </w:rPr>
        <w:t xml:space="preserve"> </w:t>
      </w:r>
      <w:r w:rsidR="003D2578" w:rsidRPr="00596D1F">
        <w:rPr>
          <w:rFonts w:ascii="Times New Roman" w:hAnsi="Times New Roman"/>
          <w:color w:val="000000" w:themeColor="text1"/>
          <w:sz w:val="24"/>
          <w:szCs w:val="24"/>
        </w:rPr>
        <w:t>que os processos julgados com imputação de débito e multa ocorrem em um dado</w:t>
      </w:r>
      <w:r w:rsidR="00DB3459" w:rsidRPr="00596D1F">
        <w:rPr>
          <w:rFonts w:ascii="Times New Roman" w:hAnsi="Times New Roman"/>
          <w:color w:val="000000" w:themeColor="text1"/>
          <w:sz w:val="24"/>
          <w:szCs w:val="24"/>
        </w:rPr>
        <w:t xml:space="preserve"> ano e não possuem </w:t>
      </w:r>
      <w:r w:rsidR="003D2578" w:rsidRPr="00596D1F">
        <w:rPr>
          <w:rFonts w:ascii="Times New Roman" w:hAnsi="Times New Roman"/>
          <w:color w:val="000000" w:themeColor="text1"/>
          <w:sz w:val="24"/>
          <w:szCs w:val="24"/>
        </w:rPr>
        <w:t xml:space="preserve">continuidade temporal, isto é, abre-se o processo e encerra-se com a finalização dos trâmites necessários, a caracterização dos dados como um corte transversal agrupado é a mais </w:t>
      </w:r>
      <w:r w:rsidR="00DB3459" w:rsidRPr="00596D1F">
        <w:rPr>
          <w:rFonts w:ascii="Times New Roman" w:hAnsi="Times New Roman"/>
          <w:color w:val="000000" w:themeColor="text1"/>
          <w:sz w:val="24"/>
          <w:szCs w:val="24"/>
        </w:rPr>
        <w:t>apropriada</w:t>
      </w:r>
      <w:r w:rsidR="003D2578" w:rsidRPr="00596D1F">
        <w:rPr>
          <w:rFonts w:ascii="Times New Roman" w:hAnsi="Times New Roman"/>
          <w:color w:val="000000" w:themeColor="text1"/>
          <w:sz w:val="24"/>
          <w:szCs w:val="24"/>
        </w:rPr>
        <w:t xml:space="preserve">. </w:t>
      </w:r>
      <w:r w:rsidR="00220750" w:rsidRPr="00596D1F">
        <w:rPr>
          <w:rFonts w:ascii="Times New Roman" w:hAnsi="Times New Roman"/>
          <w:color w:val="000000" w:themeColor="text1"/>
          <w:sz w:val="24"/>
          <w:szCs w:val="24"/>
        </w:rPr>
        <w:t>Para análise desses processos</w:t>
      </w:r>
      <w:r w:rsidR="00AF56DC" w:rsidRPr="00596D1F">
        <w:rPr>
          <w:rFonts w:ascii="Times New Roman" w:hAnsi="Times New Roman"/>
          <w:color w:val="000000" w:themeColor="text1"/>
          <w:sz w:val="24"/>
          <w:szCs w:val="24"/>
        </w:rPr>
        <w:t>,</w:t>
      </w:r>
      <w:r w:rsidR="00220750" w:rsidRPr="00596D1F">
        <w:rPr>
          <w:rFonts w:ascii="Times New Roman" w:hAnsi="Times New Roman"/>
          <w:color w:val="000000" w:themeColor="text1"/>
          <w:sz w:val="24"/>
          <w:szCs w:val="24"/>
        </w:rPr>
        <w:t xml:space="preserve"> </w:t>
      </w:r>
      <w:r w:rsidR="00EB62A8" w:rsidRPr="00596D1F">
        <w:rPr>
          <w:rFonts w:ascii="Times New Roman" w:hAnsi="Times New Roman"/>
          <w:color w:val="000000" w:themeColor="text1"/>
          <w:sz w:val="24"/>
          <w:szCs w:val="24"/>
        </w:rPr>
        <w:t xml:space="preserve">adotaram-se </w:t>
      </w:r>
      <w:r w:rsidR="00220750" w:rsidRPr="00596D1F">
        <w:rPr>
          <w:rFonts w:ascii="Times New Roman" w:hAnsi="Times New Roman"/>
          <w:color w:val="000000" w:themeColor="text1"/>
          <w:sz w:val="24"/>
          <w:szCs w:val="24"/>
        </w:rPr>
        <w:t xml:space="preserve">técnicas de estatística descritiva, testes de média e modelagem econométrica, detalhadas nos parágrafos seguintes. </w:t>
      </w:r>
    </w:p>
    <w:p w14:paraId="2E40B5A0" w14:textId="299E89C0" w:rsidR="0015232E" w:rsidRPr="00596D1F" w:rsidRDefault="007B678A"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Na primeira</w:t>
      </w:r>
      <w:r w:rsidR="00BA7D4F" w:rsidRPr="00596D1F">
        <w:rPr>
          <w:rFonts w:ascii="Times New Roman" w:hAnsi="Times New Roman"/>
          <w:color w:val="000000" w:themeColor="text1"/>
          <w:sz w:val="24"/>
          <w:szCs w:val="24"/>
        </w:rPr>
        <w:t xml:space="preserve"> parte</w:t>
      </w:r>
      <w:r w:rsidR="004D0D2A" w:rsidRPr="00596D1F">
        <w:rPr>
          <w:rFonts w:ascii="Times New Roman" w:hAnsi="Times New Roman"/>
          <w:color w:val="000000" w:themeColor="text1"/>
          <w:sz w:val="24"/>
          <w:szCs w:val="24"/>
        </w:rPr>
        <w:t>,</w:t>
      </w:r>
      <w:r w:rsidR="00BA7D4F" w:rsidRPr="00596D1F">
        <w:rPr>
          <w:rFonts w:ascii="Times New Roman" w:hAnsi="Times New Roman"/>
          <w:color w:val="000000" w:themeColor="text1"/>
          <w:sz w:val="24"/>
          <w:szCs w:val="24"/>
        </w:rPr>
        <w:t xml:space="preserve"> será </w:t>
      </w:r>
      <w:r w:rsidR="004D0D2A" w:rsidRPr="00596D1F">
        <w:rPr>
          <w:rFonts w:ascii="Times New Roman" w:hAnsi="Times New Roman"/>
          <w:color w:val="000000" w:themeColor="text1"/>
          <w:sz w:val="24"/>
          <w:szCs w:val="24"/>
        </w:rPr>
        <w:t>feita</w:t>
      </w:r>
      <w:r w:rsidR="00BA7D4F" w:rsidRPr="00596D1F">
        <w:rPr>
          <w:rFonts w:ascii="Times New Roman" w:hAnsi="Times New Roman"/>
          <w:color w:val="000000" w:themeColor="text1"/>
          <w:sz w:val="24"/>
          <w:szCs w:val="24"/>
        </w:rPr>
        <w:t xml:space="preserve"> a</w:t>
      </w:r>
      <w:r w:rsidRPr="00596D1F">
        <w:rPr>
          <w:rFonts w:ascii="Times New Roman" w:hAnsi="Times New Roman"/>
          <w:color w:val="000000" w:themeColor="text1"/>
          <w:sz w:val="24"/>
          <w:szCs w:val="24"/>
        </w:rPr>
        <w:t xml:space="preserve"> </w:t>
      </w:r>
      <w:r w:rsidR="004D0D2A" w:rsidRPr="00596D1F">
        <w:rPr>
          <w:rFonts w:ascii="Times New Roman" w:hAnsi="Times New Roman"/>
          <w:color w:val="000000" w:themeColor="text1"/>
          <w:sz w:val="24"/>
          <w:szCs w:val="24"/>
        </w:rPr>
        <w:t>análise</w:t>
      </w:r>
      <w:r w:rsidRPr="00596D1F">
        <w:rPr>
          <w:rFonts w:ascii="Times New Roman" w:hAnsi="Times New Roman"/>
          <w:color w:val="000000" w:themeColor="text1"/>
          <w:sz w:val="24"/>
          <w:szCs w:val="24"/>
        </w:rPr>
        <w:t xml:space="preserve"> descritiva </w:t>
      </w:r>
      <w:r w:rsidR="00220750" w:rsidRPr="00596D1F">
        <w:rPr>
          <w:rFonts w:ascii="Times New Roman" w:hAnsi="Times New Roman"/>
          <w:color w:val="000000" w:themeColor="text1"/>
          <w:sz w:val="24"/>
          <w:szCs w:val="24"/>
        </w:rPr>
        <w:t>dos processos de contas de gestão com imputação de débito e multa ao longo do período (2009-2016)</w:t>
      </w:r>
      <w:r w:rsidR="00016724" w:rsidRPr="00596D1F">
        <w:rPr>
          <w:rFonts w:ascii="Times New Roman" w:hAnsi="Times New Roman"/>
          <w:color w:val="000000" w:themeColor="text1"/>
          <w:sz w:val="24"/>
          <w:szCs w:val="24"/>
        </w:rPr>
        <w:t>, sua evolução temporal em relação a</w:t>
      </w:r>
      <w:r w:rsidR="00220750" w:rsidRPr="00596D1F">
        <w:rPr>
          <w:rFonts w:ascii="Times New Roman" w:hAnsi="Times New Roman"/>
          <w:color w:val="000000" w:themeColor="text1"/>
          <w:sz w:val="24"/>
          <w:szCs w:val="24"/>
        </w:rPr>
        <w:t>os</w:t>
      </w:r>
      <w:r w:rsidR="00016724" w:rsidRPr="00596D1F">
        <w:rPr>
          <w:rFonts w:ascii="Times New Roman" w:hAnsi="Times New Roman"/>
          <w:color w:val="000000" w:themeColor="text1"/>
          <w:sz w:val="24"/>
          <w:szCs w:val="24"/>
        </w:rPr>
        <w:t xml:space="preserve"> anos eleitorais, tipo de classificação do interessado (prefeitura, câmara </w:t>
      </w:r>
      <w:r w:rsidR="00BA7D4F" w:rsidRPr="00596D1F">
        <w:rPr>
          <w:rFonts w:ascii="Times New Roman" w:hAnsi="Times New Roman"/>
          <w:color w:val="000000" w:themeColor="text1"/>
          <w:sz w:val="24"/>
          <w:szCs w:val="24"/>
        </w:rPr>
        <w:t xml:space="preserve">ou </w:t>
      </w:r>
      <w:r w:rsidR="00016724" w:rsidRPr="00596D1F">
        <w:rPr>
          <w:rFonts w:ascii="Times New Roman" w:hAnsi="Times New Roman"/>
          <w:color w:val="000000" w:themeColor="text1"/>
          <w:sz w:val="24"/>
          <w:szCs w:val="24"/>
        </w:rPr>
        <w:t>autarquia) e município</w:t>
      </w:r>
      <w:r w:rsidR="00BA7D4F" w:rsidRPr="00596D1F">
        <w:rPr>
          <w:rFonts w:ascii="Times New Roman" w:hAnsi="Times New Roman"/>
          <w:color w:val="000000" w:themeColor="text1"/>
          <w:sz w:val="24"/>
          <w:szCs w:val="24"/>
        </w:rPr>
        <w:t>;</w:t>
      </w:r>
      <w:r w:rsidR="0015232E" w:rsidRPr="00596D1F">
        <w:rPr>
          <w:rFonts w:ascii="Times New Roman" w:hAnsi="Times New Roman"/>
          <w:color w:val="000000" w:themeColor="text1"/>
          <w:sz w:val="24"/>
          <w:szCs w:val="24"/>
        </w:rPr>
        <w:t xml:space="preserve"> como</w:t>
      </w:r>
      <w:r w:rsidR="0016162B">
        <w:rPr>
          <w:rFonts w:ascii="Times New Roman" w:hAnsi="Times New Roman"/>
          <w:color w:val="000000" w:themeColor="text1"/>
          <w:sz w:val="24"/>
          <w:szCs w:val="24"/>
        </w:rPr>
        <w:t>,</w:t>
      </w:r>
      <w:r w:rsidR="0015232E"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também</w:t>
      </w:r>
      <w:r w:rsidR="0016162B">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a aplicação de</w:t>
      </w:r>
      <w:r w:rsidR="0015232E" w:rsidRPr="00596D1F">
        <w:rPr>
          <w:rFonts w:ascii="Times New Roman" w:hAnsi="Times New Roman"/>
          <w:color w:val="000000" w:themeColor="text1"/>
          <w:sz w:val="24"/>
          <w:szCs w:val="24"/>
        </w:rPr>
        <w:t xml:space="preserve"> testes de médias sobre os valores das sanções imputadas pelo TCM-GO, receita corrente e número de fases</w:t>
      </w:r>
      <w:r w:rsidR="00220750" w:rsidRPr="00596D1F">
        <w:rPr>
          <w:rFonts w:ascii="Times New Roman" w:hAnsi="Times New Roman"/>
          <w:color w:val="000000" w:themeColor="text1"/>
          <w:sz w:val="24"/>
          <w:szCs w:val="24"/>
        </w:rPr>
        <w:t>,</w:t>
      </w:r>
      <w:r w:rsidR="0015232E" w:rsidRPr="00596D1F">
        <w:rPr>
          <w:rFonts w:ascii="Times New Roman" w:hAnsi="Times New Roman"/>
          <w:color w:val="000000" w:themeColor="text1"/>
          <w:sz w:val="24"/>
          <w:szCs w:val="24"/>
        </w:rPr>
        <w:t xml:space="preserve"> antes</w:t>
      </w:r>
      <w:r w:rsidR="00220750" w:rsidRPr="00596D1F">
        <w:rPr>
          <w:rFonts w:ascii="Times New Roman" w:hAnsi="Times New Roman"/>
          <w:color w:val="000000" w:themeColor="text1"/>
          <w:sz w:val="24"/>
          <w:szCs w:val="24"/>
        </w:rPr>
        <w:t xml:space="preserve"> e após a vigência da </w:t>
      </w:r>
      <w:r w:rsidR="004D0D2A" w:rsidRPr="00596D1F">
        <w:rPr>
          <w:rFonts w:ascii="Times New Roman" w:hAnsi="Times New Roman"/>
          <w:color w:val="000000" w:themeColor="text1"/>
          <w:sz w:val="24"/>
          <w:szCs w:val="24"/>
        </w:rPr>
        <w:t>LAI</w:t>
      </w:r>
      <w:r w:rsidR="00220750" w:rsidRPr="00596D1F">
        <w:rPr>
          <w:rFonts w:ascii="Times New Roman" w:hAnsi="Times New Roman"/>
          <w:color w:val="000000" w:themeColor="text1"/>
          <w:sz w:val="24"/>
          <w:szCs w:val="24"/>
        </w:rPr>
        <w:t xml:space="preserve"> e</w:t>
      </w:r>
      <w:r w:rsidR="0015232E" w:rsidRPr="00596D1F">
        <w:rPr>
          <w:rFonts w:ascii="Times New Roman" w:hAnsi="Times New Roman"/>
          <w:color w:val="000000" w:themeColor="text1"/>
          <w:sz w:val="24"/>
          <w:szCs w:val="24"/>
        </w:rPr>
        <w:t>stadual.</w:t>
      </w:r>
      <w:r w:rsidR="00220750" w:rsidRPr="00596D1F">
        <w:rPr>
          <w:rFonts w:ascii="Times New Roman" w:hAnsi="Times New Roman"/>
          <w:color w:val="000000" w:themeColor="text1"/>
          <w:sz w:val="24"/>
          <w:szCs w:val="24"/>
        </w:rPr>
        <w:t xml:space="preserve"> Em resumo, </w:t>
      </w:r>
      <w:r w:rsidR="00577D80">
        <w:rPr>
          <w:rFonts w:ascii="Times New Roman" w:hAnsi="Times New Roman"/>
          <w:color w:val="000000" w:themeColor="text1"/>
          <w:sz w:val="24"/>
          <w:szCs w:val="24"/>
        </w:rPr>
        <w:t>busca-se</w:t>
      </w:r>
      <w:r w:rsidR="004D0D2A" w:rsidRPr="00596D1F">
        <w:rPr>
          <w:rFonts w:ascii="Times New Roman" w:hAnsi="Times New Roman"/>
          <w:color w:val="000000" w:themeColor="text1"/>
          <w:sz w:val="24"/>
          <w:szCs w:val="24"/>
        </w:rPr>
        <w:t xml:space="preserve"> com</w:t>
      </w:r>
      <w:r w:rsidR="00027501" w:rsidRPr="00596D1F">
        <w:rPr>
          <w:rFonts w:ascii="Times New Roman" w:hAnsi="Times New Roman"/>
          <w:color w:val="000000" w:themeColor="text1"/>
          <w:sz w:val="24"/>
          <w:szCs w:val="24"/>
        </w:rPr>
        <w:t xml:space="preserve"> essas análises</w:t>
      </w:r>
      <w:r w:rsidR="00220750" w:rsidRPr="00596D1F">
        <w:rPr>
          <w:rFonts w:ascii="Times New Roman" w:hAnsi="Times New Roman"/>
          <w:color w:val="000000" w:themeColor="text1"/>
          <w:sz w:val="24"/>
          <w:szCs w:val="24"/>
        </w:rPr>
        <w:t xml:space="preserve"> </w:t>
      </w:r>
      <w:r w:rsidR="005C473C" w:rsidRPr="00596D1F">
        <w:rPr>
          <w:rFonts w:ascii="Times New Roman" w:hAnsi="Times New Roman"/>
          <w:color w:val="000000" w:themeColor="text1"/>
          <w:sz w:val="24"/>
          <w:szCs w:val="24"/>
        </w:rPr>
        <w:t xml:space="preserve">avaliar </w:t>
      </w:r>
      <w:r w:rsidR="00EB62A8" w:rsidRPr="00596D1F">
        <w:rPr>
          <w:rFonts w:ascii="Times New Roman" w:hAnsi="Times New Roman"/>
          <w:color w:val="000000" w:themeColor="text1"/>
          <w:sz w:val="24"/>
          <w:szCs w:val="24"/>
        </w:rPr>
        <w:t>se</w:t>
      </w:r>
      <w:r w:rsidR="00BA7D4F" w:rsidRPr="00596D1F">
        <w:rPr>
          <w:rFonts w:ascii="Times New Roman" w:hAnsi="Times New Roman"/>
          <w:color w:val="000000" w:themeColor="text1"/>
          <w:sz w:val="24"/>
          <w:szCs w:val="24"/>
        </w:rPr>
        <w:t xml:space="preserve"> </w:t>
      </w:r>
      <w:r w:rsidR="0060148C">
        <w:rPr>
          <w:rFonts w:ascii="Times New Roman" w:hAnsi="Times New Roman"/>
          <w:color w:val="000000" w:themeColor="text1"/>
          <w:sz w:val="24"/>
          <w:szCs w:val="24"/>
        </w:rPr>
        <w:t>a</w:t>
      </w:r>
      <w:r w:rsidR="004D0D2A" w:rsidRPr="00596D1F">
        <w:rPr>
          <w:rFonts w:ascii="Times New Roman" w:hAnsi="Times New Roman"/>
          <w:color w:val="000000" w:themeColor="text1"/>
          <w:sz w:val="24"/>
          <w:szCs w:val="24"/>
        </w:rPr>
        <w:t xml:space="preserve"> lei</w:t>
      </w:r>
      <w:r w:rsidR="00BA7D4F" w:rsidRPr="00596D1F">
        <w:rPr>
          <w:rFonts w:ascii="Times New Roman" w:hAnsi="Times New Roman"/>
          <w:color w:val="000000" w:themeColor="text1"/>
          <w:sz w:val="24"/>
          <w:szCs w:val="24"/>
        </w:rPr>
        <w:t xml:space="preserve"> </w:t>
      </w:r>
      <w:r w:rsidR="004D0D2A" w:rsidRPr="00596D1F">
        <w:rPr>
          <w:rFonts w:ascii="Times New Roman" w:hAnsi="Times New Roman"/>
          <w:color w:val="000000" w:themeColor="text1"/>
          <w:sz w:val="24"/>
          <w:szCs w:val="24"/>
        </w:rPr>
        <w:t>promoveu modificações no comportamento dos agentes públicos responsáveis</w:t>
      </w:r>
      <w:r w:rsidRPr="00596D1F">
        <w:rPr>
          <w:rFonts w:ascii="Times New Roman" w:hAnsi="Times New Roman"/>
          <w:color w:val="000000" w:themeColor="text1"/>
          <w:sz w:val="24"/>
          <w:szCs w:val="24"/>
        </w:rPr>
        <w:t xml:space="preserve"> pela fiscalização,</w:t>
      </w:r>
      <w:r w:rsidR="005C473C" w:rsidRPr="00596D1F">
        <w:rPr>
          <w:rFonts w:ascii="Times New Roman" w:hAnsi="Times New Roman"/>
          <w:color w:val="000000" w:themeColor="text1"/>
          <w:sz w:val="24"/>
          <w:szCs w:val="24"/>
        </w:rPr>
        <w:t xml:space="preserve"> julgamento e imputação de punições aos administradores de dinheiro público</w:t>
      </w:r>
      <w:r w:rsidR="004D0D2A" w:rsidRPr="00596D1F">
        <w:rPr>
          <w:rFonts w:ascii="Times New Roman" w:hAnsi="Times New Roman"/>
          <w:color w:val="000000" w:themeColor="text1"/>
          <w:sz w:val="24"/>
          <w:szCs w:val="24"/>
        </w:rPr>
        <w:t>, vista por intermédio do produto desse comportamento, que são</w:t>
      </w:r>
      <w:r w:rsidR="0070005D" w:rsidRPr="00596D1F">
        <w:rPr>
          <w:rFonts w:ascii="Times New Roman" w:hAnsi="Times New Roman"/>
          <w:color w:val="000000" w:themeColor="text1"/>
          <w:sz w:val="24"/>
          <w:szCs w:val="24"/>
        </w:rPr>
        <w:t xml:space="preserve"> as</w:t>
      </w:r>
      <w:r w:rsidR="004D0D2A" w:rsidRPr="00596D1F">
        <w:rPr>
          <w:rFonts w:ascii="Times New Roman" w:hAnsi="Times New Roman"/>
          <w:color w:val="000000" w:themeColor="text1"/>
          <w:sz w:val="24"/>
          <w:szCs w:val="24"/>
        </w:rPr>
        <w:t xml:space="preserve"> ações punitivas da Corte</w:t>
      </w:r>
      <w:r w:rsidR="005C473C" w:rsidRPr="00596D1F">
        <w:rPr>
          <w:rFonts w:ascii="Times New Roman" w:hAnsi="Times New Roman"/>
          <w:color w:val="000000" w:themeColor="text1"/>
          <w:sz w:val="24"/>
          <w:szCs w:val="24"/>
        </w:rPr>
        <w:t xml:space="preserve">. </w:t>
      </w:r>
    </w:p>
    <w:p w14:paraId="03847EA4" w14:textId="42175E12" w:rsidR="00771CF1" w:rsidRPr="00596D1F" w:rsidRDefault="002455C3" w:rsidP="00771CF1">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O passo seguinte foi </w:t>
      </w:r>
      <w:r w:rsidR="007B678A" w:rsidRPr="00596D1F">
        <w:rPr>
          <w:rFonts w:ascii="Times New Roman" w:hAnsi="Times New Roman"/>
          <w:color w:val="000000" w:themeColor="text1"/>
          <w:sz w:val="24"/>
          <w:szCs w:val="24"/>
        </w:rPr>
        <w:t>à</w:t>
      </w:r>
      <w:r w:rsidRPr="00596D1F">
        <w:rPr>
          <w:rFonts w:ascii="Times New Roman" w:hAnsi="Times New Roman"/>
          <w:color w:val="000000" w:themeColor="text1"/>
          <w:sz w:val="24"/>
          <w:szCs w:val="24"/>
        </w:rPr>
        <w:t xml:space="preserve"> elaboração de</w:t>
      </w:r>
      <w:r w:rsidR="005C473C" w:rsidRPr="00596D1F">
        <w:rPr>
          <w:rFonts w:ascii="Times New Roman" w:hAnsi="Times New Roman"/>
          <w:color w:val="000000" w:themeColor="text1"/>
          <w:sz w:val="24"/>
          <w:szCs w:val="24"/>
        </w:rPr>
        <w:t xml:space="preserve"> três</w:t>
      </w:r>
      <w:r w:rsidR="00220750" w:rsidRPr="00596D1F">
        <w:rPr>
          <w:rFonts w:ascii="Times New Roman" w:hAnsi="Times New Roman"/>
          <w:color w:val="000000" w:themeColor="text1"/>
          <w:sz w:val="24"/>
          <w:szCs w:val="24"/>
        </w:rPr>
        <w:t xml:space="preserve"> </w:t>
      </w:r>
      <w:r w:rsidR="00016724" w:rsidRPr="00596D1F">
        <w:rPr>
          <w:rFonts w:ascii="Times New Roman" w:hAnsi="Times New Roman"/>
          <w:color w:val="000000" w:themeColor="text1"/>
          <w:sz w:val="24"/>
          <w:szCs w:val="24"/>
        </w:rPr>
        <w:t>modelos econométricos para</w:t>
      </w:r>
      <w:r w:rsidR="005C473C" w:rsidRPr="00596D1F">
        <w:rPr>
          <w:rFonts w:ascii="Times New Roman" w:hAnsi="Times New Roman"/>
          <w:color w:val="000000" w:themeColor="text1"/>
          <w:sz w:val="24"/>
          <w:szCs w:val="24"/>
        </w:rPr>
        <w:t xml:space="preserve"> confirmar</w:t>
      </w:r>
      <w:r w:rsidR="00BA7D4F" w:rsidRPr="00596D1F">
        <w:rPr>
          <w:rFonts w:ascii="Times New Roman" w:hAnsi="Times New Roman"/>
          <w:color w:val="000000" w:themeColor="text1"/>
          <w:sz w:val="24"/>
          <w:szCs w:val="24"/>
        </w:rPr>
        <w:t>,</w:t>
      </w:r>
      <w:r w:rsidR="005C473C" w:rsidRPr="00596D1F">
        <w:rPr>
          <w:rFonts w:ascii="Times New Roman" w:hAnsi="Times New Roman"/>
          <w:color w:val="000000" w:themeColor="text1"/>
          <w:sz w:val="24"/>
          <w:szCs w:val="24"/>
        </w:rPr>
        <w:t xml:space="preserve"> ou não</w:t>
      </w:r>
      <w:r w:rsidR="00BA7D4F" w:rsidRPr="00596D1F">
        <w:rPr>
          <w:rFonts w:ascii="Times New Roman" w:hAnsi="Times New Roman"/>
          <w:color w:val="000000" w:themeColor="text1"/>
          <w:sz w:val="24"/>
          <w:szCs w:val="24"/>
        </w:rPr>
        <w:t>,</w:t>
      </w:r>
      <w:r w:rsidR="005C473C" w:rsidRPr="00596D1F">
        <w:rPr>
          <w:rFonts w:ascii="Times New Roman" w:hAnsi="Times New Roman"/>
          <w:color w:val="000000" w:themeColor="text1"/>
          <w:sz w:val="24"/>
          <w:szCs w:val="24"/>
        </w:rPr>
        <w:t xml:space="preserve"> tendências e variações observadas na análise descritivas </w:t>
      </w:r>
      <w:r w:rsidR="00EB62A8" w:rsidRPr="00596D1F">
        <w:rPr>
          <w:rFonts w:ascii="Times New Roman" w:hAnsi="Times New Roman"/>
          <w:color w:val="000000" w:themeColor="text1"/>
          <w:sz w:val="24"/>
          <w:szCs w:val="24"/>
        </w:rPr>
        <w:t>de que</w:t>
      </w:r>
      <w:r w:rsidR="005C473C" w:rsidRPr="00596D1F">
        <w:rPr>
          <w:rFonts w:ascii="Times New Roman" w:hAnsi="Times New Roman"/>
          <w:color w:val="000000" w:themeColor="text1"/>
          <w:sz w:val="24"/>
          <w:szCs w:val="24"/>
        </w:rPr>
        <w:t xml:space="preserve"> a</w:t>
      </w:r>
      <w:r w:rsidR="00016724" w:rsidRPr="00596D1F">
        <w:rPr>
          <w:rFonts w:ascii="Times New Roman" w:hAnsi="Times New Roman"/>
          <w:color w:val="000000" w:themeColor="text1"/>
          <w:sz w:val="24"/>
          <w:szCs w:val="24"/>
        </w:rPr>
        <w:t xml:space="preserve"> introdução </w:t>
      </w:r>
      <w:r w:rsidR="0060148C">
        <w:rPr>
          <w:rFonts w:ascii="Times New Roman" w:hAnsi="Times New Roman"/>
          <w:color w:val="000000" w:themeColor="text1"/>
          <w:sz w:val="24"/>
          <w:szCs w:val="24"/>
        </w:rPr>
        <w:t>da LAI</w:t>
      </w:r>
      <w:r w:rsidR="005C473C" w:rsidRPr="00596D1F">
        <w:rPr>
          <w:rFonts w:ascii="Times New Roman" w:hAnsi="Times New Roman"/>
          <w:color w:val="000000" w:themeColor="text1"/>
          <w:sz w:val="24"/>
          <w:szCs w:val="24"/>
        </w:rPr>
        <w:t>, tida como relevante no combate a corrupção e promoção da ética por permitir maior e melhor controle sobre os atos de gestão praticados por administradores públicos</w:t>
      </w:r>
      <w:r w:rsidR="00EB62A8" w:rsidRPr="00596D1F">
        <w:rPr>
          <w:rFonts w:ascii="Times New Roman" w:hAnsi="Times New Roman"/>
          <w:color w:val="000000" w:themeColor="text1"/>
          <w:sz w:val="24"/>
          <w:szCs w:val="24"/>
        </w:rPr>
        <w:t xml:space="preserve">, </w:t>
      </w:r>
      <w:r w:rsidR="002133C0" w:rsidRPr="00596D1F">
        <w:rPr>
          <w:rFonts w:ascii="Times New Roman" w:hAnsi="Times New Roman"/>
          <w:color w:val="000000" w:themeColor="text1"/>
          <w:sz w:val="24"/>
          <w:szCs w:val="24"/>
        </w:rPr>
        <w:t xml:space="preserve">resultou em variação nas ações punitivas do </w:t>
      </w:r>
      <w:r w:rsidR="0060148C">
        <w:rPr>
          <w:rFonts w:ascii="Times New Roman" w:hAnsi="Times New Roman"/>
          <w:color w:val="000000" w:themeColor="text1"/>
          <w:sz w:val="24"/>
          <w:szCs w:val="24"/>
        </w:rPr>
        <w:t>TCM-G</w:t>
      </w:r>
      <w:r w:rsidR="00577D80">
        <w:rPr>
          <w:rFonts w:ascii="Times New Roman" w:hAnsi="Times New Roman"/>
          <w:color w:val="000000" w:themeColor="text1"/>
          <w:sz w:val="24"/>
          <w:szCs w:val="24"/>
        </w:rPr>
        <w:t>O</w:t>
      </w:r>
      <w:r w:rsidRPr="00596D1F">
        <w:rPr>
          <w:rFonts w:ascii="Times New Roman" w:hAnsi="Times New Roman"/>
          <w:color w:val="000000" w:themeColor="text1"/>
          <w:sz w:val="24"/>
          <w:szCs w:val="24"/>
        </w:rPr>
        <w:t>. Esse método visou</w:t>
      </w:r>
      <w:r w:rsidR="00BA7D4F" w:rsidRPr="00596D1F">
        <w:rPr>
          <w:rFonts w:ascii="Times New Roman" w:hAnsi="Times New Roman"/>
          <w:color w:val="000000" w:themeColor="text1"/>
          <w:sz w:val="24"/>
          <w:szCs w:val="24"/>
        </w:rPr>
        <w:t>, então,</w:t>
      </w:r>
      <w:r w:rsidRPr="00596D1F">
        <w:rPr>
          <w:rFonts w:ascii="Times New Roman" w:hAnsi="Times New Roman"/>
          <w:color w:val="000000" w:themeColor="text1"/>
          <w:sz w:val="24"/>
          <w:szCs w:val="24"/>
        </w:rPr>
        <w:t xml:space="preserve"> determinar se</w:t>
      </w:r>
      <w:r w:rsidR="00BA7D4F"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de alguma forma, a </w:t>
      </w:r>
      <w:r w:rsidR="0060148C">
        <w:rPr>
          <w:rFonts w:ascii="Times New Roman" w:hAnsi="Times New Roman"/>
          <w:color w:val="000000" w:themeColor="text1"/>
          <w:sz w:val="24"/>
          <w:szCs w:val="24"/>
        </w:rPr>
        <w:t>regra</w:t>
      </w:r>
      <w:r w:rsidRPr="00596D1F">
        <w:rPr>
          <w:rFonts w:ascii="Times New Roman" w:hAnsi="Times New Roman"/>
          <w:color w:val="000000" w:themeColor="text1"/>
          <w:sz w:val="24"/>
          <w:szCs w:val="24"/>
        </w:rPr>
        <w:t xml:space="preserve"> </w:t>
      </w:r>
      <w:r w:rsidR="002133C0" w:rsidRPr="00596D1F">
        <w:rPr>
          <w:rFonts w:ascii="Times New Roman" w:hAnsi="Times New Roman"/>
          <w:color w:val="000000" w:themeColor="text1"/>
          <w:sz w:val="24"/>
          <w:szCs w:val="24"/>
        </w:rPr>
        <w:t>alterou</w:t>
      </w:r>
      <w:r w:rsidRPr="00596D1F">
        <w:rPr>
          <w:rFonts w:ascii="Times New Roman" w:hAnsi="Times New Roman"/>
          <w:color w:val="000000" w:themeColor="text1"/>
          <w:sz w:val="24"/>
          <w:szCs w:val="24"/>
        </w:rPr>
        <w:t xml:space="preserve"> a prática </w:t>
      </w:r>
      <w:r w:rsidR="00016724" w:rsidRPr="00596D1F">
        <w:rPr>
          <w:rFonts w:ascii="Times New Roman" w:hAnsi="Times New Roman"/>
          <w:color w:val="000000" w:themeColor="text1"/>
          <w:sz w:val="24"/>
          <w:szCs w:val="24"/>
        </w:rPr>
        <w:t>cu</w:t>
      </w:r>
      <w:r w:rsidR="007B678A" w:rsidRPr="00596D1F">
        <w:rPr>
          <w:rFonts w:ascii="Times New Roman" w:hAnsi="Times New Roman"/>
          <w:color w:val="000000" w:themeColor="text1"/>
          <w:sz w:val="24"/>
          <w:szCs w:val="24"/>
        </w:rPr>
        <w:t>ltural dos agentes públicos do T</w:t>
      </w:r>
      <w:r w:rsidR="00016724" w:rsidRPr="00596D1F">
        <w:rPr>
          <w:rFonts w:ascii="Times New Roman" w:hAnsi="Times New Roman"/>
          <w:color w:val="000000" w:themeColor="text1"/>
          <w:sz w:val="24"/>
          <w:szCs w:val="24"/>
        </w:rPr>
        <w:t>ribunal encarr</w:t>
      </w:r>
      <w:r w:rsidR="00B63CC9" w:rsidRPr="00596D1F">
        <w:rPr>
          <w:rFonts w:ascii="Times New Roman" w:hAnsi="Times New Roman"/>
          <w:color w:val="000000" w:themeColor="text1"/>
          <w:sz w:val="24"/>
          <w:szCs w:val="24"/>
        </w:rPr>
        <w:t>ega</w:t>
      </w:r>
      <w:r w:rsidR="00016724" w:rsidRPr="00596D1F">
        <w:rPr>
          <w:rFonts w:ascii="Times New Roman" w:hAnsi="Times New Roman"/>
          <w:color w:val="000000" w:themeColor="text1"/>
          <w:sz w:val="24"/>
          <w:szCs w:val="24"/>
        </w:rPr>
        <w:t>dos de fiscalizar, analisar</w:t>
      </w:r>
      <w:r w:rsidR="0060148C">
        <w:rPr>
          <w:rFonts w:ascii="Times New Roman" w:hAnsi="Times New Roman"/>
          <w:color w:val="000000" w:themeColor="text1"/>
          <w:sz w:val="24"/>
          <w:szCs w:val="24"/>
        </w:rPr>
        <w:t>,</w:t>
      </w:r>
      <w:r w:rsidR="00016724" w:rsidRPr="00596D1F">
        <w:rPr>
          <w:rFonts w:ascii="Times New Roman" w:hAnsi="Times New Roman"/>
          <w:color w:val="000000" w:themeColor="text1"/>
          <w:sz w:val="24"/>
          <w:szCs w:val="24"/>
        </w:rPr>
        <w:t xml:space="preserve"> julgar</w:t>
      </w:r>
      <w:r w:rsidR="0060148C">
        <w:rPr>
          <w:rFonts w:ascii="Times New Roman" w:hAnsi="Times New Roman"/>
          <w:color w:val="000000" w:themeColor="text1"/>
          <w:sz w:val="24"/>
          <w:szCs w:val="24"/>
        </w:rPr>
        <w:t xml:space="preserve"> e punir</w:t>
      </w:r>
      <w:r w:rsidR="00016724" w:rsidRPr="00596D1F">
        <w:rPr>
          <w:rFonts w:ascii="Times New Roman" w:hAnsi="Times New Roman"/>
          <w:color w:val="000000" w:themeColor="text1"/>
          <w:sz w:val="24"/>
          <w:szCs w:val="24"/>
        </w:rPr>
        <w:t xml:space="preserve"> contas </w:t>
      </w:r>
      <w:r w:rsidR="00AF56DC" w:rsidRPr="00596D1F">
        <w:rPr>
          <w:rFonts w:ascii="Times New Roman" w:hAnsi="Times New Roman"/>
          <w:color w:val="000000" w:themeColor="text1"/>
          <w:sz w:val="24"/>
          <w:szCs w:val="24"/>
        </w:rPr>
        <w:t>de gestão</w:t>
      </w:r>
      <w:r w:rsidR="00016724" w:rsidRPr="00596D1F">
        <w:rPr>
          <w:rFonts w:ascii="Times New Roman" w:hAnsi="Times New Roman"/>
          <w:color w:val="000000" w:themeColor="text1"/>
          <w:sz w:val="24"/>
          <w:szCs w:val="24"/>
        </w:rPr>
        <w:t xml:space="preserve"> na esfera municipal</w:t>
      </w:r>
      <w:r w:rsidR="00771CF1" w:rsidRPr="00596D1F">
        <w:rPr>
          <w:rFonts w:ascii="Times New Roman" w:hAnsi="Times New Roman"/>
          <w:color w:val="000000" w:themeColor="text1"/>
          <w:sz w:val="24"/>
          <w:szCs w:val="24"/>
        </w:rPr>
        <w:t>.</w:t>
      </w:r>
    </w:p>
    <w:p w14:paraId="14399A65" w14:textId="2E5B9B53" w:rsidR="00DB0469"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 </w:t>
      </w:r>
      <w:r w:rsidR="002455C3" w:rsidRPr="00596D1F">
        <w:rPr>
          <w:rFonts w:ascii="Times New Roman" w:hAnsi="Times New Roman"/>
          <w:color w:val="000000" w:themeColor="text1"/>
          <w:sz w:val="24"/>
          <w:szCs w:val="24"/>
        </w:rPr>
        <w:t>Os modelos foram elaborados</w:t>
      </w:r>
      <w:r w:rsidR="001E0B72" w:rsidRPr="00596D1F">
        <w:rPr>
          <w:rFonts w:ascii="Times New Roman" w:hAnsi="Times New Roman"/>
          <w:color w:val="000000" w:themeColor="text1"/>
          <w:sz w:val="24"/>
          <w:szCs w:val="24"/>
        </w:rPr>
        <w:t xml:space="preserve"> para testar três variáveis dependentes</w:t>
      </w:r>
      <w:r w:rsidR="00825541" w:rsidRPr="00596D1F">
        <w:rPr>
          <w:rFonts w:ascii="Times New Roman" w:hAnsi="Times New Roman"/>
          <w:color w:val="000000" w:themeColor="text1"/>
          <w:sz w:val="24"/>
          <w:szCs w:val="24"/>
        </w:rPr>
        <w:t xml:space="preserve">. </w:t>
      </w:r>
      <w:r w:rsidR="00027501" w:rsidRPr="00596D1F">
        <w:rPr>
          <w:rFonts w:ascii="Times New Roman" w:hAnsi="Times New Roman"/>
          <w:color w:val="000000" w:themeColor="text1"/>
          <w:sz w:val="24"/>
          <w:szCs w:val="24"/>
        </w:rPr>
        <w:t>No primeiro modelo</w:t>
      </w:r>
      <w:r w:rsidR="00F563F1" w:rsidRPr="00596D1F">
        <w:rPr>
          <w:rFonts w:ascii="Times New Roman" w:hAnsi="Times New Roman"/>
          <w:color w:val="000000" w:themeColor="text1"/>
          <w:sz w:val="24"/>
          <w:szCs w:val="24"/>
        </w:rPr>
        <w:t xml:space="preserve"> utilizou-se</w:t>
      </w:r>
      <w:r w:rsidR="00027501" w:rsidRPr="00596D1F">
        <w:rPr>
          <w:rFonts w:ascii="Times New Roman" w:hAnsi="Times New Roman"/>
          <w:color w:val="000000" w:themeColor="text1"/>
          <w:sz w:val="24"/>
          <w:szCs w:val="24"/>
        </w:rPr>
        <w:t xml:space="preserve"> como variável dependente o</w:t>
      </w:r>
      <w:r w:rsidR="00F563F1" w:rsidRPr="00596D1F">
        <w:rPr>
          <w:rFonts w:ascii="Times New Roman" w:hAnsi="Times New Roman"/>
          <w:color w:val="000000" w:themeColor="text1"/>
          <w:sz w:val="24"/>
          <w:szCs w:val="24"/>
        </w:rPr>
        <w:t xml:space="preserve"> valor total das pe</w:t>
      </w:r>
      <w:r w:rsidR="00927F22" w:rsidRPr="00596D1F">
        <w:rPr>
          <w:rFonts w:ascii="Times New Roman" w:hAnsi="Times New Roman"/>
          <w:color w:val="000000" w:themeColor="text1"/>
          <w:sz w:val="24"/>
          <w:szCs w:val="24"/>
        </w:rPr>
        <w:t>nalidades imputadas pelo TCM-GO; no</w:t>
      </w:r>
      <w:r w:rsidR="00F563F1" w:rsidRPr="00596D1F">
        <w:rPr>
          <w:rFonts w:ascii="Times New Roman" w:hAnsi="Times New Roman"/>
          <w:color w:val="000000" w:themeColor="text1"/>
          <w:sz w:val="24"/>
          <w:szCs w:val="24"/>
        </w:rPr>
        <w:t xml:space="preserve"> segundo, </w:t>
      </w:r>
      <w:r w:rsidR="00825541" w:rsidRPr="00596D1F">
        <w:rPr>
          <w:rFonts w:ascii="Times New Roman" w:hAnsi="Times New Roman"/>
          <w:color w:val="000000" w:themeColor="text1"/>
          <w:sz w:val="24"/>
          <w:szCs w:val="24"/>
        </w:rPr>
        <w:t>somente</w:t>
      </w:r>
      <w:r w:rsidR="00F563F1" w:rsidRPr="00596D1F">
        <w:rPr>
          <w:rFonts w:ascii="Times New Roman" w:hAnsi="Times New Roman"/>
          <w:color w:val="000000" w:themeColor="text1"/>
          <w:sz w:val="24"/>
          <w:szCs w:val="24"/>
        </w:rPr>
        <w:t xml:space="preserve"> os valores imputados a título de débito</w:t>
      </w:r>
      <w:r w:rsidR="00927F22" w:rsidRPr="00596D1F">
        <w:rPr>
          <w:rFonts w:ascii="Times New Roman" w:hAnsi="Times New Roman"/>
          <w:color w:val="000000" w:themeColor="text1"/>
          <w:sz w:val="24"/>
          <w:szCs w:val="24"/>
        </w:rPr>
        <w:t>;</w:t>
      </w:r>
      <w:r w:rsidR="00F563F1" w:rsidRPr="00596D1F">
        <w:rPr>
          <w:rFonts w:ascii="Times New Roman" w:hAnsi="Times New Roman"/>
          <w:color w:val="000000" w:themeColor="text1"/>
          <w:sz w:val="24"/>
          <w:szCs w:val="24"/>
        </w:rPr>
        <w:t xml:space="preserve"> no ter</w:t>
      </w:r>
      <w:r w:rsidR="00927F22" w:rsidRPr="00596D1F">
        <w:rPr>
          <w:rFonts w:ascii="Times New Roman" w:hAnsi="Times New Roman"/>
          <w:color w:val="000000" w:themeColor="text1"/>
          <w:sz w:val="24"/>
          <w:szCs w:val="24"/>
        </w:rPr>
        <w:t>ceiro</w:t>
      </w:r>
      <w:r w:rsidR="00AF56DC" w:rsidRPr="00596D1F">
        <w:rPr>
          <w:rFonts w:ascii="Times New Roman" w:hAnsi="Times New Roman"/>
          <w:color w:val="000000" w:themeColor="text1"/>
          <w:sz w:val="24"/>
          <w:szCs w:val="24"/>
        </w:rPr>
        <w:t>,</w:t>
      </w:r>
      <w:r w:rsidR="00927F22" w:rsidRPr="00596D1F">
        <w:rPr>
          <w:rFonts w:ascii="Times New Roman" w:hAnsi="Times New Roman"/>
          <w:color w:val="000000" w:themeColor="text1"/>
          <w:sz w:val="24"/>
          <w:szCs w:val="24"/>
        </w:rPr>
        <w:t xml:space="preserve"> </w:t>
      </w:r>
      <w:r w:rsidR="00F563F1" w:rsidRPr="00596D1F">
        <w:rPr>
          <w:rFonts w:ascii="Times New Roman" w:hAnsi="Times New Roman"/>
          <w:color w:val="000000" w:themeColor="text1"/>
          <w:sz w:val="24"/>
          <w:szCs w:val="24"/>
        </w:rPr>
        <w:t xml:space="preserve">apenas os valores </w:t>
      </w:r>
      <w:r w:rsidR="00927F22" w:rsidRPr="00596D1F">
        <w:rPr>
          <w:rFonts w:ascii="Times New Roman" w:hAnsi="Times New Roman"/>
          <w:color w:val="000000" w:themeColor="text1"/>
          <w:sz w:val="24"/>
          <w:szCs w:val="24"/>
        </w:rPr>
        <w:t>das</w:t>
      </w:r>
      <w:r w:rsidR="00F563F1" w:rsidRPr="00596D1F">
        <w:rPr>
          <w:rFonts w:ascii="Times New Roman" w:hAnsi="Times New Roman"/>
          <w:color w:val="000000" w:themeColor="text1"/>
          <w:sz w:val="24"/>
          <w:szCs w:val="24"/>
        </w:rPr>
        <w:t xml:space="preserve"> multa</w:t>
      </w:r>
      <w:r w:rsidR="00927F22" w:rsidRPr="00596D1F">
        <w:rPr>
          <w:rFonts w:ascii="Times New Roman" w:hAnsi="Times New Roman"/>
          <w:color w:val="000000" w:themeColor="text1"/>
          <w:sz w:val="24"/>
          <w:szCs w:val="24"/>
        </w:rPr>
        <w:t>s</w:t>
      </w:r>
      <w:r w:rsidR="00F563F1" w:rsidRPr="00596D1F">
        <w:rPr>
          <w:rFonts w:ascii="Times New Roman" w:hAnsi="Times New Roman"/>
          <w:color w:val="000000" w:themeColor="text1"/>
          <w:sz w:val="24"/>
          <w:szCs w:val="24"/>
        </w:rPr>
        <w:t>.</w:t>
      </w:r>
      <w:r w:rsidR="002455C3" w:rsidRPr="00596D1F">
        <w:rPr>
          <w:rFonts w:ascii="Times New Roman" w:hAnsi="Times New Roman"/>
          <w:color w:val="000000" w:themeColor="text1"/>
          <w:sz w:val="24"/>
          <w:szCs w:val="24"/>
        </w:rPr>
        <w:t xml:space="preserve"> </w:t>
      </w:r>
      <w:r w:rsidR="00DB0469" w:rsidRPr="00596D1F">
        <w:rPr>
          <w:rFonts w:ascii="Times New Roman" w:hAnsi="Times New Roman"/>
          <w:color w:val="000000" w:themeColor="text1"/>
          <w:sz w:val="24"/>
          <w:szCs w:val="24"/>
        </w:rPr>
        <w:t>Assim, foram aplicadas regressões lineares multivariadas, já que a variável dependente é</w:t>
      </w:r>
      <w:r w:rsidR="00BA7D4F" w:rsidRPr="00596D1F">
        <w:rPr>
          <w:rFonts w:ascii="Times New Roman" w:hAnsi="Times New Roman"/>
          <w:color w:val="000000" w:themeColor="text1"/>
          <w:sz w:val="24"/>
          <w:szCs w:val="24"/>
        </w:rPr>
        <w:t xml:space="preserve"> de natureza</w:t>
      </w:r>
      <w:r w:rsidR="00DB0469" w:rsidRPr="00596D1F">
        <w:rPr>
          <w:rFonts w:ascii="Times New Roman" w:hAnsi="Times New Roman"/>
          <w:color w:val="000000" w:themeColor="text1"/>
          <w:sz w:val="24"/>
          <w:szCs w:val="24"/>
        </w:rPr>
        <w:t xml:space="preserve"> quantitativa, estimadas pelo Método dos Mínimos Quadrados, o MQO. </w:t>
      </w:r>
      <w:r w:rsidR="00BA7D4F" w:rsidRPr="00596D1F">
        <w:rPr>
          <w:rFonts w:ascii="Times New Roman" w:hAnsi="Times New Roman"/>
          <w:color w:val="000000" w:themeColor="text1"/>
          <w:sz w:val="24"/>
          <w:szCs w:val="24"/>
        </w:rPr>
        <w:t xml:space="preserve">Na equação </w:t>
      </w:r>
      <w:r w:rsidR="00DB0469" w:rsidRPr="00596D1F">
        <w:rPr>
          <w:rFonts w:ascii="Times New Roman" w:hAnsi="Times New Roman"/>
          <w:color w:val="000000" w:themeColor="text1"/>
          <w:sz w:val="24"/>
          <w:szCs w:val="24"/>
        </w:rPr>
        <w:t xml:space="preserve">1 </w:t>
      </w:r>
      <w:r w:rsidR="00BA7D4F" w:rsidRPr="00596D1F">
        <w:rPr>
          <w:rFonts w:ascii="Times New Roman" w:hAnsi="Times New Roman"/>
          <w:color w:val="000000" w:themeColor="text1"/>
          <w:sz w:val="24"/>
          <w:szCs w:val="24"/>
        </w:rPr>
        <w:t>expõe-se</w:t>
      </w:r>
      <w:r w:rsidR="00DB0469" w:rsidRPr="00596D1F">
        <w:rPr>
          <w:rFonts w:ascii="Times New Roman" w:hAnsi="Times New Roman"/>
          <w:color w:val="000000" w:themeColor="text1"/>
          <w:sz w:val="24"/>
          <w:szCs w:val="24"/>
        </w:rPr>
        <w:t xml:space="preserve"> a fórmula geral dos modelos, enquanto </w:t>
      </w:r>
      <w:r w:rsidR="00BA7D4F" w:rsidRPr="00596D1F">
        <w:rPr>
          <w:rFonts w:ascii="Times New Roman" w:hAnsi="Times New Roman"/>
          <w:color w:val="000000" w:themeColor="text1"/>
          <w:sz w:val="24"/>
          <w:szCs w:val="24"/>
        </w:rPr>
        <w:t>n</w:t>
      </w:r>
      <w:r w:rsidR="00DB0469" w:rsidRPr="00596D1F">
        <w:rPr>
          <w:rFonts w:ascii="Times New Roman" w:hAnsi="Times New Roman"/>
          <w:color w:val="000000" w:themeColor="text1"/>
          <w:sz w:val="24"/>
          <w:szCs w:val="24"/>
        </w:rPr>
        <w:t xml:space="preserve">o </w:t>
      </w:r>
      <w:r w:rsidR="00D26D12">
        <w:rPr>
          <w:rFonts w:ascii="Times New Roman" w:hAnsi="Times New Roman"/>
          <w:color w:val="000000" w:themeColor="text1"/>
          <w:sz w:val="24"/>
          <w:szCs w:val="24"/>
        </w:rPr>
        <w:t>Quadro</w:t>
      </w:r>
      <w:r w:rsidRPr="00596D1F">
        <w:rPr>
          <w:rFonts w:ascii="Times New Roman" w:hAnsi="Times New Roman"/>
          <w:color w:val="000000" w:themeColor="text1"/>
          <w:sz w:val="24"/>
          <w:szCs w:val="24"/>
        </w:rPr>
        <w:t xml:space="preserve"> </w:t>
      </w:r>
      <w:r w:rsidR="002455C3" w:rsidRPr="00596D1F">
        <w:rPr>
          <w:rFonts w:ascii="Times New Roman" w:hAnsi="Times New Roman"/>
          <w:color w:val="000000" w:themeColor="text1"/>
          <w:sz w:val="24"/>
          <w:szCs w:val="24"/>
        </w:rPr>
        <w:t xml:space="preserve">1 </w:t>
      </w:r>
      <w:r w:rsidR="00BA7D4F" w:rsidRPr="00596D1F">
        <w:rPr>
          <w:rFonts w:ascii="Times New Roman" w:hAnsi="Times New Roman"/>
          <w:color w:val="000000" w:themeColor="text1"/>
          <w:sz w:val="24"/>
          <w:szCs w:val="24"/>
        </w:rPr>
        <w:t>ilustra-se a</w:t>
      </w:r>
      <w:r w:rsidR="00027501" w:rsidRPr="00596D1F">
        <w:rPr>
          <w:rFonts w:ascii="Times New Roman" w:hAnsi="Times New Roman"/>
          <w:color w:val="000000" w:themeColor="text1"/>
          <w:sz w:val="24"/>
          <w:szCs w:val="24"/>
        </w:rPr>
        <w:t xml:space="preserve"> composição das variáveis</w:t>
      </w:r>
      <w:r w:rsidR="00BA7D4F" w:rsidRPr="00596D1F">
        <w:rPr>
          <w:rFonts w:ascii="Times New Roman" w:hAnsi="Times New Roman"/>
          <w:color w:val="000000" w:themeColor="text1"/>
          <w:sz w:val="24"/>
          <w:szCs w:val="24"/>
        </w:rPr>
        <w:t xml:space="preserve"> utilizadas no estudo,</w:t>
      </w:r>
      <w:r w:rsidR="00027501" w:rsidRPr="00596D1F">
        <w:rPr>
          <w:rFonts w:ascii="Times New Roman" w:hAnsi="Times New Roman"/>
          <w:color w:val="000000" w:themeColor="text1"/>
          <w:sz w:val="24"/>
          <w:szCs w:val="24"/>
        </w:rPr>
        <w:t xml:space="preserve"> bem como as</w:t>
      </w:r>
      <w:r w:rsidRPr="00596D1F">
        <w:rPr>
          <w:rFonts w:ascii="Times New Roman" w:hAnsi="Times New Roman"/>
          <w:color w:val="000000" w:themeColor="text1"/>
          <w:sz w:val="24"/>
          <w:szCs w:val="24"/>
        </w:rPr>
        <w:t xml:space="preserve"> características </w:t>
      </w:r>
      <w:r w:rsidR="00BA7D4F" w:rsidRPr="00596D1F">
        <w:rPr>
          <w:rFonts w:ascii="Times New Roman" w:hAnsi="Times New Roman"/>
          <w:color w:val="000000" w:themeColor="text1"/>
          <w:sz w:val="24"/>
          <w:szCs w:val="24"/>
        </w:rPr>
        <w:t xml:space="preserve">inerentes a </w:t>
      </w:r>
      <w:r w:rsidR="002455C3" w:rsidRPr="00596D1F">
        <w:rPr>
          <w:rFonts w:ascii="Times New Roman" w:hAnsi="Times New Roman"/>
          <w:color w:val="000000" w:themeColor="text1"/>
          <w:sz w:val="24"/>
          <w:szCs w:val="24"/>
        </w:rPr>
        <w:t>cada uma delas.</w:t>
      </w:r>
    </w:p>
    <w:p w14:paraId="00E4C001" w14:textId="65F13407" w:rsidR="00DB0469" w:rsidRDefault="00BF65A8" w:rsidP="000B6B45">
      <w:pPr>
        <w:autoSpaceDE w:val="0"/>
        <w:autoSpaceDN w:val="0"/>
        <w:adjustRightInd w:val="0"/>
        <w:spacing w:after="0" w:line="240" w:lineRule="auto"/>
        <w:ind w:firstLine="708"/>
        <w:jc w:val="both"/>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VlSanção</m:t>
            </m:r>
          </m:e>
          <m:sub>
            <m:r>
              <w:rPr>
                <w:rFonts w:ascii="Cambria Math" w:hAnsi="Cambria Math"/>
                <w:color w:val="000000" w:themeColor="text1"/>
                <w:sz w:val="24"/>
                <w:szCs w:val="24"/>
              </w:rPr>
              <m:t>it</m:t>
            </m:r>
          </m:sub>
        </m:sSub>
        <m:r>
          <w:rPr>
            <w:rFonts w:ascii="Cambria Math" w:hAnsi="Cambria Math"/>
            <w:color w:val="000000" w:themeColor="text1"/>
            <w:sz w:val="24"/>
            <w:szCs w:val="24"/>
          </w:rPr>
          <m:t>= α+</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1</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Leitransp</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2</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RCLpercapta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3</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Anoeleitoral</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4</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Autarquia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5</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Prefeitura</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β</m:t>
            </m:r>
          </m:e>
          <m:sub>
            <m:r>
              <w:rPr>
                <w:rFonts w:ascii="Cambria Math" w:hAnsi="Cambria Math"/>
                <w:color w:val="000000" w:themeColor="text1"/>
                <w:sz w:val="24"/>
                <w:szCs w:val="24"/>
              </w:rPr>
              <m:t>6</m:t>
            </m:r>
          </m:sub>
        </m:sSub>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Numerofases</m:t>
            </m:r>
          </m:e>
          <m:sub>
            <m:r>
              <w:rPr>
                <w:rFonts w:ascii="Cambria Math" w:hAnsi="Cambria Math"/>
                <w:color w:val="000000" w:themeColor="text1"/>
                <w:sz w:val="24"/>
                <w:szCs w:val="24"/>
              </w:rPr>
              <m:t>it</m:t>
            </m:r>
          </m:sub>
        </m:sSub>
        <m:r>
          <m:rPr>
            <m:sty m:val="p"/>
          </m:rPr>
          <w:rPr>
            <w:rFonts w:ascii="Cambria Math" w:hAnsi="Cambria Math"/>
            <w:color w:val="000000" w:themeColor="text1"/>
            <w:sz w:val="24"/>
            <w:szCs w:val="24"/>
          </w:rPr>
          <m:t xml:space="preserve">+ε </m:t>
        </m:r>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 xml:space="preserve"> </m:t>
        </m:r>
        <m:r>
          <m:rPr>
            <m:sty m:val="p"/>
          </m:rPr>
          <w:rPr>
            <w:rFonts w:ascii="Cambria Math" w:hAnsi="Cambria Math"/>
            <w:color w:val="000000" w:themeColor="text1"/>
            <w:sz w:val="24"/>
            <w:szCs w:val="24"/>
          </w:rPr>
          <m:t xml:space="preserve"> </m:t>
        </m:r>
        <m:r>
          <w:rPr>
            <w:rFonts w:ascii="Cambria Math" w:hAnsi="Cambria Math"/>
            <w:color w:val="000000" w:themeColor="text1"/>
            <w:sz w:val="24"/>
            <w:szCs w:val="24"/>
          </w:rPr>
          <m:t xml:space="preserve"> </m:t>
        </m:r>
      </m:oMath>
      <w:r w:rsidR="00760C38" w:rsidRPr="00596D1F">
        <w:rPr>
          <w:rFonts w:ascii="Times New Roman" w:hAnsi="Times New Roman"/>
          <w:color w:val="000000" w:themeColor="text1"/>
          <w:sz w:val="24"/>
          <w:szCs w:val="24"/>
        </w:rPr>
        <w:t xml:space="preserve"> </w:t>
      </w:r>
    </w:p>
    <w:p w14:paraId="2D1737BF" w14:textId="39EC73D3" w:rsidR="00E37AD7" w:rsidRDefault="00E37AD7"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6B3786DE" w14:textId="0426E8AF" w:rsidR="00D26D12" w:rsidRPr="00D26D12" w:rsidRDefault="00D26D12" w:rsidP="00D26D12">
      <w:pPr>
        <w:autoSpaceDE w:val="0"/>
        <w:autoSpaceDN w:val="0"/>
        <w:adjustRightInd w:val="0"/>
        <w:spacing w:after="0" w:line="240" w:lineRule="auto"/>
        <w:jc w:val="center"/>
        <w:rPr>
          <w:rFonts w:ascii="Times New Roman" w:hAnsi="Times New Roman"/>
          <w:b/>
          <w:bCs/>
          <w:color w:val="000000" w:themeColor="text1"/>
          <w:sz w:val="20"/>
          <w:szCs w:val="20"/>
        </w:rPr>
      </w:pPr>
      <w:r w:rsidRPr="00D26D12">
        <w:rPr>
          <w:rFonts w:ascii="Times New Roman" w:hAnsi="Times New Roman"/>
          <w:b/>
          <w:bCs/>
          <w:color w:val="000000" w:themeColor="text1"/>
          <w:sz w:val="20"/>
          <w:szCs w:val="20"/>
        </w:rPr>
        <w:t>Quadro 1- Descrição das variáveis utilizadas</w:t>
      </w:r>
    </w:p>
    <w:tbl>
      <w:tblPr>
        <w:tblW w:w="9136" w:type="dxa"/>
        <w:tblInd w:w="75" w:type="dxa"/>
        <w:tblCellMar>
          <w:left w:w="70" w:type="dxa"/>
          <w:right w:w="70" w:type="dxa"/>
        </w:tblCellMar>
        <w:tblLook w:val="04A0" w:firstRow="1" w:lastRow="0" w:firstColumn="1" w:lastColumn="0" w:noHBand="0" w:noVBand="1"/>
      </w:tblPr>
      <w:tblGrid>
        <w:gridCol w:w="2474"/>
        <w:gridCol w:w="3629"/>
        <w:gridCol w:w="1129"/>
        <w:gridCol w:w="1904"/>
      </w:tblGrid>
      <w:tr w:rsidR="00596D1F" w:rsidRPr="00596D1F" w14:paraId="0C976190" w14:textId="77777777" w:rsidTr="002E05C5">
        <w:trPr>
          <w:trHeight w:val="20"/>
        </w:trPr>
        <w:tc>
          <w:tcPr>
            <w:tcW w:w="24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DA548" w14:textId="77777777" w:rsidR="00016724" w:rsidRPr="00596D1F" w:rsidRDefault="00016724" w:rsidP="00927F22">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Variáveis</w:t>
            </w:r>
          </w:p>
        </w:tc>
        <w:tc>
          <w:tcPr>
            <w:tcW w:w="3629" w:type="dxa"/>
            <w:tcBorders>
              <w:top w:val="single" w:sz="4" w:space="0" w:color="auto"/>
              <w:left w:val="nil"/>
              <w:bottom w:val="single" w:sz="4" w:space="0" w:color="auto"/>
              <w:right w:val="single" w:sz="4" w:space="0" w:color="auto"/>
            </w:tcBorders>
            <w:shd w:val="clear" w:color="auto" w:fill="auto"/>
            <w:noWrap/>
            <w:vAlign w:val="bottom"/>
            <w:hideMark/>
          </w:tcPr>
          <w:p w14:paraId="77EAA2A1" w14:textId="77777777" w:rsidR="00016724" w:rsidRPr="00596D1F" w:rsidRDefault="00016724" w:rsidP="00927F22">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Descrição</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14:paraId="7F6DF4C5" w14:textId="77777777" w:rsidR="00016724" w:rsidRPr="00596D1F" w:rsidRDefault="00016724" w:rsidP="00927F22">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Tipo</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38541431" w14:textId="77777777" w:rsidR="00016724" w:rsidRPr="00596D1F" w:rsidRDefault="00016724" w:rsidP="00927F22">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Formatação</w:t>
            </w:r>
          </w:p>
        </w:tc>
      </w:tr>
      <w:tr w:rsidR="00596D1F" w:rsidRPr="00596D1F" w14:paraId="123F23F2" w14:textId="77777777" w:rsidTr="00927F22">
        <w:trPr>
          <w:trHeight w:val="20"/>
        </w:trPr>
        <w:tc>
          <w:tcPr>
            <w:tcW w:w="9136"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268688E9" w14:textId="77777777" w:rsidR="00016724" w:rsidRPr="00596D1F" w:rsidRDefault="00016724" w:rsidP="00760C38">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Variável Dependente</w:t>
            </w:r>
          </w:p>
        </w:tc>
      </w:tr>
      <w:tr w:rsidR="00596D1F" w:rsidRPr="00596D1F" w14:paraId="21416878" w14:textId="77777777" w:rsidTr="00927F22">
        <w:trPr>
          <w:trHeight w:val="20"/>
        </w:trPr>
        <w:tc>
          <w:tcPr>
            <w:tcW w:w="2474" w:type="dxa"/>
            <w:tcBorders>
              <w:top w:val="nil"/>
              <w:left w:val="single" w:sz="4" w:space="0" w:color="auto"/>
              <w:bottom w:val="single" w:sz="4" w:space="0" w:color="auto"/>
              <w:right w:val="single" w:sz="4" w:space="0" w:color="auto"/>
            </w:tcBorders>
            <w:shd w:val="clear" w:color="auto" w:fill="auto"/>
            <w:noWrap/>
            <w:hideMark/>
          </w:tcPr>
          <w:p w14:paraId="1B52B177" w14:textId="44EAEC90" w:rsidR="00016724" w:rsidRPr="00596D1F" w:rsidRDefault="00016724" w:rsidP="00760C38">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Valor d</w:t>
            </w:r>
            <w:r w:rsidR="00A733F4" w:rsidRPr="00596D1F">
              <w:rPr>
                <w:rFonts w:ascii="Times New Roman" w:eastAsia="Times New Roman" w:hAnsi="Times New Roman"/>
                <w:color w:val="000000" w:themeColor="text1"/>
                <w:sz w:val="20"/>
                <w:szCs w:val="20"/>
                <w:lang w:eastAsia="pt-BR"/>
              </w:rPr>
              <w:t>a sanção líquida</w:t>
            </w:r>
            <w:r w:rsidRPr="00596D1F">
              <w:rPr>
                <w:rFonts w:ascii="Times New Roman" w:eastAsia="Times New Roman" w:hAnsi="Times New Roman"/>
                <w:color w:val="000000" w:themeColor="text1"/>
                <w:sz w:val="20"/>
                <w:szCs w:val="20"/>
                <w:lang w:eastAsia="pt-BR"/>
              </w:rPr>
              <w:t xml:space="preserve"> atualizad</w:t>
            </w:r>
            <w:r w:rsidR="00A733F4" w:rsidRPr="00596D1F">
              <w:rPr>
                <w:rFonts w:ascii="Times New Roman" w:eastAsia="Times New Roman" w:hAnsi="Times New Roman"/>
                <w:color w:val="000000" w:themeColor="text1"/>
                <w:sz w:val="20"/>
                <w:szCs w:val="20"/>
                <w:lang w:eastAsia="pt-BR"/>
              </w:rPr>
              <w:t>o</w:t>
            </w:r>
            <w:r w:rsidRPr="00596D1F">
              <w:rPr>
                <w:rFonts w:ascii="Times New Roman" w:eastAsia="Times New Roman" w:hAnsi="Times New Roman"/>
                <w:color w:val="000000" w:themeColor="text1"/>
                <w:sz w:val="20"/>
                <w:szCs w:val="20"/>
                <w:lang w:eastAsia="pt-BR"/>
              </w:rPr>
              <w:t xml:space="preserve"> (</w:t>
            </w:r>
            <w:proofErr w:type="spellStart"/>
            <w:r w:rsidRPr="00596D1F">
              <w:rPr>
                <w:rFonts w:ascii="Times New Roman" w:eastAsia="Times New Roman" w:hAnsi="Times New Roman"/>
                <w:color w:val="000000" w:themeColor="text1"/>
                <w:sz w:val="20"/>
                <w:szCs w:val="20"/>
                <w:lang w:eastAsia="pt-BR"/>
              </w:rPr>
              <w:t>vl</w:t>
            </w:r>
            <w:r w:rsidR="00A733F4" w:rsidRPr="00596D1F">
              <w:rPr>
                <w:rFonts w:ascii="Times New Roman" w:eastAsia="Times New Roman" w:hAnsi="Times New Roman"/>
                <w:color w:val="000000" w:themeColor="text1"/>
                <w:sz w:val="20"/>
                <w:szCs w:val="20"/>
                <w:lang w:eastAsia="pt-BR"/>
              </w:rPr>
              <w:t>Sanção</w:t>
            </w:r>
            <w:proofErr w:type="spellEnd"/>
            <w:r w:rsidRPr="00596D1F">
              <w:rPr>
                <w:rFonts w:ascii="Times New Roman" w:eastAsia="Times New Roman" w:hAnsi="Times New Roman"/>
                <w:color w:val="000000" w:themeColor="text1"/>
                <w:sz w:val="20"/>
                <w:szCs w:val="20"/>
                <w:lang w:eastAsia="pt-BR"/>
              </w:rPr>
              <w:t>)</w:t>
            </w:r>
          </w:p>
        </w:tc>
        <w:tc>
          <w:tcPr>
            <w:tcW w:w="3629" w:type="dxa"/>
            <w:tcBorders>
              <w:top w:val="nil"/>
              <w:left w:val="nil"/>
              <w:bottom w:val="single" w:sz="4" w:space="0" w:color="auto"/>
              <w:right w:val="single" w:sz="4" w:space="0" w:color="auto"/>
            </w:tcBorders>
            <w:shd w:val="clear" w:color="auto" w:fill="auto"/>
            <w:noWrap/>
            <w:hideMark/>
          </w:tcPr>
          <w:p w14:paraId="4E6EDEB2"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Valor d</w:t>
            </w:r>
            <w:r w:rsidR="00A733F4" w:rsidRPr="00596D1F">
              <w:rPr>
                <w:rFonts w:ascii="Times New Roman" w:eastAsia="Times New Roman" w:hAnsi="Times New Roman"/>
                <w:color w:val="000000" w:themeColor="text1"/>
                <w:sz w:val="20"/>
                <w:szCs w:val="20"/>
                <w:lang w:eastAsia="pt-BR"/>
              </w:rPr>
              <w:t>a sanção</w:t>
            </w:r>
            <w:r w:rsidRPr="00596D1F">
              <w:rPr>
                <w:rFonts w:ascii="Times New Roman" w:eastAsia="Times New Roman" w:hAnsi="Times New Roman"/>
                <w:color w:val="000000" w:themeColor="text1"/>
                <w:sz w:val="20"/>
                <w:szCs w:val="20"/>
                <w:lang w:eastAsia="pt-BR"/>
              </w:rPr>
              <w:t>, já líquid</w:t>
            </w:r>
            <w:r w:rsidR="00A733F4" w:rsidRPr="00596D1F">
              <w:rPr>
                <w:rFonts w:ascii="Times New Roman" w:eastAsia="Times New Roman" w:hAnsi="Times New Roman"/>
                <w:color w:val="000000" w:themeColor="text1"/>
                <w:sz w:val="20"/>
                <w:szCs w:val="20"/>
                <w:lang w:eastAsia="pt-BR"/>
              </w:rPr>
              <w:t>o</w:t>
            </w:r>
            <w:r w:rsidRPr="00596D1F">
              <w:rPr>
                <w:rFonts w:ascii="Times New Roman" w:eastAsia="Times New Roman" w:hAnsi="Times New Roman"/>
                <w:color w:val="000000" w:themeColor="text1"/>
                <w:sz w:val="20"/>
                <w:szCs w:val="20"/>
                <w:lang w:eastAsia="pt-BR"/>
              </w:rPr>
              <w:t xml:space="preserve"> do valor anulado, atualizado monetariamente pelo IPCA-E, foi utilizada a data da imputação para atualização.</w:t>
            </w:r>
            <w:r w:rsidR="00A733F4" w:rsidRPr="00596D1F">
              <w:rPr>
                <w:rFonts w:ascii="Times New Roman" w:eastAsia="Times New Roman" w:hAnsi="Times New Roman"/>
                <w:color w:val="000000" w:themeColor="text1"/>
                <w:sz w:val="20"/>
                <w:szCs w:val="20"/>
                <w:lang w:eastAsia="pt-BR"/>
              </w:rPr>
              <w:t xml:space="preserve"> Para o Modelo 1 utilizou-se o somatório dos valores a título de débito </w:t>
            </w:r>
            <w:r w:rsidR="00A733F4" w:rsidRPr="00596D1F">
              <w:rPr>
                <w:rFonts w:ascii="Times New Roman" w:eastAsia="Times New Roman" w:hAnsi="Times New Roman"/>
                <w:color w:val="000000" w:themeColor="text1"/>
                <w:sz w:val="20"/>
                <w:szCs w:val="20"/>
                <w:lang w:eastAsia="pt-BR"/>
              </w:rPr>
              <w:lastRenderedPageBreak/>
              <w:t>e multa. Para o Modelo 2, somente as imputações de débito. E para o modelo 3, apenas os valores de multas aplicadas.</w:t>
            </w:r>
          </w:p>
        </w:tc>
        <w:tc>
          <w:tcPr>
            <w:tcW w:w="1129" w:type="dxa"/>
            <w:tcBorders>
              <w:top w:val="nil"/>
              <w:left w:val="nil"/>
              <w:bottom w:val="single" w:sz="4" w:space="0" w:color="auto"/>
              <w:right w:val="single" w:sz="4" w:space="0" w:color="auto"/>
            </w:tcBorders>
            <w:shd w:val="clear" w:color="auto" w:fill="auto"/>
            <w:noWrap/>
            <w:hideMark/>
          </w:tcPr>
          <w:p w14:paraId="0E6242E9"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lastRenderedPageBreak/>
              <w:t>Quantitativa</w:t>
            </w:r>
          </w:p>
        </w:tc>
        <w:tc>
          <w:tcPr>
            <w:tcW w:w="1904" w:type="dxa"/>
            <w:tcBorders>
              <w:top w:val="nil"/>
              <w:left w:val="nil"/>
              <w:bottom w:val="single" w:sz="4" w:space="0" w:color="auto"/>
              <w:right w:val="single" w:sz="4" w:space="0" w:color="auto"/>
            </w:tcBorders>
            <w:shd w:val="clear" w:color="auto" w:fill="auto"/>
            <w:noWrap/>
            <w:hideMark/>
          </w:tcPr>
          <w:p w14:paraId="6AAD9BDD"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Valor nominal atualizado</w:t>
            </w:r>
          </w:p>
        </w:tc>
      </w:tr>
      <w:tr w:rsidR="00596D1F" w:rsidRPr="00596D1F" w14:paraId="04DE1659" w14:textId="77777777" w:rsidTr="00927F22">
        <w:trPr>
          <w:trHeight w:val="20"/>
        </w:trPr>
        <w:tc>
          <w:tcPr>
            <w:tcW w:w="9136"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65518EBF" w14:textId="0DAF7548" w:rsidR="00016724" w:rsidRPr="00596D1F" w:rsidRDefault="00760C38" w:rsidP="00760C38">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Variável de interesse</w:t>
            </w:r>
          </w:p>
        </w:tc>
      </w:tr>
      <w:tr w:rsidR="00596D1F" w:rsidRPr="00596D1F" w14:paraId="637D79CF" w14:textId="77777777" w:rsidTr="00927F22">
        <w:trPr>
          <w:trHeight w:val="965"/>
        </w:trPr>
        <w:tc>
          <w:tcPr>
            <w:tcW w:w="2474" w:type="dxa"/>
            <w:tcBorders>
              <w:top w:val="nil"/>
              <w:left w:val="single" w:sz="4" w:space="0" w:color="auto"/>
              <w:bottom w:val="single" w:sz="4" w:space="0" w:color="auto"/>
              <w:right w:val="single" w:sz="4" w:space="0" w:color="auto"/>
            </w:tcBorders>
            <w:shd w:val="clear" w:color="auto" w:fill="auto"/>
            <w:noWrap/>
            <w:hideMark/>
          </w:tcPr>
          <w:p w14:paraId="570C0975" w14:textId="3167650F"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Lei da Transparê</w:t>
            </w:r>
            <w:r w:rsidR="00760C38" w:rsidRPr="00596D1F">
              <w:rPr>
                <w:rFonts w:ascii="Times New Roman" w:eastAsia="Times New Roman" w:hAnsi="Times New Roman"/>
                <w:color w:val="000000" w:themeColor="text1"/>
                <w:sz w:val="20"/>
                <w:szCs w:val="20"/>
                <w:lang w:eastAsia="pt-BR"/>
              </w:rPr>
              <w:t>ncia (</w:t>
            </w:r>
            <w:proofErr w:type="spellStart"/>
            <w:r w:rsidR="00760C38" w:rsidRPr="00596D1F">
              <w:rPr>
                <w:rFonts w:ascii="Times New Roman" w:eastAsia="Times New Roman" w:hAnsi="Times New Roman"/>
                <w:color w:val="000000" w:themeColor="text1"/>
                <w:sz w:val="20"/>
                <w:szCs w:val="20"/>
                <w:lang w:eastAsia="pt-BR"/>
              </w:rPr>
              <w:t>Leitransp</w:t>
            </w:r>
            <w:proofErr w:type="spellEnd"/>
            <w:r w:rsidRPr="00596D1F">
              <w:rPr>
                <w:rFonts w:ascii="Times New Roman" w:eastAsia="Times New Roman" w:hAnsi="Times New Roman"/>
                <w:color w:val="000000" w:themeColor="text1"/>
                <w:sz w:val="20"/>
                <w:szCs w:val="20"/>
                <w:lang w:eastAsia="pt-BR"/>
              </w:rPr>
              <w:t>)</w:t>
            </w:r>
          </w:p>
        </w:tc>
        <w:tc>
          <w:tcPr>
            <w:tcW w:w="3629" w:type="dxa"/>
            <w:tcBorders>
              <w:top w:val="nil"/>
              <w:left w:val="nil"/>
              <w:bottom w:val="single" w:sz="4" w:space="0" w:color="auto"/>
              <w:right w:val="single" w:sz="4" w:space="0" w:color="auto"/>
            </w:tcBorders>
            <w:shd w:val="clear" w:color="auto" w:fill="auto"/>
            <w:noWrap/>
            <w:hideMark/>
          </w:tcPr>
          <w:p w14:paraId="03D39F08"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Variável </w:t>
            </w:r>
            <w:proofErr w:type="spellStart"/>
            <w:r w:rsidRPr="00596D1F">
              <w:rPr>
                <w:rFonts w:ascii="Times New Roman" w:eastAsia="Times New Roman" w:hAnsi="Times New Roman"/>
                <w:i/>
                <w:color w:val="000000" w:themeColor="text1"/>
                <w:sz w:val="20"/>
                <w:szCs w:val="20"/>
                <w:lang w:eastAsia="pt-BR"/>
              </w:rPr>
              <w:t>dummy</w:t>
            </w:r>
            <w:proofErr w:type="spellEnd"/>
            <w:r w:rsidRPr="00596D1F">
              <w:rPr>
                <w:rFonts w:ascii="Times New Roman" w:eastAsia="Times New Roman" w:hAnsi="Times New Roman"/>
                <w:color w:val="000000" w:themeColor="text1"/>
                <w:sz w:val="20"/>
                <w:szCs w:val="20"/>
                <w:lang w:eastAsia="pt-BR"/>
              </w:rPr>
              <w:t xml:space="preserve"> que identifica o ano em que a Lei da Transparência, nível estadual, entrou em vigor.</w:t>
            </w:r>
          </w:p>
        </w:tc>
        <w:tc>
          <w:tcPr>
            <w:tcW w:w="1129" w:type="dxa"/>
            <w:tcBorders>
              <w:top w:val="nil"/>
              <w:left w:val="nil"/>
              <w:bottom w:val="single" w:sz="4" w:space="0" w:color="auto"/>
              <w:right w:val="single" w:sz="4" w:space="0" w:color="auto"/>
            </w:tcBorders>
            <w:shd w:val="clear" w:color="auto" w:fill="auto"/>
            <w:noWrap/>
            <w:hideMark/>
          </w:tcPr>
          <w:p w14:paraId="68889AFE"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Qualitativa</w:t>
            </w:r>
          </w:p>
        </w:tc>
        <w:tc>
          <w:tcPr>
            <w:tcW w:w="1904" w:type="dxa"/>
            <w:tcBorders>
              <w:top w:val="nil"/>
              <w:left w:val="nil"/>
              <w:bottom w:val="single" w:sz="4" w:space="0" w:color="auto"/>
              <w:right w:val="single" w:sz="4" w:space="0" w:color="auto"/>
            </w:tcBorders>
            <w:shd w:val="clear" w:color="auto" w:fill="auto"/>
            <w:noWrap/>
            <w:hideMark/>
          </w:tcPr>
          <w:p w14:paraId="5BAEFF1A" w14:textId="6D5D111D"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0=ano antes da lei entrar em vigor</w:t>
            </w:r>
            <w:r w:rsidR="00DC1B37">
              <w:rPr>
                <w:rFonts w:ascii="Times New Roman" w:eastAsia="Times New Roman" w:hAnsi="Times New Roman"/>
                <w:color w:val="000000" w:themeColor="text1"/>
                <w:sz w:val="20"/>
                <w:szCs w:val="20"/>
                <w:lang w:eastAsia="pt-BR"/>
              </w:rPr>
              <w:t xml:space="preserve"> </w:t>
            </w:r>
            <w:r w:rsidRPr="00596D1F">
              <w:rPr>
                <w:rFonts w:ascii="Times New Roman" w:eastAsia="Times New Roman" w:hAnsi="Times New Roman"/>
                <w:color w:val="000000" w:themeColor="text1"/>
                <w:sz w:val="20"/>
                <w:szCs w:val="20"/>
                <w:lang w:eastAsia="pt-BR"/>
              </w:rPr>
              <w:t xml:space="preserve">(2009 a 2012); 1=ano em que a lei entrou em </w:t>
            </w:r>
            <w:proofErr w:type="gramStart"/>
            <w:r w:rsidRPr="00596D1F">
              <w:rPr>
                <w:rFonts w:ascii="Times New Roman" w:eastAsia="Times New Roman" w:hAnsi="Times New Roman"/>
                <w:color w:val="000000" w:themeColor="text1"/>
                <w:sz w:val="20"/>
                <w:szCs w:val="20"/>
                <w:lang w:eastAsia="pt-BR"/>
              </w:rPr>
              <w:t>vigor(</w:t>
            </w:r>
            <w:proofErr w:type="gramEnd"/>
            <w:r w:rsidRPr="00596D1F">
              <w:rPr>
                <w:rFonts w:ascii="Times New Roman" w:eastAsia="Times New Roman" w:hAnsi="Times New Roman"/>
                <w:color w:val="000000" w:themeColor="text1"/>
                <w:sz w:val="20"/>
                <w:szCs w:val="20"/>
                <w:lang w:eastAsia="pt-BR"/>
              </w:rPr>
              <w:t>2013 a 2016)</w:t>
            </w:r>
          </w:p>
        </w:tc>
      </w:tr>
      <w:tr w:rsidR="00596D1F" w:rsidRPr="00596D1F" w14:paraId="01D0DAA4" w14:textId="77777777" w:rsidTr="00760C38">
        <w:trPr>
          <w:trHeight w:val="301"/>
        </w:trPr>
        <w:tc>
          <w:tcPr>
            <w:tcW w:w="9136" w:type="dxa"/>
            <w:gridSpan w:val="4"/>
            <w:tcBorders>
              <w:top w:val="nil"/>
              <w:left w:val="single" w:sz="4" w:space="0" w:color="auto"/>
              <w:bottom w:val="single" w:sz="4" w:space="0" w:color="auto"/>
              <w:right w:val="single" w:sz="4" w:space="0" w:color="auto"/>
            </w:tcBorders>
            <w:shd w:val="clear" w:color="auto" w:fill="auto"/>
            <w:noWrap/>
          </w:tcPr>
          <w:p w14:paraId="6DE192FD" w14:textId="02AFDAE8" w:rsidR="00760C38" w:rsidRPr="00596D1F" w:rsidRDefault="00760C38" w:rsidP="00760C38">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Variáveis de controle</w:t>
            </w:r>
          </w:p>
        </w:tc>
      </w:tr>
      <w:tr w:rsidR="00596D1F" w:rsidRPr="00596D1F" w14:paraId="30A99F36" w14:textId="77777777" w:rsidTr="00927F22">
        <w:trPr>
          <w:trHeight w:val="20"/>
        </w:trPr>
        <w:tc>
          <w:tcPr>
            <w:tcW w:w="2474" w:type="dxa"/>
            <w:tcBorders>
              <w:top w:val="nil"/>
              <w:left w:val="single" w:sz="4" w:space="0" w:color="auto"/>
              <w:bottom w:val="single" w:sz="4" w:space="0" w:color="auto"/>
              <w:right w:val="single" w:sz="4" w:space="0" w:color="auto"/>
            </w:tcBorders>
            <w:shd w:val="clear" w:color="auto" w:fill="auto"/>
            <w:noWrap/>
            <w:hideMark/>
          </w:tcPr>
          <w:p w14:paraId="5FB6F395" w14:textId="0B30EFD1" w:rsidR="00016724" w:rsidRPr="00596D1F" w:rsidRDefault="00016724" w:rsidP="00D7578B">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RCL per capita atualizada (</w:t>
            </w:r>
            <w:proofErr w:type="spellStart"/>
            <w:r w:rsidRPr="00596D1F">
              <w:rPr>
                <w:rFonts w:ascii="Times New Roman" w:eastAsia="Times New Roman" w:hAnsi="Times New Roman"/>
                <w:color w:val="000000" w:themeColor="text1"/>
                <w:sz w:val="20"/>
                <w:szCs w:val="20"/>
                <w:lang w:eastAsia="pt-BR"/>
              </w:rPr>
              <w:t>RCLpercapta</w:t>
            </w:r>
            <w:proofErr w:type="spellEnd"/>
            <w:r w:rsidRPr="00596D1F">
              <w:rPr>
                <w:rFonts w:ascii="Times New Roman" w:eastAsia="Times New Roman" w:hAnsi="Times New Roman"/>
                <w:color w:val="000000" w:themeColor="text1"/>
                <w:sz w:val="20"/>
                <w:szCs w:val="20"/>
                <w:lang w:eastAsia="pt-BR"/>
              </w:rPr>
              <w:t>)</w:t>
            </w:r>
          </w:p>
        </w:tc>
        <w:tc>
          <w:tcPr>
            <w:tcW w:w="3629" w:type="dxa"/>
            <w:tcBorders>
              <w:top w:val="nil"/>
              <w:left w:val="nil"/>
              <w:bottom w:val="single" w:sz="4" w:space="0" w:color="auto"/>
              <w:right w:val="single" w:sz="4" w:space="0" w:color="auto"/>
            </w:tcBorders>
            <w:shd w:val="clear" w:color="auto" w:fill="auto"/>
            <w:noWrap/>
            <w:hideMark/>
          </w:tcPr>
          <w:p w14:paraId="08AB7EDD" w14:textId="77777777" w:rsidR="00016724" w:rsidRPr="00596D1F" w:rsidRDefault="00016724" w:rsidP="008D7C8C">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Valor da </w:t>
            </w:r>
            <w:r w:rsidR="008D7C8C" w:rsidRPr="00596D1F">
              <w:rPr>
                <w:rFonts w:ascii="Times New Roman" w:eastAsia="Times New Roman" w:hAnsi="Times New Roman"/>
                <w:color w:val="000000" w:themeColor="text1"/>
                <w:sz w:val="20"/>
                <w:szCs w:val="20"/>
                <w:lang w:eastAsia="pt-BR"/>
              </w:rPr>
              <w:t>r</w:t>
            </w:r>
            <w:r w:rsidRPr="00596D1F">
              <w:rPr>
                <w:rFonts w:ascii="Times New Roman" w:eastAsia="Times New Roman" w:hAnsi="Times New Roman"/>
                <w:color w:val="000000" w:themeColor="text1"/>
                <w:sz w:val="20"/>
                <w:szCs w:val="20"/>
                <w:lang w:eastAsia="pt-BR"/>
              </w:rPr>
              <w:t>eceita líquida corrente do ano de prestação de contas, atualizado pelo IPCA-E (índice de atualização monetária oficial do governo), e dividida pelo número da população municipal)</w:t>
            </w:r>
          </w:p>
        </w:tc>
        <w:tc>
          <w:tcPr>
            <w:tcW w:w="1129" w:type="dxa"/>
            <w:tcBorders>
              <w:top w:val="nil"/>
              <w:left w:val="nil"/>
              <w:bottom w:val="single" w:sz="4" w:space="0" w:color="auto"/>
              <w:right w:val="single" w:sz="4" w:space="0" w:color="auto"/>
            </w:tcBorders>
            <w:shd w:val="clear" w:color="auto" w:fill="auto"/>
            <w:noWrap/>
            <w:hideMark/>
          </w:tcPr>
          <w:p w14:paraId="362E8EB2"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Quantitativa</w:t>
            </w:r>
          </w:p>
        </w:tc>
        <w:tc>
          <w:tcPr>
            <w:tcW w:w="1904" w:type="dxa"/>
            <w:tcBorders>
              <w:top w:val="nil"/>
              <w:left w:val="nil"/>
              <w:bottom w:val="single" w:sz="4" w:space="0" w:color="auto"/>
              <w:right w:val="single" w:sz="4" w:space="0" w:color="auto"/>
            </w:tcBorders>
            <w:shd w:val="clear" w:color="auto" w:fill="auto"/>
            <w:noWrap/>
            <w:hideMark/>
          </w:tcPr>
          <w:p w14:paraId="33251529"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proofErr w:type="spellStart"/>
            <w:r w:rsidRPr="00596D1F">
              <w:rPr>
                <w:rFonts w:ascii="Times New Roman" w:eastAsia="Times New Roman" w:hAnsi="Times New Roman"/>
                <w:color w:val="000000" w:themeColor="text1"/>
                <w:sz w:val="20"/>
                <w:szCs w:val="20"/>
                <w:lang w:eastAsia="pt-BR"/>
              </w:rPr>
              <w:t>RCL_atualiz</w:t>
            </w:r>
            <w:proofErr w:type="spellEnd"/>
            <w:r w:rsidRPr="00596D1F">
              <w:rPr>
                <w:rFonts w:ascii="Times New Roman" w:eastAsia="Times New Roman" w:hAnsi="Times New Roman"/>
                <w:color w:val="000000" w:themeColor="text1"/>
                <w:sz w:val="20"/>
                <w:szCs w:val="20"/>
                <w:lang w:eastAsia="pt-BR"/>
              </w:rPr>
              <w:t xml:space="preserve"> / nº da população</w:t>
            </w:r>
          </w:p>
        </w:tc>
      </w:tr>
      <w:tr w:rsidR="00596D1F" w:rsidRPr="00596D1F" w14:paraId="2B3BE57D" w14:textId="77777777" w:rsidTr="00927F22">
        <w:trPr>
          <w:trHeight w:val="20"/>
        </w:trPr>
        <w:tc>
          <w:tcPr>
            <w:tcW w:w="2474" w:type="dxa"/>
            <w:tcBorders>
              <w:top w:val="nil"/>
              <w:left w:val="single" w:sz="4" w:space="0" w:color="auto"/>
              <w:bottom w:val="single" w:sz="4" w:space="0" w:color="auto"/>
              <w:right w:val="single" w:sz="4" w:space="0" w:color="auto"/>
            </w:tcBorders>
            <w:shd w:val="clear" w:color="auto" w:fill="auto"/>
            <w:noWrap/>
            <w:hideMark/>
          </w:tcPr>
          <w:p w14:paraId="764DA1DF" w14:textId="77777777" w:rsidR="00016724" w:rsidRPr="00596D1F" w:rsidRDefault="008D7C8C"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Ano eleit</w:t>
            </w:r>
            <w:r w:rsidR="00016724" w:rsidRPr="00596D1F">
              <w:rPr>
                <w:rFonts w:ascii="Times New Roman" w:eastAsia="Times New Roman" w:hAnsi="Times New Roman"/>
                <w:color w:val="000000" w:themeColor="text1"/>
                <w:sz w:val="20"/>
                <w:szCs w:val="20"/>
                <w:lang w:eastAsia="pt-BR"/>
              </w:rPr>
              <w:t>oral (</w:t>
            </w:r>
            <w:proofErr w:type="spellStart"/>
            <w:r w:rsidR="00016724" w:rsidRPr="00596D1F">
              <w:rPr>
                <w:rFonts w:ascii="Times New Roman" w:eastAsia="Times New Roman" w:hAnsi="Times New Roman"/>
                <w:color w:val="000000" w:themeColor="text1"/>
                <w:sz w:val="20"/>
                <w:szCs w:val="20"/>
                <w:lang w:eastAsia="pt-BR"/>
              </w:rPr>
              <w:t>AnoEleitoral</w:t>
            </w:r>
            <w:proofErr w:type="spellEnd"/>
            <w:r w:rsidR="00016724" w:rsidRPr="00596D1F">
              <w:rPr>
                <w:rFonts w:ascii="Times New Roman" w:eastAsia="Times New Roman" w:hAnsi="Times New Roman"/>
                <w:color w:val="000000" w:themeColor="text1"/>
                <w:sz w:val="20"/>
                <w:szCs w:val="20"/>
                <w:lang w:eastAsia="pt-BR"/>
              </w:rPr>
              <w:t>)</w:t>
            </w:r>
          </w:p>
        </w:tc>
        <w:tc>
          <w:tcPr>
            <w:tcW w:w="3629" w:type="dxa"/>
            <w:tcBorders>
              <w:top w:val="nil"/>
              <w:left w:val="nil"/>
              <w:bottom w:val="single" w:sz="4" w:space="0" w:color="auto"/>
              <w:right w:val="single" w:sz="4" w:space="0" w:color="auto"/>
            </w:tcBorders>
            <w:shd w:val="clear" w:color="auto" w:fill="auto"/>
            <w:noWrap/>
            <w:hideMark/>
          </w:tcPr>
          <w:p w14:paraId="1B47DE40" w14:textId="5C8BFDA8" w:rsidR="00016724" w:rsidRPr="00596D1F" w:rsidRDefault="00016724" w:rsidP="0044183C">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Variável </w:t>
            </w:r>
            <w:proofErr w:type="spellStart"/>
            <w:r w:rsidRPr="00596D1F">
              <w:rPr>
                <w:rFonts w:ascii="Times New Roman" w:eastAsia="Times New Roman" w:hAnsi="Times New Roman"/>
                <w:i/>
                <w:color w:val="000000" w:themeColor="text1"/>
                <w:sz w:val="20"/>
                <w:szCs w:val="20"/>
                <w:lang w:eastAsia="pt-BR"/>
              </w:rPr>
              <w:t>dummy</w:t>
            </w:r>
            <w:proofErr w:type="spellEnd"/>
            <w:r w:rsidRPr="00596D1F">
              <w:rPr>
                <w:rFonts w:ascii="Times New Roman" w:eastAsia="Times New Roman" w:hAnsi="Times New Roman"/>
                <w:color w:val="000000" w:themeColor="text1"/>
                <w:sz w:val="20"/>
                <w:szCs w:val="20"/>
                <w:lang w:eastAsia="pt-BR"/>
              </w:rPr>
              <w:t xml:space="preserve"> que identifica se no ano da prestação de contas houve eleição (municipal).</w:t>
            </w:r>
          </w:p>
        </w:tc>
        <w:tc>
          <w:tcPr>
            <w:tcW w:w="1129" w:type="dxa"/>
            <w:tcBorders>
              <w:top w:val="nil"/>
              <w:left w:val="nil"/>
              <w:bottom w:val="single" w:sz="4" w:space="0" w:color="auto"/>
              <w:right w:val="single" w:sz="4" w:space="0" w:color="auto"/>
            </w:tcBorders>
            <w:shd w:val="clear" w:color="auto" w:fill="auto"/>
            <w:noWrap/>
            <w:hideMark/>
          </w:tcPr>
          <w:p w14:paraId="2F260901"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Qualitativa</w:t>
            </w:r>
          </w:p>
        </w:tc>
        <w:tc>
          <w:tcPr>
            <w:tcW w:w="1904" w:type="dxa"/>
            <w:tcBorders>
              <w:top w:val="nil"/>
              <w:left w:val="nil"/>
              <w:bottom w:val="single" w:sz="4" w:space="0" w:color="auto"/>
              <w:right w:val="single" w:sz="4" w:space="0" w:color="auto"/>
            </w:tcBorders>
            <w:shd w:val="clear" w:color="auto" w:fill="auto"/>
            <w:noWrap/>
            <w:hideMark/>
          </w:tcPr>
          <w:p w14:paraId="61343757"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0=ano não eleitoral; 1=ano eleitoral</w:t>
            </w:r>
          </w:p>
        </w:tc>
      </w:tr>
      <w:tr w:rsidR="00596D1F" w:rsidRPr="00596D1F" w14:paraId="142D2DC1" w14:textId="77777777" w:rsidTr="00927F22">
        <w:trPr>
          <w:trHeight w:val="20"/>
        </w:trPr>
        <w:tc>
          <w:tcPr>
            <w:tcW w:w="2474" w:type="dxa"/>
            <w:tcBorders>
              <w:top w:val="nil"/>
              <w:left w:val="single" w:sz="4" w:space="0" w:color="auto"/>
              <w:bottom w:val="single" w:sz="4" w:space="0" w:color="auto"/>
              <w:right w:val="single" w:sz="4" w:space="0" w:color="auto"/>
            </w:tcBorders>
            <w:shd w:val="clear" w:color="auto" w:fill="auto"/>
            <w:noWrap/>
            <w:hideMark/>
          </w:tcPr>
          <w:p w14:paraId="33DFC0EE"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Autarquia</w:t>
            </w:r>
          </w:p>
        </w:tc>
        <w:tc>
          <w:tcPr>
            <w:tcW w:w="3629" w:type="dxa"/>
            <w:tcBorders>
              <w:top w:val="nil"/>
              <w:left w:val="nil"/>
              <w:bottom w:val="single" w:sz="4" w:space="0" w:color="auto"/>
              <w:right w:val="single" w:sz="4" w:space="0" w:color="auto"/>
            </w:tcBorders>
            <w:shd w:val="clear" w:color="auto" w:fill="auto"/>
            <w:noWrap/>
            <w:hideMark/>
          </w:tcPr>
          <w:p w14:paraId="29F9401B"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Variável </w:t>
            </w:r>
            <w:proofErr w:type="spellStart"/>
            <w:r w:rsidRPr="00596D1F">
              <w:rPr>
                <w:rFonts w:ascii="Times New Roman" w:eastAsia="Times New Roman" w:hAnsi="Times New Roman"/>
                <w:i/>
                <w:color w:val="000000" w:themeColor="text1"/>
                <w:sz w:val="20"/>
                <w:szCs w:val="20"/>
                <w:lang w:eastAsia="pt-BR"/>
              </w:rPr>
              <w:t>dummy</w:t>
            </w:r>
            <w:proofErr w:type="spellEnd"/>
            <w:r w:rsidRPr="00596D1F">
              <w:rPr>
                <w:rFonts w:ascii="Times New Roman" w:eastAsia="Times New Roman" w:hAnsi="Times New Roman"/>
                <w:color w:val="000000" w:themeColor="text1"/>
                <w:sz w:val="20"/>
                <w:szCs w:val="20"/>
                <w:lang w:eastAsia="pt-BR"/>
              </w:rPr>
              <w:t xml:space="preserve"> que identifica se o interessado envolvido é autarquia.</w:t>
            </w:r>
          </w:p>
        </w:tc>
        <w:tc>
          <w:tcPr>
            <w:tcW w:w="1129" w:type="dxa"/>
            <w:tcBorders>
              <w:top w:val="nil"/>
              <w:left w:val="nil"/>
              <w:bottom w:val="single" w:sz="4" w:space="0" w:color="auto"/>
              <w:right w:val="single" w:sz="4" w:space="0" w:color="auto"/>
            </w:tcBorders>
            <w:shd w:val="clear" w:color="auto" w:fill="auto"/>
            <w:noWrap/>
            <w:hideMark/>
          </w:tcPr>
          <w:p w14:paraId="5A1D16E3"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Qualitativa</w:t>
            </w:r>
          </w:p>
        </w:tc>
        <w:tc>
          <w:tcPr>
            <w:tcW w:w="1904" w:type="dxa"/>
            <w:tcBorders>
              <w:top w:val="nil"/>
              <w:left w:val="nil"/>
              <w:bottom w:val="single" w:sz="4" w:space="0" w:color="auto"/>
              <w:right w:val="single" w:sz="4" w:space="0" w:color="auto"/>
            </w:tcBorders>
            <w:shd w:val="clear" w:color="auto" w:fill="auto"/>
            <w:noWrap/>
            <w:hideMark/>
          </w:tcPr>
          <w:p w14:paraId="2903DC75"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0=não autarquia; 1=autarquia</w:t>
            </w:r>
          </w:p>
        </w:tc>
      </w:tr>
      <w:tr w:rsidR="00596D1F" w:rsidRPr="00596D1F" w14:paraId="62E26C2B" w14:textId="77777777" w:rsidTr="00927F22">
        <w:trPr>
          <w:trHeight w:val="20"/>
        </w:trPr>
        <w:tc>
          <w:tcPr>
            <w:tcW w:w="2474" w:type="dxa"/>
            <w:tcBorders>
              <w:top w:val="nil"/>
              <w:left w:val="single" w:sz="4" w:space="0" w:color="auto"/>
              <w:bottom w:val="single" w:sz="4" w:space="0" w:color="auto"/>
              <w:right w:val="single" w:sz="4" w:space="0" w:color="auto"/>
            </w:tcBorders>
            <w:shd w:val="clear" w:color="auto" w:fill="auto"/>
            <w:noWrap/>
            <w:hideMark/>
          </w:tcPr>
          <w:p w14:paraId="2440EFE6"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Prefeitura</w:t>
            </w:r>
          </w:p>
        </w:tc>
        <w:tc>
          <w:tcPr>
            <w:tcW w:w="3629" w:type="dxa"/>
            <w:tcBorders>
              <w:top w:val="nil"/>
              <w:left w:val="nil"/>
              <w:bottom w:val="single" w:sz="4" w:space="0" w:color="auto"/>
              <w:right w:val="single" w:sz="4" w:space="0" w:color="auto"/>
            </w:tcBorders>
            <w:shd w:val="clear" w:color="auto" w:fill="auto"/>
            <w:noWrap/>
            <w:hideMark/>
          </w:tcPr>
          <w:p w14:paraId="6A401987"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Variável </w:t>
            </w:r>
            <w:proofErr w:type="spellStart"/>
            <w:r w:rsidRPr="00596D1F">
              <w:rPr>
                <w:rFonts w:ascii="Times New Roman" w:eastAsia="Times New Roman" w:hAnsi="Times New Roman"/>
                <w:i/>
                <w:color w:val="000000" w:themeColor="text1"/>
                <w:sz w:val="20"/>
                <w:szCs w:val="20"/>
                <w:lang w:eastAsia="pt-BR"/>
              </w:rPr>
              <w:t>dummy</w:t>
            </w:r>
            <w:proofErr w:type="spellEnd"/>
            <w:r w:rsidRPr="00596D1F">
              <w:rPr>
                <w:rFonts w:ascii="Times New Roman" w:eastAsia="Times New Roman" w:hAnsi="Times New Roman"/>
                <w:color w:val="000000" w:themeColor="text1"/>
                <w:sz w:val="20"/>
                <w:szCs w:val="20"/>
                <w:lang w:eastAsia="pt-BR"/>
              </w:rPr>
              <w:t xml:space="preserve"> que identifica se o interessado envolvido é prefeitura.</w:t>
            </w:r>
          </w:p>
        </w:tc>
        <w:tc>
          <w:tcPr>
            <w:tcW w:w="1129" w:type="dxa"/>
            <w:tcBorders>
              <w:top w:val="nil"/>
              <w:left w:val="nil"/>
              <w:bottom w:val="single" w:sz="4" w:space="0" w:color="auto"/>
              <w:right w:val="single" w:sz="4" w:space="0" w:color="auto"/>
            </w:tcBorders>
            <w:shd w:val="clear" w:color="auto" w:fill="auto"/>
            <w:noWrap/>
            <w:hideMark/>
          </w:tcPr>
          <w:p w14:paraId="38203B1E"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Qualitativa</w:t>
            </w:r>
          </w:p>
        </w:tc>
        <w:tc>
          <w:tcPr>
            <w:tcW w:w="1904" w:type="dxa"/>
            <w:tcBorders>
              <w:top w:val="nil"/>
              <w:left w:val="nil"/>
              <w:bottom w:val="single" w:sz="4" w:space="0" w:color="auto"/>
              <w:right w:val="single" w:sz="4" w:space="0" w:color="auto"/>
            </w:tcBorders>
            <w:shd w:val="clear" w:color="auto" w:fill="auto"/>
            <w:noWrap/>
            <w:hideMark/>
          </w:tcPr>
          <w:p w14:paraId="4788B707"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0=não prefeitura; 1=prefeitura</w:t>
            </w:r>
          </w:p>
        </w:tc>
      </w:tr>
      <w:tr w:rsidR="00596D1F" w:rsidRPr="00596D1F" w14:paraId="7495B741" w14:textId="77777777" w:rsidTr="00927F22">
        <w:trPr>
          <w:trHeight w:val="20"/>
        </w:trPr>
        <w:tc>
          <w:tcPr>
            <w:tcW w:w="2474" w:type="dxa"/>
            <w:tcBorders>
              <w:top w:val="nil"/>
              <w:left w:val="single" w:sz="4" w:space="0" w:color="auto"/>
              <w:bottom w:val="single" w:sz="4" w:space="0" w:color="auto"/>
              <w:right w:val="single" w:sz="4" w:space="0" w:color="auto"/>
            </w:tcBorders>
            <w:shd w:val="clear" w:color="auto" w:fill="auto"/>
            <w:noWrap/>
            <w:hideMark/>
          </w:tcPr>
          <w:p w14:paraId="235CABA7" w14:textId="233502D2"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Número de fases processuais (</w:t>
            </w:r>
            <w:proofErr w:type="spellStart"/>
            <w:r w:rsidRPr="00596D1F">
              <w:rPr>
                <w:rFonts w:ascii="Times New Roman" w:eastAsia="Times New Roman" w:hAnsi="Times New Roman"/>
                <w:color w:val="000000" w:themeColor="text1"/>
                <w:sz w:val="20"/>
                <w:szCs w:val="20"/>
                <w:lang w:eastAsia="pt-BR"/>
              </w:rPr>
              <w:t>N</w:t>
            </w:r>
            <w:r w:rsidR="00052584">
              <w:rPr>
                <w:rFonts w:ascii="Times New Roman" w:eastAsia="Times New Roman" w:hAnsi="Times New Roman"/>
                <w:color w:val="000000" w:themeColor="text1"/>
                <w:sz w:val="20"/>
                <w:szCs w:val="20"/>
                <w:lang w:eastAsia="pt-BR"/>
              </w:rPr>
              <w:t>ú</w:t>
            </w:r>
            <w:r w:rsidRPr="00596D1F">
              <w:rPr>
                <w:rFonts w:ascii="Times New Roman" w:eastAsia="Times New Roman" w:hAnsi="Times New Roman"/>
                <w:color w:val="000000" w:themeColor="text1"/>
                <w:sz w:val="20"/>
                <w:szCs w:val="20"/>
                <w:lang w:eastAsia="pt-BR"/>
              </w:rPr>
              <w:t>meroFases</w:t>
            </w:r>
            <w:proofErr w:type="spellEnd"/>
            <w:r w:rsidRPr="00596D1F">
              <w:rPr>
                <w:rFonts w:ascii="Times New Roman" w:eastAsia="Times New Roman" w:hAnsi="Times New Roman"/>
                <w:color w:val="000000" w:themeColor="text1"/>
                <w:sz w:val="20"/>
                <w:szCs w:val="20"/>
                <w:lang w:eastAsia="pt-BR"/>
              </w:rPr>
              <w:t>)</w:t>
            </w:r>
          </w:p>
        </w:tc>
        <w:tc>
          <w:tcPr>
            <w:tcW w:w="3629" w:type="dxa"/>
            <w:tcBorders>
              <w:top w:val="nil"/>
              <w:left w:val="nil"/>
              <w:bottom w:val="single" w:sz="4" w:space="0" w:color="auto"/>
              <w:right w:val="single" w:sz="4" w:space="0" w:color="auto"/>
            </w:tcBorders>
            <w:shd w:val="clear" w:color="auto" w:fill="auto"/>
            <w:noWrap/>
            <w:hideMark/>
          </w:tcPr>
          <w:p w14:paraId="3531ED13"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Número de fases processuais que um processo com imputação de débito e multa passa.</w:t>
            </w:r>
          </w:p>
        </w:tc>
        <w:tc>
          <w:tcPr>
            <w:tcW w:w="1129" w:type="dxa"/>
            <w:tcBorders>
              <w:top w:val="nil"/>
              <w:left w:val="nil"/>
              <w:bottom w:val="single" w:sz="4" w:space="0" w:color="auto"/>
              <w:right w:val="single" w:sz="4" w:space="0" w:color="auto"/>
            </w:tcBorders>
            <w:shd w:val="clear" w:color="auto" w:fill="auto"/>
            <w:noWrap/>
            <w:hideMark/>
          </w:tcPr>
          <w:p w14:paraId="5760CFB6" w14:textId="08FE0DE4"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Quantitativa</w:t>
            </w:r>
          </w:p>
        </w:tc>
        <w:tc>
          <w:tcPr>
            <w:tcW w:w="1904" w:type="dxa"/>
            <w:tcBorders>
              <w:top w:val="nil"/>
              <w:left w:val="nil"/>
              <w:bottom w:val="single" w:sz="4" w:space="0" w:color="auto"/>
              <w:right w:val="single" w:sz="4" w:space="0" w:color="auto"/>
            </w:tcBorders>
            <w:shd w:val="clear" w:color="auto" w:fill="auto"/>
            <w:noWrap/>
            <w:hideMark/>
          </w:tcPr>
          <w:p w14:paraId="380D62D8" w14:textId="77777777" w:rsidR="00016724" w:rsidRPr="00596D1F" w:rsidRDefault="00016724" w:rsidP="00927F22">
            <w:pPr>
              <w:spacing w:after="0" w:line="240" w:lineRule="auto"/>
              <w:jc w:val="both"/>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Valor nominal.</w:t>
            </w:r>
          </w:p>
        </w:tc>
      </w:tr>
      <w:tr w:rsidR="00596D1F" w:rsidRPr="00596D1F" w14:paraId="6E60AD72" w14:textId="77777777" w:rsidTr="003D0A20">
        <w:trPr>
          <w:trHeight w:val="20"/>
        </w:trPr>
        <w:tc>
          <w:tcPr>
            <w:tcW w:w="9136" w:type="dxa"/>
            <w:gridSpan w:val="4"/>
            <w:tcBorders>
              <w:top w:val="nil"/>
              <w:left w:val="nil"/>
              <w:bottom w:val="nil"/>
              <w:right w:val="nil"/>
            </w:tcBorders>
            <w:shd w:val="clear" w:color="auto" w:fill="auto"/>
            <w:noWrap/>
            <w:vAlign w:val="bottom"/>
            <w:hideMark/>
          </w:tcPr>
          <w:p w14:paraId="2EA4410F" w14:textId="77777777" w:rsidR="00016724" w:rsidRPr="00596D1F" w:rsidRDefault="00016724" w:rsidP="000B6B45">
            <w:pPr>
              <w:spacing w:after="0" w:line="240" w:lineRule="auto"/>
              <w:rPr>
                <w:rFonts w:ascii="Times New Roman" w:eastAsia="Times New Roman" w:hAnsi="Times New Roman"/>
                <w:color w:val="000000" w:themeColor="text1"/>
                <w:sz w:val="20"/>
                <w:szCs w:val="20"/>
                <w:lang w:eastAsia="pt-BR"/>
              </w:rPr>
            </w:pPr>
          </w:p>
        </w:tc>
      </w:tr>
    </w:tbl>
    <w:p w14:paraId="0DEAD5D2" w14:textId="1D278733" w:rsidR="00016724" w:rsidRPr="00596D1F" w:rsidRDefault="00F563F1" w:rsidP="00D26D12">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583C86" w:rsidRPr="00596D1F">
        <w:rPr>
          <w:rFonts w:ascii="Times New Roman" w:hAnsi="Times New Roman"/>
          <w:color w:val="000000" w:themeColor="text1"/>
          <w:sz w:val="20"/>
          <w:szCs w:val="20"/>
        </w:rPr>
        <w:t>Elaboração própria</w:t>
      </w:r>
      <w:r w:rsidRPr="00596D1F">
        <w:rPr>
          <w:rFonts w:ascii="Times New Roman" w:hAnsi="Times New Roman"/>
          <w:color w:val="000000" w:themeColor="text1"/>
          <w:sz w:val="20"/>
          <w:szCs w:val="20"/>
        </w:rPr>
        <w:t>.</w:t>
      </w:r>
    </w:p>
    <w:p w14:paraId="420C2639" w14:textId="77777777" w:rsidR="003E1703" w:rsidRDefault="003E1703" w:rsidP="00D7578B">
      <w:pPr>
        <w:autoSpaceDE w:val="0"/>
        <w:autoSpaceDN w:val="0"/>
        <w:adjustRightInd w:val="0"/>
        <w:spacing w:after="0" w:line="240" w:lineRule="auto"/>
        <w:ind w:firstLine="708"/>
        <w:jc w:val="both"/>
        <w:rPr>
          <w:rFonts w:ascii="Times New Roman" w:hAnsi="Times New Roman"/>
          <w:color w:val="000000" w:themeColor="text1"/>
          <w:sz w:val="24"/>
          <w:szCs w:val="24"/>
        </w:rPr>
      </w:pPr>
    </w:p>
    <w:p w14:paraId="6DCE5971" w14:textId="2336FFEB" w:rsidR="00D7578B" w:rsidRPr="00596D1F" w:rsidRDefault="003620FE" w:rsidP="00D7578B">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Como se observa</w:t>
      </w:r>
      <w:r w:rsidR="000B6B45" w:rsidRPr="00596D1F">
        <w:rPr>
          <w:rFonts w:ascii="Times New Roman" w:hAnsi="Times New Roman"/>
          <w:color w:val="000000" w:themeColor="text1"/>
          <w:sz w:val="24"/>
          <w:szCs w:val="24"/>
        </w:rPr>
        <w:t xml:space="preserve"> </w:t>
      </w:r>
      <w:r w:rsidR="00D26D12">
        <w:rPr>
          <w:rFonts w:ascii="Times New Roman" w:hAnsi="Times New Roman"/>
          <w:color w:val="000000" w:themeColor="text1"/>
          <w:sz w:val="24"/>
          <w:szCs w:val="24"/>
        </w:rPr>
        <w:t>no Quadro</w:t>
      </w:r>
      <w:r w:rsidR="00DC1B37">
        <w:rPr>
          <w:rFonts w:ascii="Times New Roman" w:hAnsi="Times New Roman"/>
          <w:color w:val="000000" w:themeColor="text1"/>
          <w:sz w:val="24"/>
          <w:szCs w:val="24"/>
        </w:rPr>
        <w:t xml:space="preserve"> 1</w:t>
      </w:r>
      <w:r w:rsidR="00927F22" w:rsidRPr="00596D1F">
        <w:rPr>
          <w:rFonts w:ascii="Times New Roman" w:hAnsi="Times New Roman"/>
          <w:color w:val="000000" w:themeColor="text1"/>
          <w:sz w:val="24"/>
          <w:szCs w:val="24"/>
        </w:rPr>
        <w:t xml:space="preserve">, </w:t>
      </w:r>
      <w:r w:rsidR="00027501" w:rsidRPr="00596D1F">
        <w:rPr>
          <w:rFonts w:ascii="Times New Roman" w:hAnsi="Times New Roman"/>
          <w:color w:val="000000" w:themeColor="text1"/>
          <w:sz w:val="24"/>
          <w:szCs w:val="24"/>
        </w:rPr>
        <w:t xml:space="preserve">as variáveis independentes </w:t>
      </w:r>
      <w:r w:rsidR="009A6FA9" w:rsidRPr="00596D1F">
        <w:rPr>
          <w:rFonts w:ascii="Times New Roman" w:hAnsi="Times New Roman"/>
          <w:color w:val="000000" w:themeColor="text1"/>
          <w:sz w:val="24"/>
          <w:szCs w:val="24"/>
        </w:rPr>
        <w:t>são de duas naturezas</w:t>
      </w:r>
      <w:r w:rsidR="00027501" w:rsidRPr="00596D1F">
        <w:rPr>
          <w:rFonts w:ascii="Times New Roman" w:hAnsi="Times New Roman"/>
          <w:color w:val="000000" w:themeColor="text1"/>
          <w:sz w:val="24"/>
          <w:szCs w:val="24"/>
        </w:rPr>
        <w:t>: a variável de intere</w:t>
      </w:r>
      <w:r w:rsidR="00583C86" w:rsidRPr="00596D1F">
        <w:rPr>
          <w:rFonts w:ascii="Times New Roman" w:hAnsi="Times New Roman"/>
          <w:color w:val="000000" w:themeColor="text1"/>
          <w:sz w:val="24"/>
          <w:szCs w:val="24"/>
        </w:rPr>
        <w:t>sse (</w:t>
      </w:r>
      <w:r w:rsidR="00DC1B37">
        <w:rPr>
          <w:rFonts w:ascii="Times New Roman" w:hAnsi="Times New Roman"/>
          <w:color w:val="000000" w:themeColor="text1"/>
          <w:sz w:val="24"/>
          <w:szCs w:val="24"/>
        </w:rPr>
        <w:t>LAI</w:t>
      </w:r>
      <w:r w:rsidR="00027501" w:rsidRPr="00596D1F">
        <w:rPr>
          <w:rFonts w:ascii="Times New Roman" w:hAnsi="Times New Roman"/>
          <w:color w:val="000000" w:themeColor="text1"/>
          <w:sz w:val="24"/>
          <w:szCs w:val="24"/>
        </w:rPr>
        <w:t>) e variáveis de controle</w:t>
      </w:r>
      <w:r w:rsidRPr="00596D1F">
        <w:rPr>
          <w:rFonts w:ascii="Times New Roman" w:hAnsi="Times New Roman"/>
          <w:color w:val="000000" w:themeColor="text1"/>
          <w:sz w:val="24"/>
          <w:szCs w:val="24"/>
        </w:rPr>
        <w:t>.</w:t>
      </w:r>
      <w:r w:rsidR="00C93518" w:rsidRPr="00596D1F">
        <w:rPr>
          <w:rFonts w:ascii="Times New Roman" w:hAnsi="Times New Roman"/>
          <w:color w:val="000000" w:themeColor="text1"/>
          <w:sz w:val="24"/>
          <w:szCs w:val="24"/>
        </w:rPr>
        <w:t xml:space="preserve"> </w:t>
      </w:r>
      <w:r w:rsidR="00D7578B" w:rsidRPr="00596D1F">
        <w:rPr>
          <w:rFonts w:ascii="Times New Roman" w:hAnsi="Times New Roman"/>
          <w:color w:val="000000" w:themeColor="text1"/>
          <w:sz w:val="24"/>
          <w:szCs w:val="24"/>
        </w:rPr>
        <w:t xml:space="preserve">A </w:t>
      </w:r>
      <w:r w:rsidR="00DC1B37">
        <w:rPr>
          <w:rFonts w:ascii="Times New Roman" w:hAnsi="Times New Roman"/>
          <w:color w:val="000000" w:themeColor="text1"/>
          <w:sz w:val="24"/>
          <w:szCs w:val="24"/>
        </w:rPr>
        <w:t>LAI</w:t>
      </w:r>
      <w:r w:rsidR="00D7578B" w:rsidRPr="00596D1F">
        <w:rPr>
          <w:rFonts w:ascii="Times New Roman" w:hAnsi="Times New Roman"/>
          <w:color w:val="000000" w:themeColor="text1"/>
          <w:sz w:val="24"/>
          <w:szCs w:val="24"/>
        </w:rPr>
        <w:t xml:space="preserve"> (Lei nº 18.025)</w:t>
      </w:r>
      <w:r w:rsidR="00DB3459" w:rsidRPr="00596D1F">
        <w:rPr>
          <w:rFonts w:ascii="Times New Roman" w:hAnsi="Times New Roman"/>
          <w:color w:val="000000" w:themeColor="text1"/>
          <w:sz w:val="24"/>
          <w:szCs w:val="24"/>
        </w:rPr>
        <w:t xml:space="preserve">, variável de interesse, </w:t>
      </w:r>
      <w:r w:rsidR="00D7578B" w:rsidRPr="00596D1F">
        <w:rPr>
          <w:rFonts w:ascii="Times New Roman" w:hAnsi="Times New Roman"/>
          <w:color w:val="000000" w:themeColor="text1"/>
          <w:sz w:val="24"/>
          <w:szCs w:val="24"/>
        </w:rPr>
        <w:t>entrou em vigência no mês de maio de 2013</w:t>
      </w:r>
      <w:r w:rsidR="00E37AD7">
        <w:rPr>
          <w:rFonts w:ascii="Times New Roman" w:hAnsi="Times New Roman"/>
          <w:color w:val="000000" w:themeColor="text1"/>
          <w:sz w:val="24"/>
          <w:szCs w:val="24"/>
        </w:rPr>
        <w:t>;</w:t>
      </w:r>
      <w:r w:rsidR="00D7578B" w:rsidRPr="00596D1F">
        <w:rPr>
          <w:rFonts w:ascii="Times New Roman" w:hAnsi="Times New Roman"/>
          <w:color w:val="000000" w:themeColor="text1"/>
          <w:sz w:val="24"/>
          <w:szCs w:val="24"/>
        </w:rPr>
        <w:t xml:space="preserve"> então, para a análise do seu efeito sobre as consequências das ações de fiscalização, julgamento e aplicação de penalidades por agentes do TCM-GO, os dados dos processos foram organizados em 4 anos antes da </w:t>
      </w:r>
      <w:r w:rsidR="00F97112">
        <w:rPr>
          <w:rFonts w:ascii="Times New Roman" w:hAnsi="Times New Roman"/>
          <w:color w:val="000000" w:themeColor="text1"/>
          <w:sz w:val="24"/>
          <w:szCs w:val="24"/>
        </w:rPr>
        <w:t>lei</w:t>
      </w:r>
      <w:r w:rsidR="00D7578B" w:rsidRPr="00596D1F">
        <w:rPr>
          <w:rFonts w:ascii="Times New Roman" w:hAnsi="Times New Roman"/>
          <w:color w:val="000000" w:themeColor="text1"/>
          <w:sz w:val="24"/>
          <w:szCs w:val="24"/>
        </w:rPr>
        <w:t xml:space="preserve"> (2009 a 2012) e 4 anos depois da sua promulgação (2013 a 2016), de modo a</w:t>
      </w:r>
      <w:r w:rsidR="007F439D">
        <w:rPr>
          <w:rFonts w:ascii="Times New Roman" w:hAnsi="Times New Roman"/>
          <w:color w:val="000000" w:themeColor="text1"/>
          <w:sz w:val="24"/>
          <w:szCs w:val="24"/>
        </w:rPr>
        <w:t xml:space="preserve"> se</w:t>
      </w:r>
      <w:r w:rsidR="00D7578B" w:rsidRPr="00596D1F">
        <w:rPr>
          <w:rFonts w:ascii="Times New Roman" w:hAnsi="Times New Roman"/>
          <w:color w:val="000000" w:themeColor="text1"/>
          <w:sz w:val="24"/>
          <w:szCs w:val="24"/>
        </w:rPr>
        <w:t xml:space="preserve"> buscar equilíbrio dos períodos investigados. </w:t>
      </w:r>
    </w:p>
    <w:p w14:paraId="4211CA91" w14:textId="4C9D06A4" w:rsidR="00D7578B" w:rsidRPr="00596D1F" w:rsidRDefault="00DB3459" w:rsidP="00D7578B">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Para a</w:t>
      </w:r>
      <w:r w:rsidR="00D7578B" w:rsidRPr="00596D1F">
        <w:rPr>
          <w:rFonts w:ascii="Times New Roman" w:hAnsi="Times New Roman"/>
          <w:color w:val="000000" w:themeColor="text1"/>
          <w:sz w:val="24"/>
          <w:szCs w:val="24"/>
        </w:rPr>
        <w:t xml:space="preserve"> </w:t>
      </w:r>
      <w:r w:rsidR="0044183C" w:rsidRPr="00596D1F">
        <w:rPr>
          <w:rFonts w:ascii="Times New Roman" w:hAnsi="Times New Roman"/>
          <w:color w:val="000000" w:themeColor="text1"/>
          <w:sz w:val="24"/>
          <w:szCs w:val="24"/>
        </w:rPr>
        <w:t xml:space="preserve">primeira </w:t>
      </w:r>
      <w:r w:rsidR="00D7578B" w:rsidRPr="00596D1F">
        <w:rPr>
          <w:rFonts w:ascii="Times New Roman" w:hAnsi="Times New Roman"/>
          <w:color w:val="000000" w:themeColor="text1"/>
          <w:sz w:val="24"/>
          <w:szCs w:val="24"/>
        </w:rPr>
        <w:t>variáve</w:t>
      </w:r>
      <w:r w:rsidR="0044183C" w:rsidRPr="00596D1F">
        <w:rPr>
          <w:rFonts w:ascii="Times New Roman" w:hAnsi="Times New Roman"/>
          <w:color w:val="000000" w:themeColor="text1"/>
          <w:sz w:val="24"/>
          <w:szCs w:val="24"/>
        </w:rPr>
        <w:t>l</w:t>
      </w:r>
      <w:r w:rsidR="00D7578B" w:rsidRPr="00596D1F">
        <w:rPr>
          <w:rFonts w:ascii="Times New Roman" w:hAnsi="Times New Roman"/>
          <w:color w:val="000000" w:themeColor="text1"/>
          <w:sz w:val="24"/>
          <w:szCs w:val="24"/>
        </w:rPr>
        <w:t xml:space="preserve"> de controle, </w:t>
      </w:r>
      <w:r w:rsidR="007F439D">
        <w:rPr>
          <w:rFonts w:ascii="Times New Roman" w:hAnsi="Times New Roman"/>
          <w:color w:val="000000" w:themeColor="text1"/>
          <w:sz w:val="24"/>
          <w:szCs w:val="24"/>
        </w:rPr>
        <w:t>almejou-se</w:t>
      </w:r>
      <w:r w:rsidR="00D7578B" w:rsidRPr="00596D1F">
        <w:rPr>
          <w:rFonts w:ascii="Times New Roman" w:hAnsi="Times New Roman"/>
          <w:color w:val="000000" w:themeColor="text1"/>
          <w:sz w:val="24"/>
          <w:szCs w:val="24"/>
        </w:rPr>
        <w:t xml:space="preserve"> controlar o efeito tamanho dos municípios condenados com imputação de débito e multa. Assim, incluiu-se a receita corrente líquida per capta do município </w:t>
      </w:r>
      <w:r w:rsidRPr="00596D1F">
        <w:rPr>
          <w:rFonts w:ascii="Times New Roman" w:hAnsi="Times New Roman"/>
          <w:color w:val="000000" w:themeColor="text1"/>
          <w:sz w:val="24"/>
          <w:szCs w:val="24"/>
        </w:rPr>
        <w:t>para</w:t>
      </w:r>
      <w:r w:rsidR="0044183C" w:rsidRPr="00596D1F">
        <w:rPr>
          <w:rFonts w:ascii="Times New Roman" w:hAnsi="Times New Roman"/>
          <w:color w:val="000000" w:themeColor="text1"/>
          <w:sz w:val="24"/>
          <w:szCs w:val="24"/>
        </w:rPr>
        <w:t xml:space="preserve"> controlar o efeito de que os municípios possuem tamanhos diferentes. F</w:t>
      </w:r>
      <w:r w:rsidRPr="00596D1F">
        <w:rPr>
          <w:rFonts w:ascii="Times New Roman" w:hAnsi="Times New Roman"/>
          <w:color w:val="000000" w:themeColor="text1"/>
          <w:sz w:val="24"/>
          <w:szCs w:val="24"/>
        </w:rPr>
        <w:t>ris</w:t>
      </w:r>
      <w:r w:rsidR="007F439D">
        <w:rPr>
          <w:rFonts w:ascii="Times New Roman" w:hAnsi="Times New Roman"/>
          <w:color w:val="000000" w:themeColor="text1"/>
          <w:sz w:val="24"/>
          <w:szCs w:val="24"/>
        </w:rPr>
        <w:t>e</w:t>
      </w:r>
      <w:r w:rsidR="0044183C" w:rsidRPr="00596D1F">
        <w:rPr>
          <w:rFonts w:ascii="Times New Roman" w:hAnsi="Times New Roman"/>
          <w:color w:val="000000" w:themeColor="text1"/>
          <w:sz w:val="24"/>
          <w:szCs w:val="24"/>
        </w:rPr>
        <w:t xml:space="preserve">-se que a o tamanho, mensurado por diferentes </w:t>
      </w:r>
      <w:r w:rsidR="0044183C" w:rsidRPr="00596D1F">
        <w:rPr>
          <w:rFonts w:ascii="Times New Roman" w:hAnsi="Times New Roman"/>
          <w:i/>
          <w:color w:val="000000" w:themeColor="text1"/>
          <w:sz w:val="24"/>
          <w:szCs w:val="24"/>
        </w:rPr>
        <w:t>proxies</w:t>
      </w:r>
      <w:r w:rsidRPr="00596D1F">
        <w:rPr>
          <w:rFonts w:ascii="Times New Roman" w:hAnsi="Times New Roman"/>
          <w:i/>
          <w:color w:val="000000" w:themeColor="text1"/>
          <w:sz w:val="24"/>
          <w:szCs w:val="24"/>
        </w:rPr>
        <w:t>,</w:t>
      </w:r>
      <w:r w:rsidR="0044183C" w:rsidRPr="00596D1F">
        <w:rPr>
          <w:rFonts w:ascii="Times New Roman" w:hAnsi="Times New Roman"/>
          <w:color w:val="000000" w:themeColor="text1"/>
          <w:sz w:val="24"/>
          <w:szCs w:val="24"/>
        </w:rPr>
        <w:t xml:space="preserve"> é utilizado em pesquisas relacionadas com a análise de prestações de contas, tais como</w:t>
      </w:r>
      <w:r w:rsidR="007F439D">
        <w:rPr>
          <w:rFonts w:ascii="Times New Roman" w:hAnsi="Times New Roman"/>
          <w:color w:val="000000" w:themeColor="text1"/>
          <w:sz w:val="24"/>
          <w:szCs w:val="24"/>
        </w:rPr>
        <w:t xml:space="preserve"> às de</w:t>
      </w:r>
      <w:r w:rsidR="00EA3384" w:rsidRPr="00596D1F">
        <w:rPr>
          <w:rFonts w:ascii="Times New Roman" w:hAnsi="Times New Roman"/>
          <w:color w:val="000000" w:themeColor="text1"/>
          <w:sz w:val="24"/>
          <w:szCs w:val="24"/>
        </w:rPr>
        <w:t xml:space="preserve"> Cella (2018),</w:t>
      </w:r>
      <w:r w:rsidR="007F439D">
        <w:rPr>
          <w:rFonts w:ascii="Times New Roman" w:hAnsi="Times New Roman"/>
          <w:color w:val="000000" w:themeColor="text1"/>
          <w:sz w:val="24"/>
          <w:szCs w:val="24"/>
        </w:rPr>
        <w:t xml:space="preserve"> de</w:t>
      </w:r>
      <w:r w:rsidR="00EA3384" w:rsidRPr="00596D1F">
        <w:rPr>
          <w:rFonts w:ascii="Times New Roman" w:hAnsi="Times New Roman"/>
          <w:color w:val="000000" w:themeColor="text1"/>
          <w:sz w:val="24"/>
          <w:szCs w:val="24"/>
        </w:rPr>
        <w:t xml:space="preserve"> Laureano e </w:t>
      </w:r>
      <w:proofErr w:type="spellStart"/>
      <w:r w:rsidR="00EA3384" w:rsidRPr="00596D1F">
        <w:rPr>
          <w:rFonts w:ascii="Times New Roman" w:hAnsi="Times New Roman"/>
          <w:color w:val="000000" w:themeColor="text1"/>
          <w:sz w:val="24"/>
          <w:szCs w:val="24"/>
        </w:rPr>
        <w:t>Macagnan</w:t>
      </w:r>
      <w:proofErr w:type="spellEnd"/>
      <w:r w:rsidR="00EA3384" w:rsidRPr="00596D1F">
        <w:rPr>
          <w:rFonts w:ascii="Times New Roman" w:hAnsi="Times New Roman"/>
          <w:color w:val="000000" w:themeColor="text1"/>
          <w:sz w:val="24"/>
          <w:szCs w:val="24"/>
        </w:rPr>
        <w:t xml:space="preserve"> (2017),</w:t>
      </w:r>
      <w:r w:rsidR="0044183C" w:rsidRPr="00596D1F">
        <w:rPr>
          <w:rFonts w:ascii="Times New Roman" w:hAnsi="Times New Roman"/>
          <w:color w:val="000000" w:themeColor="text1"/>
          <w:sz w:val="24"/>
          <w:szCs w:val="24"/>
        </w:rPr>
        <w:t xml:space="preserve"> Laureano (2016)</w:t>
      </w:r>
      <w:r w:rsidR="00EA3384" w:rsidRPr="00596D1F">
        <w:rPr>
          <w:rFonts w:ascii="Times New Roman" w:hAnsi="Times New Roman"/>
          <w:color w:val="000000" w:themeColor="text1"/>
          <w:sz w:val="24"/>
          <w:szCs w:val="24"/>
        </w:rPr>
        <w:t xml:space="preserve"> e</w:t>
      </w:r>
      <w:r w:rsidR="0044183C" w:rsidRPr="00596D1F">
        <w:rPr>
          <w:rFonts w:ascii="Times New Roman" w:hAnsi="Times New Roman"/>
          <w:color w:val="000000" w:themeColor="text1"/>
          <w:sz w:val="24"/>
          <w:szCs w:val="24"/>
        </w:rPr>
        <w:t xml:space="preserve"> </w:t>
      </w:r>
      <w:proofErr w:type="spellStart"/>
      <w:r w:rsidR="0044183C" w:rsidRPr="00596D1F">
        <w:rPr>
          <w:rFonts w:ascii="Times New Roman" w:hAnsi="Times New Roman"/>
          <w:color w:val="000000" w:themeColor="text1"/>
          <w:sz w:val="24"/>
          <w:szCs w:val="24"/>
        </w:rPr>
        <w:t>Kronbauer</w:t>
      </w:r>
      <w:proofErr w:type="spellEnd"/>
      <w:r w:rsidR="0044183C" w:rsidRPr="00596D1F">
        <w:rPr>
          <w:rFonts w:ascii="Times New Roman" w:hAnsi="Times New Roman"/>
          <w:color w:val="000000" w:themeColor="text1"/>
          <w:sz w:val="24"/>
          <w:szCs w:val="24"/>
        </w:rPr>
        <w:t xml:space="preserve"> </w:t>
      </w:r>
      <w:r w:rsidR="0044183C" w:rsidRPr="00D15A99">
        <w:rPr>
          <w:rFonts w:ascii="Times New Roman" w:hAnsi="Times New Roman"/>
          <w:i/>
          <w:iCs/>
          <w:color w:val="000000" w:themeColor="text1"/>
          <w:sz w:val="24"/>
          <w:szCs w:val="24"/>
        </w:rPr>
        <w:t>et al.</w:t>
      </w:r>
      <w:r w:rsidR="0044183C" w:rsidRPr="00596D1F">
        <w:rPr>
          <w:rFonts w:ascii="Times New Roman" w:hAnsi="Times New Roman"/>
          <w:color w:val="000000" w:themeColor="text1"/>
          <w:sz w:val="24"/>
          <w:szCs w:val="24"/>
        </w:rPr>
        <w:t xml:space="preserve"> (2011)</w:t>
      </w:r>
      <w:r w:rsidR="00EA3384" w:rsidRPr="00596D1F">
        <w:rPr>
          <w:rFonts w:ascii="Times New Roman" w:hAnsi="Times New Roman"/>
          <w:color w:val="000000" w:themeColor="text1"/>
          <w:sz w:val="24"/>
          <w:szCs w:val="24"/>
        </w:rPr>
        <w:t>.</w:t>
      </w:r>
    </w:p>
    <w:p w14:paraId="1481EE22" w14:textId="053105F3" w:rsidR="007B1B75" w:rsidRPr="00596D1F" w:rsidRDefault="002A3917" w:rsidP="00D7578B">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 inclusão do ano eleitoral</w:t>
      </w:r>
      <w:r w:rsidR="0044183C" w:rsidRPr="00596D1F">
        <w:rPr>
          <w:rFonts w:ascii="Times New Roman" w:hAnsi="Times New Roman"/>
          <w:color w:val="000000" w:themeColor="text1"/>
          <w:sz w:val="24"/>
          <w:szCs w:val="24"/>
        </w:rPr>
        <w:t xml:space="preserve"> </w:t>
      </w:r>
      <w:r w:rsidR="00505655">
        <w:rPr>
          <w:rFonts w:ascii="Times New Roman" w:hAnsi="Times New Roman"/>
          <w:color w:val="000000" w:themeColor="text1"/>
          <w:sz w:val="24"/>
          <w:szCs w:val="24"/>
        </w:rPr>
        <w:t>visou</w:t>
      </w:r>
      <w:r w:rsidR="0044183C" w:rsidRPr="00596D1F">
        <w:rPr>
          <w:rFonts w:ascii="Times New Roman" w:hAnsi="Times New Roman"/>
          <w:color w:val="000000" w:themeColor="text1"/>
          <w:sz w:val="24"/>
          <w:szCs w:val="24"/>
        </w:rPr>
        <w:t xml:space="preserve"> identificar se em anos com a realização de eleições municipais, houve alguma modificação nas imputações de sanções. Pereira (2010) identificou que o ano eleitoral influencia a rejeição de contas</w:t>
      </w:r>
      <w:r w:rsidR="00EA3384" w:rsidRPr="00596D1F">
        <w:rPr>
          <w:rFonts w:ascii="Times New Roman" w:hAnsi="Times New Roman"/>
          <w:color w:val="000000" w:themeColor="text1"/>
          <w:sz w:val="24"/>
          <w:szCs w:val="24"/>
        </w:rPr>
        <w:t>;</w:t>
      </w:r>
      <w:r w:rsidR="0044183C" w:rsidRPr="00596D1F">
        <w:rPr>
          <w:rFonts w:ascii="Times New Roman" w:hAnsi="Times New Roman"/>
          <w:color w:val="000000" w:themeColor="text1"/>
          <w:sz w:val="24"/>
          <w:szCs w:val="24"/>
        </w:rPr>
        <w:t xml:space="preserve"> para o autor</w:t>
      </w:r>
      <w:r w:rsidR="00EA3384" w:rsidRPr="00596D1F">
        <w:rPr>
          <w:rFonts w:ascii="Times New Roman" w:hAnsi="Times New Roman"/>
          <w:color w:val="000000" w:themeColor="text1"/>
          <w:sz w:val="24"/>
          <w:szCs w:val="24"/>
        </w:rPr>
        <w:t>,</w:t>
      </w:r>
      <w:r w:rsidR="0044183C" w:rsidRPr="00596D1F">
        <w:rPr>
          <w:rFonts w:ascii="Times New Roman" w:hAnsi="Times New Roman"/>
          <w:color w:val="000000" w:themeColor="text1"/>
          <w:sz w:val="24"/>
          <w:szCs w:val="24"/>
        </w:rPr>
        <w:t xml:space="preserve"> a proporção de rejeições entre anos eleitorais é superior aos anos não eleitorais. Cella (2018) observou que o ano eleitoral impacta positivamente a probabilidade de um gestor público ser incluído no rol de inelegíveis</w:t>
      </w:r>
      <w:r w:rsidRPr="00596D1F">
        <w:rPr>
          <w:rFonts w:ascii="Times New Roman" w:hAnsi="Times New Roman"/>
          <w:color w:val="000000" w:themeColor="text1"/>
          <w:sz w:val="24"/>
          <w:szCs w:val="24"/>
        </w:rPr>
        <w:t>; a</w:t>
      </w:r>
      <w:r w:rsidR="007B1B75" w:rsidRPr="00596D1F">
        <w:rPr>
          <w:rFonts w:ascii="Times New Roman" w:hAnsi="Times New Roman"/>
          <w:color w:val="000000" w:themeColor="text1"/>
          <w:sz w:val="24"/>
          <w:szCs w:val="24"/>
        </w:rPr>
        <w:t>inda</w:t>
      </w:r>
      <w:r w:rsidRPr="00596D1F">
        <w:rPr>
          <w:rFonts w:ascii="Times New Roman" w:hAnsi="Times New Roman"/>
          <w:color w:val="000000" w:themeColor="text1"/>
          <w:sz w:val="24"/>
          <w:szCs w:val="24"/>
        </w:rPr>
        <w:t>,</w:t>
      </w:r>
      <w:r w:rsidR="007B1B75" w:rsidRPr="00596D1F">
        <w:rPr>
          <w:rFonts w:ascii="Times New Roman" w:hAnsi="Times New Roman"/>
          <w:color w:val="000000" w:themeColor="text1"/>
          <w:sz w:val="24"/>
          <w:szCs w:val="24"/>
        </w:rPr>
        <w:t xml:space="preserve"> segundo o autor</w:t>
      </w:r>
      <w:r w:rsidR="00DB3459" w:rsidRPr="00596D1F">
        <w:rPr>
          <w:rFonts w:ascii="Times New Roman" w:hAnsi="Times New Roman"/>
          <w:color w:val="000000" w:themeColor="text1"/>
          <w:sz w:val="24"/>
          <w:szCs w:val="24"/>
        </w:rPr>
        <w:t>,</w:t>
      </w:r>
      <w:r w:rsidR="007B1B75" w:rsidRPr="00596D1F">
        <w:rPr>
          <w:rFonts w:ascii="Times New Roman" w:hAnsi="Times New Roman"/>
          <w:color w:val="000000" w:themeColor="text1"/>
          <w:sz w:val="24"/>
          <w:szCs w:val="24"/>
        </w:rPr>
        <w:t xml:space="preserve"> o ano de eleições municipais é ano de turbulência no que se refere à gestão pública</w:t>
      </w:r>
      <w:r w:rsidRPr="00596D1F">
        <w:rPr>
          <w:rFonts w:ascii="Times New Roman" w:hAnsi="Times New Roman"/>
          <w:color w:val="000000" w:themeColor="text1"/>
          <w:sz w:val="24"/>
          <w:szCs w:val="24"/>
        </w:rPr>
        <w:t>, p</w:t>
      </w:r>
      <w:r w:rsidR="007B1B75" w:rsidRPr="00596D1F">
        <w:rPr>
          <w:rFonts w:ascii="Times New Roman" w:hAnsi="Times New Roman"/>
          <w:color w:val="000000" w:themeColor="text1"/>
          <w:sz w:val="24"/>
          <w:szCs w:val="24"/>
        </w:rPr>
        <w:t>rimeiro, porque cria uma expectativa de reeleição daquele gestor que já está no poder e é candidato à reeleição</w:t>
      </w:r>
      <w:r w:rsidRPr="00596D1F">
        <w:rPr>
          <w:rFonts w:ascii="Times New Roman" w:hAnsi="Times New Roman"/>
          <w:color w:val="000000" w:themeColor="text1"/>
          <w:sz w:val="24"/>
          <w:szCs w:val="24"/>
        </w:rPr>
        <w:t>, segundo</w:t>
      </w:r>
      <w:r w:rsidR="007B1B75" w:rsidRPr="00596D1F">
        <w:rPr>
          <w:rFonts w:ascii="Times New Roman" w:hAnsi="Times New Roman"/>
          <w:color w:val="000000" w:themeColor="text1"/>
          <w:sz w:val="24"/>
          <w:szCs w:val="24"/>
        </w:rPr>
        <w:t>, porque oferece um risco à atual gestão, um risco de descontinuidade da administraç</w:t>
      </w:r>
      <w:r w:rsidR="00DB3459" w:rsidRPr="00596D1F">
        <w:rPr>
          <w:rFonts w:ascii="Times New Roman" w:hAnsi="Times New Roman"/>
          <w:color w:val="000000" w:themeColor="text1"/>
          <w:sz w:val="24"/>
          <w:szCs w:val="24"/>
        </w:rPr>
        <w:t>ão na hipótese de não reeleição (</w:t>
      </w:r>
      <w:r w:rsidR="00A3535A" w:rsidRPr="00596D1F">
        <w:rPr>
          <w:rFonts w:ascii="Times New Roman" w:hAnsi="Times New Roman"/>
          <w:color w:val="000000" w:themeColor="text1"/>
          <w:sz w:val="24"/>
          <w:szCs w:val="24"/>
        </w:rPr>
        <w:t>CELLA</w:t>
      </w:r>
      <w:r w:rsidR="00DB3459" w:rsidRPr="00596D1F">
        <w:rPr>
          <w:rFonts w:ascii="Times New Roman" w:hAnsi="Times New Roman"/>
          <w:color w:val="000000" w:themeColor="text1"/>
          <w:sz w:val="24"/>
          <w:szCs w:val="24"/>
        </w:rPr>
        <w:t>, 2018).</w:t>
      </w:r>
    </w:p>
    <w:p w14:paraId="05197FE2" w14:textId="40864982" w:rsidR="00825541" w:rsidRPr="00596D1F" w:rsidRDefault="007B1B75"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Ainda</w:t>
      </w:r>
      <w:r w:rsidR="00EA3384"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como variável de controle</w:t>
      </w:r>
      <w:r w:rsidR="00EA3384"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incluiu-se a </w:t>
      </w:r>
      <w:r w:rsidR="00C93518" w:rsidRPr="00596D1F">
        <w:rPr>
          <w:rFonts w:ascii="Times New Roman" w:hAnsi="Times New Roman"/>
          <w:color w:val="000000" w:themeColor="text1"/>
          <w:sz w:val="24"/>
          <w:szCs w:val="24"/>
        </w:rPr>
        <w:t xml:space="preserve">classificação dos </w:t>
      </w:r>
      <w:r w:rsidR="00016724" w:rsidRPr="00596D1F">
        <w:rPr>
          <w:rFonts w:ascii="Times New Roman" w:hAnsi="Times New Roman"/>
          <w:color w:val="000000" w:themeColor="text1"/>
          <w:sz w:val="24"/>
          <w:szCs w:val="24"/>
        </w:rPr>
        <w:t>processos consoante o tipo d</w:t>
      </w:r>
      <w:r w:rsidR="00DB3459" w:rsidRPr="00596D1F">
        <w:rPr>
          <w:rFonts w:ascii="Times New Roman" w:hAnsi="Times New Roman"/>
          <w:color w:val="000000" w:themeColor="text1"/>
          <w:sz w:val="24"/>
          <w:szCs w:val="24"/>
        </w:rPr>
        <w:t>e jurisdicionado fiscalizado em Prefeitura, C</w:t>
      </w:r>
      <w:r w:rsidR="00016724" w:rsidRPr="00596D1F">
        <w:rPr>
          <w:rFonts w:ascii="Times New Roman" w:hAnsi="Times New Roman"/>
          <w:color w:val="000000" w:themeColor="text1"/>
          <w:sz w:val="24"/>
          <w:szCs w:val="24"/>
        </w:rPr>
        <w:t xml:space="preserve">âmara e </w:t>
      </w:r>
      <w:r w:rsidR="00DB3459" w:rsidRPr="00596D1F">
        <w:rPr>
          <w:rFonts w:ascii="Times New Roman" w:hAnsi="Times New Roman"/>
          <w:color w:val="000000" w:themeColor="text1"/>
          <w:sz w:val="24"/>
          <w:szCs w:val="24"/>
        </w:rPr>
        <w:t>A</w:t>
      </w:r>
      <w:r w:rsidR="00016724" w:rsidRPr="00596D1F">
        <w:rPr>
          <w:rFonts w:ascii="Times New Roman" w:hAnsi="Times New Roman"/>
          <w:color w:val="000000" w:themeColor="text1"/>
          <w:sz w:val="24"/>
          <w:szCs w:val="24"/>
        </w:rPr>
        <w:t>utarquia</w:t>
      </w:r>
      <w:r w:rsidRPr="00596D1F">
        <w:rPr>
          <w:rFonts w:ascii="Times New Roman" w:hAnsi="Times New Roman"/>
          <w:color w:val="000000" w:themeColor="text1"/>
          <w:sz w:val="24"/>
          <w:szCs w:val="24"/>
        </w:rPr>
        <w:t>.</w:t>
      </w:r>
      <w:r w:rsidR="00825541"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Como são distintos, acredit</w:t>
      </w:r>
      <w:r w:rsidR="007F439D">
        <w:rPr>
          <w:rFonts w:ascii="Times New Roman" w:hAnsi="Times New Roman"/>
          <w:color w:val="000000" w:themeColor="text1"/>
          <w:sz w:val="24"/>
          <w:szCs w:val="24"/>
        </w:rPr>
        <w:t>ou</w:t>
      </w:r>
      <w:r w:rsidRPr="00596D1F">
        <w:rPr>
          <w:rFonts w:ascii="Times New Roman" w:hAnsi="Times New Roman"/>
          <w:color w:val="000000" w:themeColor="text1"/>
          <w:sz w:val="24"/>
          <w:szCs w:val="24"/>
        </w:rPr>
        <w:t xml:space="preserve">-se que </w:t>
      </w:r>
      <w:r w:rsidR="007F439D">
        <w:rPr>
          <w:rFonts w:ascii="Times New Roman" w:hAnsi="Times New Roman"/>
          <w:color w:val="000000" w:themeColor="text1"/>
          <w:sz w:val="24"/>
          <w:szCs w:val="24"/>
        </w:rPr>
        <w:t>seria</w:t>
      </w:r>
      <w:r w:rsidR="007F439D"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 xml:space="preserve">necessário </w:t>
      </w:r>
      <w:r w:rsidR="00EA3384" w:rsidRPr="00596D1F">
        <w:rPr>
          <w:rFonts w:ascii="Times New Roman" w:hAnsi="Times New Roman"/>
          <w:color w:val="000000" w:themeColor="text1"/>
          <w:sz w:val="24"/>
          <w:szCs w:val="24"/>
        </w:rPr>
        <w:t>separá-los</w:t>
      </w:r>
      <w:r w:rsidRPr="00596D1F">
        <w:rPr>
          <w:rFonts w:ascii="Times New Roman" w:hAnsi="Times New Roman"/>
          <w:color w:val="000000" w:themeColor="text1"/>
          <w:sz w:val="24"/>
          <w:szCs w:val="24"/>
        </w:rPr>
        <w:t xml:space="preserve"> nos modelos. </w:t>
      </w:r>
      <w:r w:rsidR="000B6B45" w:rsidRPr="00596D1F">
        <w:rPr>
          <w:rFonts w:ascii="Times New Roman" w:hAnsi="Times New Roman"/>
          <w:color w:val="000000" w:themeColor="text1"/>
          <w:sz w:val="24"/>
          <w:szCs w:val="24"/>
        </w:rPr>
        <w:t>Desta</w:t>
      </w:r>
      <w:r w:rsidR="007F439D">
        <w:rPr>
          <w:rFonts w:ascii="Times New Roman" w:hAnsi="Times New Roman"/>
          <w:color w:val="000000" w:themeColor="text1"/>
          <w:sz w:val="24"/>
          <w:szCs w:val="24"/>
        </w:rPr>
        <w:t>que</w:t>
      </w:r>
      <w:r w:rsidR="000B6B45" w:rsidRPr="00596D1F">
        <w:rPr>
          <w:rFonts w:ascii="Times New Roman" w:hAnsi="Times New Roman"/>
          <w:color w:val="000000" w:themeColor="text1"/>
          <w:sz w:val="24"/>
          <w:szCs w:val="24"/>
        </w:rPr>
        <w:t xml:space="preserve">-se que, para </w:t>
      </w:r>
      <w:r w:rsidR="00016724" w:rsidRPr="00596D1F">
        <w:rPr>
          <w:rFonts w:ascii="Times New Roman" w:hAnsi="Times New Roman"/>
          <w:color w:val="000000" w:themeColor="text1"/>
          <w:sz w:val="24"/>
          <w:szCs w:val="24"/>
        </w:rPr>
        <w:t xml:space="preserve">a criação das variáveis </w:t>
      </w:r>
      <w:proofErr w:type="spellStart"/>
      <w:r w:rsidR="00016724" w:rsidRPr="00596D1F">
        <w:rPr>
          <w:rFonts w:ascii="Times New Roman" w:hAnsi="Times New Roman"/>
          <w:i/>
          <w:color w:val="000000" w:themeColor="text1"/>
          <w:sz w:val="24"/>
          <w:szCs w:val="24"/>
        </w:rPr>
        <w:t>dummies</w:t>
      </w:r>
      <w:proofErr w:type="spellEnd"/>
      <w:r w:rsidR="00016724" w:rsidRPr="00596D1F">
        <w:rPr>
          <w:rFonts w:ascii="Times New Roman" w:hAnsi="Times New Roman"/>
          <w:color w:val="000000" w:themeColor="text1"/>
          <w:sz w:val="24"/>
          <w:szCs w:val="24"/>
        </w:rPr>
        <w:t xml:space="preserve"> que representam esse atributo utilizou-se a regra n-atributos menos 1, assim, criou-se duas </w:t>
      </w:r>
      <w:r w:rsidR="00D87428" w:rsidRPr="00596D1F">
        <w:rPr>
          <w:rFonts w:ascii="Times New Roman" w:hAnsi="Times New Roman"/>
          <w:color w:val="000000" w:themeColor="text1"/>
          <w:sz w:val="24"/>
          <w:szCs w:val="24"/>
        </w:rPr>
        <w:t>variáveis, Autarquia e P</w:t>
      </w:r>
      <w:r w:rsidR="00016724" w:rsidRPr="00596D1F">
        <w:rPr>
          <w:rFonts w:ascii="Times New Roman" w:hAnsi="Times New Roman"/>
          <w:color w:val="000000" w:themeColor="text1"/>
          <w:sz w:val="24"/>
          <w:szCs w:val="24"/>
        </w:rPr>
        <w:t>refeitura.</w:t>
      </w:r>
    </w:p>
    <w:p w14:paraId="158CD4EA" w14:textId="468E2037" w:rsidR="00EB6AEA" w:rsidRPr="00596D1F" w:rsidRDefault="007B1B75"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lastRenderedPageBreak/>
        <w:t>Como última variável de controle, utilizou-se o número de fases processuais que é a somatória da fase original (primeiro julgamento) e dos recursos contra esse primeiro julgamento. Para Cella (2018) e Oliveira (2016) o número de recursos, ou fases processuais, é inversamente r</w:t>
      </w:r>
      <w:r w:rsidR="00D87428" w:rsidRPr="00596D1F">
        <w:rPr>
          <w:rFonts w:ascii="Times New Roman" w:hAnsi="Times New Roman"/>
          <w:color w:val="000000" w:themeColor="text1"/>
          <w:sz w:val="24"/>
          <w:szCs w:val="24"/>
        </w:rPr>
        <w:t>elacionado</w:t>
      </w:r>
      <w:r w:rsidRPr="00596D1F">
        <w:rPr>
          <w:rFonts w:ascii="Times New Roman" w:hAnsi="Times New Roman"/>
          <w:color w:val="000000" w:themeColor="text1"/>
          <w:sz w:val="24"/>
          <w:szCs w:val="24"/>
        </w:rPr>
        <w:t xml:space="preserve"> </w:t>
      </w:r>
      <w:r w:rsidR="00EA3384" w:rsidRPr="00596D1F">
        <w:rPr>
          <w:rFonts w:ascii="Times New Roman" w:hAnsi="Times New Roman"/>
          <w:color w:val="000000" w:themeColor="text1"/>
          <w:sz w:val="24"/>
          <w:szCs w:val="24"/>
        </w:rPr>
        <w:t>à</w:t>
      </w:r>
      <w:r w:rsidRPr="00596D1F">
        <w:rPr>
          <w:rFonts w:ascii="Times New Roman" w:hAnsi="Times New Roman"/>
          <w:color w:val="000000" w:themeColor="text1"/>
          <w:sz w:val="24"/>
          <w:szCs w:val="24"/>
        </w:rPr>
        <w:t xml:space="preserve"> probabilidade de inclusão de um gestor na lista de inelegíveis e ao valor de multas e débitos provenientes de danos ao erário em processos de Tomada de Contas Especial. </w:t>
      </w:r>
      <w:r w:rsidR="00EA3384" w:rsidRPr="00596D1F">
        <w:rPr>
          <w:rFonts w:ascii="Times New Roman" w:hAnsi="Times New Roman"/>
          <w:color w:val="000000" w:themeColor="text1"/>
          <w:sz w:val="24"/>
          <w:szCs w:val="24"/>
        </w:rPr>
        <w:t xml:space="preserve">Esse cenário pode ser o mesmo para os </w:t>
      </w:r>
      <w:r w:rsidR="00EB6AEA" w:rsidRPr="00596D1F">
        <w:rPr>
          <w:rFonts w:ascii="Times New Roman" w:hAnsi="Times New Roman"/>
          <w:color w:val="000000" w:themeColor="text1"/>
          <w:sz w:val="24"/>
          <w:szCs w:val="24"/>
        </w:rPr>
        <w:t>atos de gestão.</w:t>
      </w:r>
    </w:p>
    <w:p w14:paraId="76BDA191" w14:textId="77777777" w:rsidR="009951DE" w:rsidRPr="00596D1F" w:rsidRDefault="009951DE" w:rsidP="000B6B45">
      <w:pPr>
        <w:spacing w:after="0" w:line="240" w:lineRule="auto"/>
        <w:jc w:val="both"/>
        <w:rPr>
          <w:rFonts w:ascii="Times New Roman" w:hAnsi="Times New Roman"/>
          <w:color w:val="000000" w:themeColor="text1"/>
          <w:sz w:val="24"/>
          <w:szCs w:val="24"/>
        </w:rPr>
      </w:pPr>
    </w:p>
    <w:p w14:paraId="63EC388D" w14:textId="44BDE8E9" w:rsidR="004F1744" w:rsidRPr="00596D1F" w:rsidRDefault="00EA6C93" w:rsidP="005A2B69">
      <w:pPr>
        <w:pStyle w:val="Ttulo1"/>
        <w:spacing w:after="120"/>
        <w:ind w:left="431" w:hanging="431"/>
        <w:rPr>
          <w:color w:val="000000" w:themeColor="text1"/>
        </w:rPr>
      </w:pPr>
      <w:r>
        <w:rPr>
          <w:color w:val="000000" w:themeColor="text1"/>
        </w:rPr>
        <w:t>Resultado</w:t>
      </w:r>
      <w:r w:rsidR="00D22D49">
        <w:rPr>
          <w:color w:val="000000" w:themeColor="text1"/>
        </w:rPr>
        <w:t>s</w:t>
      </w:r>
      <w:r>
        <w:rPr>
          <w:color w:val="000000" w:themeColor="text1"/>
        </w:rPr>
        <w:t xml:space="preserve"> do estudo</w:t>
      </w:r>
    </w:p>
    <w:p w14:paraId="2BD6ACC2" w14:textId="77777777" w:rsidR="00E37AD7" w:rsidRDefault="00E564CB" w:rsidP="00E564CB">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Os resultados serão apresentados em duas </w:t>
      </w:r>
      <w:r w:rsidR="00FF7644" w:rsidRPr="00596D1F">
        <w:rPr>
          <w:rFonts w:ascii="Times New Roman" w:hAnsi="Times New Roman"/>
          <w:color w:val="000000" w:themeColor="text1"/>
          <w:sz w:val="24"/>
          <w:szCs w:val="24"/>
        </w:rPr>
        <w:t>sub</w:t>
      </w:r>
      <w:r w:rsidRPr="00596D1F">
        <w:rPr>
          <w:rFonts w:ascii="Times New Roman" w:hAnsi="Times New Roman"/>
          <w:color w:val="000000" w:themeColor="text1"/>
          <w:sz w:val="24"/>
          <w:szCs w:val="24"/>
        </w:rPr>
        <w:t xml:space="preserve">seções. </w:t>
      </w:r>
      <w:r w:rsidR="00FF7644" w:rsidRPr="00596D1F">
        <w:rPr>
          <w:rFonts w:ascii="Times New Roman" w:hAnsi="Times New Roman"/>
          <w:color w:val="000000" w:themeColor="text1"/>
          <w:sz w:val="24"/>
          <w:szCs w:val="24"/>
        </w:rPr>
        <w:t>Na</w:t>
      </w:r>
      <w:r w:rsidRPr="00596D1F">
        <w:rPr>
          <w:rFonts w:ascii="Times New Roman" w:hAnsi="Times New Roman"/>
          <w:color w:val="000000" w:themeColor="text1"/>
          <w:sz w:val="24"/>
          <w:szCs w:val="24"/>
        </w:rPr>
        <w:t xml:space="preserve"> primeira</w:t>
      </w:r>
      <w:r w:rsidR="00FF7644" w:rsidRPr="00596D1F">
        <w:rPr>
          <w:rFonts w:ascii="Times New Roman" w:hAnsi="Times New Roman"/>
          <w:color w:val="000000" w:themeColor="text1"/>
          <w:sz w:val="24"/>
          <w:szCs w:val="24"/>
        </w:rPr>
        <w:t xml:space="preserve">, </w:t>
      </w:r>
      <w:r w:rsidR="009D18EE" w:rsidRPr="00596D1F">
        <w:rPr>
          <w:rFonts w:ascii="Times New Roman" w:hAnsi="Times New Roman"/>
          <w:color w:val="000000" w:themeColor="text1"/>
          <w:sz w:val="24"/>
          <w:szCs w:val="24"/>
        </w:rPr>
        <w:t>será destacada</w:t>
      </w:r>
      <w:r w:rsidR="00FF7644" w:rsidRPr="00596D1F">
        <w:rPr>
          <w:rFonts w:ascii="Times New Roman" w:hAnsi="Times New Roman"/>
          <w:color w:val="000000" w:themeColor="text1"/>
          <w:sz w:val="24"/>
          <w:szCs w:val="24"/>
        </w:rPr>
        <w:t xml:space="preserve"> a</w:t>
      </w:r>
      <w:r w:rsidRPr="00596D1F">
        <w:rPr>
          <w:rFonts w:ascii="Times New Roman" w:hAnsi="Times New Roman"/>
          <w:color w:val="000000" w:themeColor="text1"/>
          <w:sz w:val="24"/>
          <w:szCs w:val="24"/>
        </w:rPr>
        <w:t xml:space="preserve"> estatística descritiva dos dados inerentes aos processos julgados co</w:t>
      </w:r>
      <w:r w:rsidR="009D18EE" w:rsidRPr="00596D1F">
        <w:rPr>
          <w:rFonts w:ascii="Times New Roman" w:hAnsi="Times New Roman"/>
          <w:color w:val="000000" w:themeColor="text1"/>
          <w:sz w:val="24"/>
          <w:szCs w:val="24"/>
        </w:rPr>
        <w:t>m aplicação de débitos e multas</w:t>
      </w:r>
      <w:r w:rsidR="00EA6C93">
        <w:rPr>
          <w:rFonts w:ascii="Times New Roman" w:hAnsi="Times New Roman"/>
          <w:color w:val="000000" w:themeColor="text1"/>
          <w:sz w:val="24"/>
          <w:szCs w:val="24"/>
        </w:rPr>
        <w:t>. N</w:t>
      </w:r>
      <w:r w:rsidRPr="00596D1F">
        <w:rPr>
          <w:rFonts w:ascii="Times New Roman" w:hAnsi="Times New Roman"/>
          <w:color w:val="000000" w:themeColor="text1"/>
          <w:sz w:val="24"/>
          <w:szCs w:val="24"/>
        </w:rPr>
        <w:t xml:space="preserve">esta análise, </w:t>
      </w:r>
      <w:r w:rsidR="00FF7644" w:rsidRPr="00596D1F">
        <w:rPr>
          <w:rFonts w:ascii="Times New Roman" w:hAnsi="Times New Roman"/>
          <w:color w:val="000000" w:themeColor="text1"/>
          <w:sz w:val="24"/>
          <w:szCs w:val="24"/>
        </w:rPr>
        <w:t>serão considerados</w:t>
      </w:r>
      <w:r w:rsidR="003A6459" w:rsidRPr="00596D1F">
        <w:rPr>
          <w:rFonts w:ascii="Times New Roman" w:hAnsi="Times New Roman"/>
          <w:color w:val="000000" w:themeColor="text1"/>
          <w:sz w:val="24"/>
          <w:szCs w:val="24"/>
        </w:rPr>
        <w:t>,</w:t>
      </w:r>
      <w:r w:rsidR="00FF7644" w:rsidRPr="00596D1F">
        <w:rPr>
          <w:rFonts w:ascii="Times New Roman" w:hAnsi="Times New Roman"/>
          <w:color w:val="000000" w:themeColor="text1"/>
          <w:sz w:val="24"/>
          <w:szCs w:val="24"/>
        </w:rPr>
        <w:t xml:space="preserve"> além do</w:t>
      </w:r>
      <w:r w:rsidRPr="00596D1F">
        <w:rPr>
          <w:rFonts w:ascii="Times New Roman" w:hAnsi="Times New Roman"/>
          <w:color w:val="000000" w:themeColor="text1"/>
          <w:sz w:val="24"/>
          <w:szCs w:val="24"/>
        </w:rPr>
        <w:t xml:space="preserve"> número</w:t>
      </w:r>
      <w:r w:rsidR="00FF7644" w:rsidRPr="00596D1F">
        <w:rPr>
          <w:rFonts w:ascii="Times New Roman" w:hAnsi="Times New Roman"/>
          <w:color w:val="000000" w:themeColor="text1"/>
          <w:sz w:val="24"/>
          <w:szCs w:val="24"/>
        </w:rPr>
        <w:t xml:space="preserve"> absoluto dos</w:t>
      </w:r>
      <w:r w:rsidRPr="00596D1F">
        <w:rPr>
          <w:rFonts w:ascii="Times New Roman" w:hAnsi="Times New Roman"/>
          <w:color w:val="000000" w:themeColor="text1"/>
          <w:sz w:val="24"/>
          <w:szCs w:val="24"/>
        </w:rPr>
        <w:t xml:space="preserve"> processo</w:t>
      </w:r>
      <w:r w:rsidR="00FF7644" w:rsidRPr="00596D1F">
        <w:rPr>
          <w:rFonts w:ascii="Times New Roman" w:hAnsi="Times New Roman"/>
          <w:color w:val="000000" w:themeColor="text1"/>
          <w:sz w:val="24"/>
          <w:szCs w:val="24"/>
        </w:rPr>
        <w:t xml:space="preserve">s com penalidades, </w:t>
      </w:r>
      <w:r w:rsidRPr="00596D1F">
        <w:rPr>
          <w:rFonts w:ascii="Times New Roman" w:hAnsi="Times New Roman"/>
          <w:color w:val="000000" w:themeColor="text1"/>
          <w:sz w:val="24"/>
          <w:szCs w:val="24"/>
        </w:rPr>
        <w:t>os percentuais</w:t>
      </w:r>
      <w:r w:rsidR="00FF7644" w:rsidRPr="00596D1F">
        <w:rPr>
          <w:rFonts w:ascii="Times New Roman" w:hAnsi="Times New Roman"/>
          <w:color w:val="000000" w:themeColor="text1"/>
          <w:sz w:val="24"/>
          <w:szCs w:val="24"/>
        </w:rPr>
        <w:t xml:space="preserve"> delas por natureza</w:t>
      </w:r>
      <w:r w:rsidR="003A6459" w:rsidRPr="00596D1F">
        <w:rPr>
          <w:rFonts w:ascii="Times New Roman" w:hAnsi="Times New Roman"/>
          <w:color w:val="000000" w:themeColor="text1"/>
          <w:sz w:val="24"/>
          <w:szCs w:val="24"/>
        </w:rPr>
        <w:t>,</w:t>
      </w:r>
      <w:r w:rsidR="00FF7644" w:rsidRPr="00596D1F">
        <w:rPr>
          <w:rFonts w:ascii="Times New Roman" w:hAnsi="Times New Roman"/>
          <w:color w:val="000000" w:themeColor="text1"/>
          <w:sz w:val="24"/>
          <w:szCs w:val="24"/>
        </w:rPr>
        <w:t xml:space="preserve"> e</w:t>
      </w:r>
      <w:r w:rsidR="003A6459" w:rsidRPr="00596D1F">
        <w:rPr>
          <w:rFonts w:ascii="Times New Roman" w:hAnsi="Times New Roman"/>
          <w:color w:val="000000" w:themeColor="text1"/>
          <w:sz w:val="24"/>
          <w:szCs w:val="24"/>
        </w:rPr>
        <w:t>,</w:t>
      </w:r>
      <w:r w:rsidR="00FF7644" w:rsidRPr="00596D1F">
        <w:rPr>
          <w:rFonts w:ascii="Times New Roman" w:hAnsi="Times New Roman"/>
          <w:color w:val="000000" w:themeColor="text1"/>
          <w:sz w:val="24"/>
          <w:szCs w:val="24"/>
        </w:rPr>
        <w:t xml:space="preserve"> os comentários do comparativo</w:t>
      </w:r>
      <w:r w:rsidR="003A6459" w:rsidRPr="00596D1F">
        <w:rPr>
          <w:rFonts w:ascii="Times New Roman" w:hAnsi="Times New Roman"/>
          <w:color w:val="000000" w:themeColor="text1"/>
          <w:sz w:val="24"/>
          <w:szCs w:val="24"/>
        </w:rPr>
        <w:t>,</w:t>
      </w:r>
      <w:r w:rsidR="00FF7644" w:rsidRPr="00596D1F">
        <w:rPr>
          <w:rFonts w:ascii="Times New Roman" w:hAnsi="Times New Roman"/>
          <w:color w:val="000000" w:themeColor="text1"/>
          <w:sz w:val="24"/>
          <w:szCs w:val="24"/>
        </w:rPr>
        <w:t xml:space="preserve"> antes e depois da </w:t>
      </w:r>
      <w:r w:rsidR="003A6459" w:rsidRPr="00596D1F">
        <w:rPr>
          <w:rFonts w:ascii="Times New Roman" w:hAnsi="Times New Roman"/>
          <w:color w:val="000000" w:themeColor="text1"/>
          <w:sz w:val="24"/>
          <w:szCs w:val="24"/>
        </w:rPr>
        <w:t>LAI</w:t>
      </w:r>
      <w:r w:rsidR="00FF7644"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chamada</w:t>
      </w:r>
      <w:r w:rsidR="00FF7644" w:rsidRPr="00596D1F">
        <w:rPr>
          <w:rFonts w:ascii="Times New Roman" w:hAnsi="Times New Roman"/>
          <w:color w:val="000000" w:themeColor="text1"/>
          <w:sz w:val="24"/>
          <w:szCs w:val="24"/>
        </w:rPr>
        <w:t>, também,</w:t>
      </w:r>
      <w:r w:rsidRPr="00596D1F">
        <w:rPr>
          <w:rFonts w:ascii="Times New Roman" w:hAnsi="Times New Roman"/>
          <w:color w:val="000000" w:themeColor="text1"/>
          <w:sz w:val="24"/>
          <w:szCs w:val="24"/>
        </w:rPr>
        <w:t xml:space="preserve"> de lei da transparência pública. </w:t>
      </w:r>
    </w:p>
    <w:p w14:paraId="7842633E" w14:textId="7744F778" w:rsidR="00E564CB" w:rsidRPr="00596D1F" w:rsidRDefault="00E564CB" w:rsidP="00E564CB">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Na segunda</w:t>
      </w:r>
      <w:r w:rsidR="003A6459" w:rsidRPr="00596D1F">
        <w:rPr>
          <w:rFonts w:ascii="Times New Roman" w:hAnsi="Times New Roman"/>
          <w:color w:val="000000" w:themeColor="text1"/>
          <w:sz w:val="24"/>
          <w:szCs w:val="24"/>
        </w:rPr>
        <w:t>,</w:t>
      </w:r>
      <w:r w:rsidR="00FF7644" w:rsidRPr="00596D1F">
        <w:rPr>
          <w:rFonts w:ascii="Times New Roman" w:hAnsi="Times New Roman"/>
          <w:color w:val="000000" w:themeColor="text1"/>
          <w:sz w:val="24"/>
          <w:szCs w:val="24"/>
        </w:rPr>
        <w:t xml:space="preserve"> </w:t>
      </w:r>
      <w:r w:rsidR="009D18EE" w:rsidRPr="00596D1F">
        <w:rPr>
          <w:rFonts w:ascii="Times New Roman" w:hAnsi="Times New Roman"/>
          <w:color w:val="000000" w:themeColor="text1"/>
          <w:sz w:val="24"/>
          <w:szCs w:val="24"/>
        </w:rPr>
        <w:t>será evidenciado</w:t>
      </w:r>
      <w:r w:rsidR="00FF7644" w:rsidRPr="00596D1F">
        <w:rPr>
          <w:rFonts w:ascii="Times New Roman" w:hAnsi="Times New Roman"/>
          <w:color w:val="000000" w:themeColor="text1"/>
          <w:sz w:val="24"/>
          <w:szCs w:val="24"/>
        </w:rPr>
        <w:t xml:space="preserve"> o</w:t>
      </w:r>
      <w:r w:rsidRPr="00596D1F">
        <w:rPr>
          <w:rFonts w:ascii="Times New Roman" w:hAnsi="Times New Roman"/>
          <w:color w:val="000000" w:themeColor="text1"/>
          <w:sz w:val="24"/>
          <w:szCs w:val="24"/>
        </w:rPr>
        <w:t xml:space="preserve"> resultado dos modelos econométricos </w:t>
      </w:r>
      <w:r w:rsidR="003A6459" w:rsidRPr="00596D1F">
        <w:rPr>
          <w:rFonts w:ascii="Times New Roman" w:hAnsi="Times New Roman"/>
          <w:color w:val="000000" w:themeColor="text1"/>
          <w:sz w:val="24"/>
          <w:szCs w:val="24"/>
        </w:rPr>
        <w:t>elaborados</w:t>
      </w:r>
      <w:r w:rsidRPr="00596D1F">
        <w:rPr>
          <w:rFonts w:ascii="Times New Roman" w:hAnsi="Times New Roman"/>
          <w:color w:val="000000" w:themeColor="text1"/>
          <w:sz w:val="24"/>
          <w:szCs w:val="24"/>
        </w:rPr>
        <w:t xml:space="preserve"> para determinar qual foi o efeito da variável independente, </w:t>
      </w:r>
      <w:r w:rsidR="009D18EE" w:rsidRPr="00596D1F">
        <w:rPr>
          <w:rFonts w:ascii="Times New Roman" w:hAnsi="Times New Roman"/>
          <w:color w:val="000000" w:themeColor="text1"/>
          <w:sz w:val="24"/>
          <w:szCs w:val="24"/>
        </w:rPr>
        <w:t>LAI</w:t>
      </w:r>
      <w:r w:rsidRPr="00596D1F">
        <w:rPr>
          <w:rFonts w:ascii="Times New Roman" w:hAnsi="Times New Roman"/>
          <w:color w:val="000000" w:themeColor="text1"/>
          <w:sz w:val="24"/>
          <w:szCs w:val="24"/>
        </w:rPr>
        <w:t>, no comportamento dos agentes de fiscalização, estudado indiretamente por intermédi</w:t>
      </w:r>
      <w:r w:rsidR="003A6459" w:rsidRPr="00596D1F">
        <w:rPr>
          <w:rFonts w:ascii="Times New Roman" w:hAnsi="Times New Roman"/>
          <w:color w:val="000000" w:themeColor="text1"/>
          <w:sz w:val="24"/>
          <w:szCs w:val="24"/>
        </w:rPr>
        <w:t>o das punições por eles aplicada</w:t>
      </w:r>
      <w:r w:rsidRPr="00596D1F">
        <w:rPr>
          <w:rFonts w:ascii="Times New Roman" w:hAnsi="Times New Roman"/>
          <w:color w:val="000000" w:themeColor="text1"/>
          <w:sz w:val="24"/>
          <w:szCs w:val="24"/>
        </w:rPr>
        <w:t>s nos dois</w:t>
      </w:r>
      <w:r w:rsidR="00EB62A8" w:rsidRPr="00596D1F">
        <w:rPr>
          <w:rFonts w:ascii="Times New Roman" w:hAnsi="Times New Roman"/>
          <w:color w:val="000000" w:themeColor="text1"/>
          <w:sz w:val="24"/>
          <w:szCs w:val="24"/>
        </w:rPr>
        <w:t xml:space="preserve"> períodos, antes e após </w:t>
      </w:r>
      <w:r w:rsidR="00505655">
        <w:rPr>
          <w:rFonts w:ascii="Times New Roman" w:hAnsi="Times New Roman"/>
          <w:color w:val="000000" w:themeColor="text1"/>
          <w:sz w:val="24"/>
          <w:szCs w:val="24"/>
        </w:rPr>
        <w:t xml:space="preserve">a </w:t>
      </w:r>
      <w:r w:rsidR="00EA6C93">
        <w:rPr>
          <w:rFonts w:ascii="Times New Roman" w:hAnsi="Times New Roman"/>
          <w:color w:val="000000" w:themeColor="text1"/>
          <w:sz w:val="24"/>
          <w:szCs w:val="24"/>
        </w:rPr>
        <w:t>lei</w:t>
      </w:r>
      <w:r w:rsidR="00EB62A8" w:rsidRPr="00596D1F">
        <w:rPr>
          <w:rFonts w:ascii="Times New Roman" w:hAnsi="Times New Roman"/>
          <w:color w:val="000000" w:themeColor="text1"/>
          <w:sz w:val="24"/>
          <w:szCs w:val="24"/>
        </w:rPr>
        <w:t xml:space="preserve">. </w:t>
      </w:r>
      <w:r w:rsidR="00FF7644" w:rsidRPr="00596D1F">
        <w:rPr>
          <w:rFonts w:ascii="Times New Roman" w:hAnsi="Times New Roman"/>
          <w:color w:val="000000" w:themeColor="text1"/>
          <w:sz w:val="24"/>
          <w:szCs w:val="24"/>
        </w:rPr>
        <w:t>Segue o resultado</w:t>
      </w:r>
      <w:r w:rsidRPr="00596D1F">
        <w:rPr>
          <w:rFonts w:ascii="Times New Roman" w:hAnsi="Times New Roman"/>
          <w:color w:val="000000" w:themeColor="text1"/>
          <w:sz w:val="24"/>
          <w:szCs w:val="24"/>
        </w:rPr>
        <w:t xml:space="preserve">: </w:t>
      </w:r>
    </w:p>
    <w:p w14:paraId="25E6428D" w14:textId="77777777" w:rsidR="00016724" w:rsidRPr="00596D1F" w:rsidRDefault="00016724" w:rsidP="000B6B45">
      <w:pPr>
        <w:spacing w:after="0" w:line="240" w:lineRule="auto"/>
        <w:rPr>
          <w:color w:val="000000" w:themeColor="text1"/>
        </w:rPr>
      </w:pPr>
    </w:p>
    <w:p w14:paraId="0D93ECF9" w14:textId="77777777" w:rsidR="00016724" w:rsidRPr="00596D1F" w:rsidRDefault="00844C2A" w:rsidP="000B6B45">
      <w:pPr>
        <w:pStyle w:val="Ttulo2"/>
        <w:rPr>
          <w:color w:val="000000" w:themeColor="text1"/>
        </w:rPr>
      </w:pPr>
      <w:r w:rsidRPr="00596D1F">
        <w:rPr>
          <w:color w:val="000000" w:themeColor="text1"/>
        </w:rPr>
        <w:t>Análise descritiva dos resultados</w:t>
      </w:r>
    </w:p>
    <w:p w14:paraId="7EF6C673" w14:textId="77777777"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 Tabela 1 mostra a evolução dos</w:t>
      </w:r>
      <w:r w:rsidR="00E936DE" w:rsidRPr="00596D1F">
        <w:rPr>
          <w:rFonts w:ascii="Times New Roman" w:hAnsi="Times New Roman"/>
          <w:color w:val="000000" w:themeColor="text1"/>
          <w:sz w:val="24"/>
          <w:szCs w:val="24"/>
        </w:rPr>
        <w:t xml:space="preserve"> processos com débitos, multas</w:t>
      </w:r>
      <w:r w:rsidR="00825541" w:rsidRPr="00596D1F">
        <w:rPr>
          <w:rFonts w:ascii="Times New Roman" w:hAnsi="Times New Roman"/>
          <w:color w:val="000000" w:themeColor="text1"/>
          <w:sz w:val="24"/>
          <w:szCs w:val="24"/>
        </w:rPr>
        <w:t xml:space="preserve"> e somatório de ambos, para o</w:t>
      </w:r>
      <w:r w:rsidRPr="00596D1F">
        <w:rPr>
          <w:rFonts w:ascii="Times New Roman" w:hAnsi="Times New Roman"/>
          <w:color w:val="000000" w:themeColor="text1"/>
          <w:sz w:val="24"/>
          <w:szCs w:val="24"/>
        </w:rPr>
        <w:t xml:space="preserve"> período de 2009 até 2016, assim como o percentual representativo deles em cada ano:</w:t>
      </w:r>
    </w:p>
    <w:p w14:paraId="76BE4C1E" w14:textId="77777777" w:rsidR="00DD0097" w:rsidRDefault="00DD0097" w:rsidP="000B6B45">
      <w:pPr>
        <w:spacing w:after="0" w:line="240" w:lineRule="auto"/>
        <w:rPr>
          <w:rFonts w:ascii="Times New Roman" w:hAnsi="Times New Roman"/>
          <w:b/>
          <w:bCs/>
          <w:color w:val="000000" w:themeColor="text1"/>
          <w:sz w:val="20"/>
          <w:szCs w:val="20"/>
        </w:rPr>
      </w:pPr>
    </w:p>
    <w:p w14:paraId="5C281A3E" w14:textId="4C1C5A3A" w:rsidR="00016724" w:rsidRPr="00D15A99" w:rsidRDefault="00016724" w:rsidP="00951F57">
      <w:pPr>
        <w:spacing w:after="0" w:line="240" w:lineRule="auto"/>
        <w:jc w:val="center"/>
        <w:rPr>
          <w:rFonts w:ascii="Times New Roman" w:hAnsi="Times New Roman"/>
          <w:b/>
          <w:bCs/>
          <w:color w:val="000000" w:themeColor="text1"/>
          <w:sz w:val="20"/>
          <w:szCs w:val="20"/>
        </w:rPr>
      </w:pPr>
      <w:r w:rsidRPr="00D15A99">
        <w:rPr>
          <w:rFonts w:ascii="Times New Roman" w:hAnsi="Times New Roman"/>
          <w:b/>
          <w:bCs/>
          <w:color w:val="000000" w:themeColor="text1"/>
          <w:sz w:val="20"/>
          <w:szCs w:val="20"/>
        </w:rPr>
        <w:t>Tabela 1</w:t>
      </w:r>
      <w:r w:rsidR="00D15A99" w:rsidRPr="00D15A99">
        <w:rPr>
          <w:rFonts w:ascii="Times New Roman" w:hAnsi="Times New Roman"/>
          <w:b/>
          <w:bCs/>
          <w:color w:val="000000" w:themeColor="text1"/>
          <w:sz w:val="20"/>
          <w:szCs w:val="20"/>
        </w:rPr>
        <w:t xml:space="preserve"> - </w:t>
      </w:r>
      <w:r w:rsidRPr="00D15A99">
        <w:rPr>
          <w:rFonts w:ascii="Times New Roman" w:hAnsi="Times New Roman"/>
          <w:b/>
          <w:bCs/>
          <w:color w:val="000000" w:themeColor="text1"/>
          <w:sz w:val="20"/>
          <w:szCs w:val="20"/>
        </w:rPr>
        <w:t>Número de processos com débito e multa de 2008 a 2016</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30"/>
        <w:gridCol w:w="1359"/>
        <w:gridCol w:w="1255"/>
        <w:gridCol w:w="1359"/>
        <w:gridCol w:w="1255"/>
        <w:gridCol w:w="1359"/>
        <w:gridCol w:w="1254"/>
      </w:tblGrid>
      <w:tr w:rsidR="00596D1F" w:rsidRPr="00596D1F" w14:paraId="12D71EBD" w14:textId="77777777" w:rsidTr="006E6457">
        <w:trPr>
          <w:trHeight w:val="20"/>
        </w:trPr>
        <w:tc>
          <w:tcPr>
            <w:tcW w:w="678" w:type="pct"/>
            <w:shd w:val="clear" w:color="auto" w:fill="auto"/>
            <w:noWrap/>
            <w:hideMark/>
          </w:tcPr>
          <w:p w14:paraId="0983AF18" w14:textId="77777777" w:rsidR="00016724" w:rsidRPr="00596D1F" w:rsidRDefault="00016724" w:rsidP="000B6B45">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Anos</w:t>
            </w:r>
          </w:p>
        </w:tc>
        <w:tc>
          <w:tcPr>
            <w:tcW w:w="749" w:type="pct"/>
            <w:shd w:val="clear" w:color="auto" w:fill="auto"/>
            <w:noWrap/>
            <w:hideMark/>
          </w:tcPr>
          <w:p w14:paraId="1BE0D4C8" w14:textId="77777777" w:rsidR="00016724" w:rsidRPr="00596D1F" w:rsidRDefault="00016724" w:rsidP="00385E27">
            <w:pPr>
              <w:spacing w:after="0" w:line="240" w:lineRule="auto"/>
              <w:jc w:val="right"/>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Débito</w:t>
            </w:r>
          </w:p>
        </w:tc>
        <w:tc>
          <w:tcPr>
            <w:tcW w:w="692" w:type="pct"/>
            <w:shd w:val="clear" w:color="auto" w:fill="auto"/>
            <w:noWrap/>
            <w:hideMark/>
          </w:tcPr>
          <w:p w14:paraId="1B4FC4D1" w14:textId="77777777" w:rsidR="00016724" w:rsidRPr="00596D1F" w:rsidRDefault="00016724" w:rsidP="00927F22">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w:t>
            </w:r>
          </w:p>
        </w:tc>
        <w:tc>
          <w:tcPr>
            <w:tcW w:w="749" w:type="pct"/>
            <w:shd w:val="clear" w:color="auto" w:fill="auto"/>
            <w:noWrap/>
            <w:hideMark/>
          </w:tcPr>
          <w:p w14:paraId="5E3E3654" w14:textId="77777777" w:rsidR="00016724" w:rsidRPr="00596D1F" w:rsidRDefault="00016724" w:rsidP="00385E27">
            <w:pPr>
              <w:spacing w:after="0" w:line="240" w:lineRule="auto"/>
              <w:jc w:val="right"/>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Multa</w:t>
            </w:r>
          </w:p>
        </w:tc>
        <w:tc>
          <w:tcPr>
            <w:tcW w:w="692" w:type="pct"/>
            <w:shd w:val="clear" w:color="auto" w:fill="auto"/>
            <w:noWrap/>
            <w:hideMark/>
          </w:tcPr>
          <w:p w14:paraId="13B71B65" w14:textId="77777777" w:rsidR="00016724" w:rsidRPr="00596D1F" w:rsidRDefault="00016724" w:rsidP="00927F22">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w:t>
            </w:r>
          </w:p>
        </w:tc>
        <w:tc>
          <w:tcPr>
            <w:tcW w:w="749" w:type="pct"/>
            <w:shd w:val="clear" w:color="auto" w:fill="auto"/>
            <w:noWrap/>
            <w:hideMark/>
          </w:tcPr>
          <w:p w14:paraId="72A2B43A" w14:textId="77777777" w:rsidR="00016724" w:rsidRPr="00596D1F" w:rsidRDefault="00016724" w:rsidP="00385E27">
            <w:pPr>
              <w:spacing w:after="0" w:line="240" w:lineRule="auto"/>
              <w:jc w:val="right"/>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Total Geral</w:t>
            </w:r>
          </w:p>
        </w:tc>
        <w:tc>
          <w:tcPr>
            <w:tcW w:w="692" w:type="pct"/>
            <w:shd w:val="clear" w:color="auto" w:fill="auto"/>
            <w:noWrap/>
            <w:hideMark/>
          </w:tcPr>
          <w:p w14:paraId="66E8FA4C" w14:textId="77777777" w:rsidR="00016724" w:rsidRPr="00596D1F" w:rsidRDefault="00016724" w:rsidP="00927F22">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w:t>
            </w:r>
          </w:p>
        </w:tc>
      </w:tr>
      <w:tr w:rsidR="00596D1F" w:rsidRPr="00596D1F" w14:paraId="75A2F2C8" w14:textId="77777777" w:rsidTr="006E6457">
        <w:trPr>
          <w:trHeight w:val="20"/>
        </w:trPr>
        <w:tc>
          <w:tcPr>
            <w:tcW w:w="678" w:type="pct"/>
            <w:shd w:val="clear" w:color="auto" w:fill="auto"/>
            <w:noWrap/>
            <w:hideMark/>
          </w:tcPr>
          <w:p w14:paraId="61C2E611"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2009</w:t>
            </w:r>
          </w:p>
        </w:tc>
        <w:tc>
          <w:tcPr>
            <w:tcW w:w="749" w:type="pct"/>
            <w:shd w:val="clear" w:color="auto" w:fill="auto"/>
            <w:noWrap/>
            <w:hideMark/>
          </w:tcPr>
          <w:p w14:paraId="0D00F6DE"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550 </w:t>
            </w:r>
          </w:p>
        </w:tc>
        <w:tc>
          <w:tcPr>
            <w:tcW w:w="692" w:type="pct"/>
            <w:shd w:val="clear" w:color="auto" w:fill="auto"/>
            <w:noWrap/>
            <w:hideMark/>
          </w:tcPr>
          <w:p w14:paraId="790B4A35" w14:textId="0674F25D"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7</w:t>
            </w:r>
          </w:p>
        </w:tc>
        <w:tc>
          <w:tcPr>
            <w:tcW w:w="749" w:type="pct"/>
            <w:shd w:val="clear" w:color="auto" w:fill="auto"/>
            <w:noWrap/>
            <w:hideMark/>
          </w:tcPr>
          <w:p w14:paraId="412ACFDC"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1.273 </w:t>
            </w:r>
          </w:p>
        </w:tc>
        <w:tc>
          <w:tcPr>
            <w:tcW w:w="692" w:type="pct"/>
            <w:shd w:val="clear" w:color="auto" w:fill="auto"/>
            <w:noWrap/>
            <w:hideMark/>
          </w:tcPr>
          <w:p w14:paraId="22750776" w14:textId="10F1D58E"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3</w:t>
            </w:r>
          </w:p>
        </w:tc>
        <w:tc>
          <w:tcPr>
            <w:tcW w:w="749" w:type="pct"/>
            <w:shd w:val="clear" w:color="auto" w:fill="auto"/>
            <w:noWrap/>
            <w:hideMark/>
          </w:tcPr>
          <w:p w14:paraId="7EABF9DA"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1.823 </w:t>
            </w:r>
          </w:p>
        </w:tc>
        <w:tc>
          <w:tcPr>
            <w:tcW w:w="692" w:type="pct"/>
            <w:shd w:val="clear" w:color="auto" w:fill="auto"/>
            <w:noWrap/>
            <w:hideMark/>
          </w:tcPr>
          <w:p w14:paraId="269D250C" w14:textId="130D9A85"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3</w:t>
            </w:r>
          </w:p>
        </w:tc>
      </w:tr>
      <w:tr w:rsidR="00596D1F" w:rsidRPr="00596D1F" w14:paraId="028E21C2" w14:textId="77777777" w:rsidTr="006E6457">
        <w:trPr>
          <w:trHeight w:val="20"/>
        </w:trPr>
        <w:tc>
          <w:tcPr>
            <w:tcW w:w="678" w:type="pct"/>
            <w:shd w:val="clear" w:color="auto" w:fill="auto"/>
            <w:noWrap/>
            <w:hideMark/>
          </w:tcPr>
          <w:p w14:paraId="0748D00E"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2010</w:t>
            </w:r>
          </w:p>
        </w:tc>
        <w:tc>
          <w:tcPr>
            <w:tcW w:w="749" w:type="pct"/>
            <w:shd w:val="clear" w:color="auto" w:fill="auto"/>
            <w:noWrap/>
            <w:hideMark/>
          </w:tcPr>
          <w:p w14:paraId="0F62640F"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 xml:space="preserve">           2.117 </w:t>
            </w:r>
          </w:p>
        </w:tc>
        <w:tc>
          <w:tcPr>
            <w:tcW w:w="692" w:type="pct"/>
            <w:shd w:val="clear" w:color="auto" w:fill="auto"/>
            <w:noWrap/>
            <w:hideMark/>
          </w:tcPr>
          <w:p w14:paraId="4CA5450D" w14:textId="60A85B88"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25</w:t>
            </w:r>
          </w:p>
        </w:tc>
        <w:tc>
          <w:tcPr>
            <w:tcW w:w="749" w:type="pct"/>
            <w:shd w:val="clear" w:color="auto" w:fill="auto"/>
            <w:noWrap/>
            <w:hideMark/>
          </w:tcPr>
          <w:p w14:paraId="7B56E700"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w:t>
            </w:r>
            <w:r w:rsidRPr="00596D1F">
              <w:rPr>
                <w:rFonts w:ascii="Times New Roman" w:eastAsia="Times New Roman" w:hAnsi="Times New Roman"/>
                <w:b/>
                <w:color w:val="000000" w:themeColor="text1"/>
                <w:sz w:val="20"/>
                <w:szCs w:val="20"/>
                <w:lang w:eastAsia="pt-BR"/>
              </w:rPr>
              <w:t xml:space="preserve">11.795 </w:t>
            </w:r>
          </w:p>
        </w:tc>
        <w:tc>
          <w:tcPr>
            <w:tcW w:w="692" w:type="pct"/>
            <w:shd w:val="clear" w:color="auto" w:fill="auto"/>
            <w:noWrap/>
            <w:hideMark/>
          </w:tcPr>
          <w:p w14:paraId="4FE8DEB0" w14:textId="45435E0D"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24</w:t>
            </w:r>
          </w:p>
        </w:tc>
        <w:tc>
          <w:tcPr>
            <w:tcW w:w="749" w:type="pct"/>
            <w:shd w:val="clear" w:color="auto" w:fill="auto"/>
            <w:noWrap/>
            <w:hideMark/>
          </w:tcPr>
          <w:p w14:paraId="33B3F129"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w:t>
            </w:r>
            <w:r w:rsidRPr="00596D1F">
              <w:rPr>
                <w:rFonts w:ascii="Times New Roman" w:eastAsia="Times New Roman" w:hAnsi="Times New Roman"/>
                <w:b/>
                <w:color w:val="000000" w:themeColor="text1"/>
                <w:sz w:val="20"/>
                <w:szCs w:val="20"/>
                <w:lang w:eastAsia="pt-BR"/>
              </w:rPr>
              <w:t xml:space="preserve">13.912 </w:t>
            </w:r>
          </w:p>
        </w:tc>
        <w:tc>
          <w:tcPr>
            <w:tcW w:w="692" w:type="pct"/>
            <w:shd w:val="clear" w:color="auto" w:fill="auto"/>
            <w:noWrap/>
            <w:hideMark/>
          </w:tcPr>
          <w:p w14:paraId="193788F7" w14:textId="34E3FD91"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24</w:t>
            </w:r>
          </w:p>
        </w:tc>
      </w:tr>
      <w:tr w:rsidR="00596D1F" w:rsidRPr="00596D1F" w14:paraId="4726DE29" w14:textId="77777777" w:rsidTr="006E6457">
        <w:trPr>
          <w:trHeight w:val="20"/>
        </w:trPr>
        <w:tc>
          <w:tcPr>
            <w:tcW w:w="678" w:type="pct"/>
            <w:shd w:val="clear" w:color="auto" w:fill="auto"/>
            <w:noWrap/>
            <w:hideMark/>
          </w:tcPr>
          <w:p w14:paraId="21B1C188"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2011</w:t>
            </w:r>
          </w:p>
        </w:tc>
        <w:tc>
          <w:tcPr>
            <w:tcW w:w="749" w:type="pct"/>
            <w:shd w:val="clear" w:color="auto" w:fill="auto"/>
            <w:noWrap/>
            <w:hideMark/>
          </w:tcPr>
          <w:p w14:paraId="3B5A3EC6"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1.021 </w:t>
            </w:r>
          </w:p>
        </w:tc>
        <w:tc>
          <w:tcPr>
            <w:tcW w:w="692" w:type="pct"/>
            <w:shd w:val="clear" w:color="auto" w:fill="auto"/>
            <w:noWrap/>
            <w:hideMark/>
          </w:tcPr>
          <w:p w14:paraId="1026FD89" w14:textId="7E090DDA"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12</w:t>
            </w:r>
          </w:p>
        </w:tc>
        <w:tc>
          <w:tcPr>
            <w:tcW w:w="749" w:type="pct"/>
            <w:shd w:val="clear" w:color="auto" w:fill="auto"/>
            <w:noWrap/>
            <w:hideMark/>
          </w:tcPr>
          <w:p w14:paraId="42D92ECF"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7.474 </w:t>
            </w:r>
          </w:p>
        </w:tc>
        <w:tc>
          <w:tcPr>
            <w:tcW w:w="692" w:type="pct"/>
            <w:shd w:val="clear" w:color="auto" w:fill="auto"/>
            <w:noWrap/>
            <w:hideMark/>
          </w:tcPr>
          <w:p w14:paraId="20E5A453" w14:textId="64D2B06D"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15</w:t>
            </w:r>
          </w:p>
        </w:tc>
        <w:tc>
          <w:tcPr>
            <w:tcW w:w="749" w:type="pct"/>
            <w:shd w:val="clear" w:color="auto" w:fill="auto"/>
            <w:noWrap/>
            <w:hideMark/>
          </w:tcPr>
          <w:p w14:paraId="24DDD7ED"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8.495 </w:t>
            </w:r>
          </w:p>
        </w:tc>
        <w:tc>
          <w:tcPr>
            <w:tcW w:w="692" w:type="pct"/>
            <w:shd w:val="clear" w:color="auto" w:fill="auto"/>
            <w:noWrap/>
            <w:hideMark/>
          </w:tcPr>
          <w:p w14:paraId="6DB1556B" w14:textId="30655150"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15</w:t>
            </w:r>
          </w:p>
        </w:tc>
      </w:tr>
      <w:tr w:rsidR="00596D1F" w:rsidRPr="00596D1F" w14:paraId="158D200A" w14:textId="77777777" w:rsidTr="006E6457">
        <w:trPr>
          <w:trHeight w:val="20"/>
        </w:trPr>
        <w:tc>
          <w:tcPr>
            <w:tcW w:w="678" w:type="pct"/>
            <w:shd w:val="clear" w:color="auto" w:fill="auto"/>
            <w:noWrap/>
            <w:hideMark/>
          </w:tcPr>
          <w:p w14:paraId="3925A123"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2012</w:t>
            </w:r>
          </w:p>
        </w:tc>
        <w:tc>
          <w:tcPr>
            <w:tcW w:w="749" w:type="pct"/>
            <w:shd w:val="clear" w:color="auto" w:fill="auto"/>
            <w:noWrap/>
            <w:hideMark/>
          </w:tcPr>
          <w:p w14:paraId="73A3982C"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1.104 </w:t>
            </w:r>
          </w:p>
        </w:tc>
        <w:tc>
          <w:tcPr>
            <w:tcW w:w="692" w:type="pct"/>
            <w:shd w:val="clear" w:color="auto" w:fill="auto"/>
            <w:noWrap/>
            <w:hideMark/>
          </w:tcPr>
          <w:p w14:paraId="6611D5BB" w14:textId="0C027B84"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13</w:t>
            </w:r>
          </w:p>
        </w:tc>
        <w:tc>
          <w:tcPr>
            <w:tcW w:w="749" w:type="pct"/>
            <w:shd w:val="clear" w:color="auto" w:fill="auto"/>
            <w:noWrap/>
            <w:hideMark/>
          </w:tcPr>
          <w:p w14:paraId="5541499D"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6.710 </w:t>
            </w:r>
          </w:p>
        </w:tc>
        <w:tc>
          <w:tcPr>
            <w:tcW w:w="692" w:type="pct"/>
            <w:shd w:val="clear" w:color="auto" w:fill="auto"/>
            <w:noWrap/>
            <w:hideMark/>
          </w:tcPr>
          <w:p w14:paraId="44B1EE57" w14:textId="5385E9E3"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14</w:t>
            </w:r>
          </w:p>
        </w:tc>
        <w:tc>
          <w:tcPr>
            <w:tcW w:w="749" w:type="pct"/>
            <w:shd w:val="clear" w:color="auto" w:fill="auto"/>
            <w:noWrap/>
            <w:hideMark/>
          </w:tcPr>
          <w:p w14:paraId="7911656E"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7.814 </w:t>
            </w:r>
          </w:p>
        </w:tc>
        <w:tc>
          <w:tcPr>
            <w:tcW w:w="692" w:type="pct"/>
            <w:shd w:val="clear" w:color="auto" w:fill="auto"/>
            <w:noWrap/>
            <w:hideMark/>
          </w:tcPr>
          <w:p w14:paraId="2B6D2765" w14:textId="5CFCB5FA"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13</w:t>
            </w:r>
          </w:p>
        </w:tc>
      </w:tr>
      <w:tr w:rsidR="00596D1F" w:rsidRPr="00596D1F" w14:paraId="47299D2C" w14:textId="77777777" w:rsidTr="006E6457">
        <w:trPr>
          <w:trHeight w:val="20"/>
        </w:trPr>
        <w:tc>
          <w:tcPr>
            <w:tcW w:w="678" w:type="pct"/>
            <w:shd w:val="clear" w:color="auto" w:fill="auto"/>
            <w:noWrap/>
            <w:hideMark/>
          </w:tcPr>
          <w:p w14:paraId="6212EB02"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2013</w:t>
            </w:r>
          </w:p>
        </w:tc>
        <w:tc>
          <w:tcPr>
            <w:tcW w:w="749" w:type="pct"/>
            <w:shd w:val="clear" w:color="auto" w:fill="auto"/>
            <w:noWrap/>
            <w:hideMark/>
          </w:tcPr>
          <w:p w14:paraId="0ACEA198"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 xml:space="preserve">           1.762 </w:t>
            </w:r>
          </w:p>
        </w:tc>
        <w:tc>
          <w:tcPr>
            <w:tcW w:w="692" w:type="pct"/>
            <w:shd w:val="clear" w:color="auto" w:fill="auto"/>
            <w:noWrap/>
            <w:hideMark/>
          </w:tcPr>
          <w:p w14:paraId="3419ECFB" w14:textId="4E2D23CF"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21</w:t>
            </w:r>
          </w:p>
        </w:tc>
        <w:tc>
          <w:tcPr>
            <w:tcW w:w="749" w:type="pct"/>
            <w:shd w:val="clear" w:color="auto" w:fill="auto"/>
            <w:noWrap/>
            <w:hideMark/>
          </w:tcPr>
          <w:p w14:paraId="61A52BD4"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8.485 </w:t>
            </w:r>
          </w:p>
        </w:tc>
        <w:tc>
          <w:tcPr>
            <w:tcW w:w="692" w:type="pct"/>
            <w:shd w:val="clear" w:color="auto" w:fill="auto"/>
            <w:noWrap/>
            <w:hideMark/>
          </w:tcPr>
          <w:p w14:paraId="188F4B45" w14:textId="3995207E"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17</w:t>
            </w:r>
          </w:p>
        </w:tc>
        <w:tc>
          <w:tcPr>
            <w:tcW w:w="749" w:type="pct"/>
            <w:shd w:val="clear" w:color="auto" w:fill="auto"/>
            <w:noWrap/>
            <w:hideMark/>
          </w:tcPr>
          <w:p w14:paraId="4C475515"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 xml:space="preserve">         10.247 </w:t>
            </w:r>
          </w:p>
        </w:tc>
        <w:tc>
          <w:tcPr>
            <w:tcW w:w="692" w:type="pct"/>
            <w:shd w:val="clear" w:color="auto" w:fill="auto"/>
            <w:noWrap/>
            <w:hideMark/>
          </w:tcPr>
          <w:p w14:paraId="6797D740" w14:textId="17C7BEFC"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18</w:t>
            </w:r>
          </w:p>
        </w:tc>
      </w:tr>
      <w:tr w:rsidR="00596D1F" w:rsidRPr="00596D1F" w14:paraId="6D1AF0CB" w14:textId="77777777" w:rsidTr="006E6457">
        <w:trPr>
          <w:trHeight w:val="20"/>
        </w:trPr>
        <w:tc>
          <w:tcPr>
            <w:tcW w:w="678" w:type="pct"/>
            <w:shd w:val="clear" w:color="auto" w:fill="auto"/>
            <w:noWrap/>
            <w:hideMark/>
          </w:tcPr>
          <w:p w14:paraId="227F828B"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2014</w:t>
            </w:r>
          </w:p>
        </w:tc>
        <w:tc>
          <w:tcPr>
            <w:tcW w:w="749" w:type="pct"/>
            <w:shd w:val="clear" w:color="auto" w:fill="auto"/>
            <w:noWrap/>
            <w:hideMark/>
          </w:tcPr>
          <w:p w14:paraId="10BFD502"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1.260 </w:t>
            </w:r>
          </w:p>
        </w:tc>
        <w:tc>
          <w:tcPr>
            <w:tcW w:w="692" w:type="pct"/>
            <w:shd w:val="clear" w:color="auto" w:fill="auto"/>
            <w:noWrap/>
            <w:hideMark/>
          </w:tcPr>
          <w:p w14:paraId="2A5B5E48" w14:textId="4CEA201E"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15</w:t>
            </w:r>
          </w:p>
        </w:tc>
        <w:tc>
          <w:tcPr>
            <w:tcW w:w="749" w:type="pct"/>
            <w:shd w:val="clear" w:color="auto" w:fill="auto"/>
            <w:noWrap/>
            <w:hideMark/>
          </w:tcPr>
          <w:p w14:paraId="0E3CBE9C"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w:t>
            </w:r>
            <w:r w:rsidRPr="00596D1F">
              <w:rPr>
                <w:rFonts w:ascii="Times New Roman" w:eastAsia="Times New Roman" w:hAnsi="Times New Roman"/>
                <w:b/>
                <w:color w:val="000000" w:themeColor="text1"/>
                <w:sz w:val="20"/>
                <w:szCs w:val="20"/>
                <w:lang w:eastAsia="pt-BR"/>
              </w:rPr>
              <w:t xml:space="preserve">10.287 </w:t>
            </w:r>
          </w:p>
        </w:tc>
        <w:tc>
          <w:tcPr>
            <w:tcW w:w="692" w:type="pct"/>
            <w:shd w:val="clear" w:color="auto" w:fill="auto"/>
            <w:noWrap/>
            <w:hideMark/>
          </w:tcPr>
          <w:p w14:paraId="4B6920F7" w14:textId="595750E3"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21</w:t>
            </w:r>
          </w:p>
        </w:tc>
        <w:tc>
          <w:tcPr>
            <w:tcW w:w="749" w:type="pct"/>
            <w:shd w:val="clear" w:color="auto" w:fill="auto"/>
            <w:noWrap/>
            <w:hideMark/>
          </w:tcPr>
          <w:p w14:paraId="1B2289B6" w14:textId="77777777" w:rsidR="00016724" w:rsidRPr="00596D1F" w:rsidRDefault="00016724" w:rsidP="00385E27">
            <w:pPr>
              <w:spacing w:after="0" w:line="240" w:lineRule="auto"/>
              <w:jc w:val="right"/>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 xml:space="preserve">         11.547 </w:t>
            </w:r>
          </w:p>
        </w:tc>
        <w:tc>
          <w:tcPr>
            <w:tcW w:w="692" w:type="pct"/>
            <w:shd w:val="clear" w:color="auto" w:fill="auto"/>
            <w:noWrap/>
            <w:hideMark/>
          </w:tcPr>
          <w:p w14:paraId="1709C6C3" w14:textId="625A5BFE"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w:t>
            </w:r>
          </w:p>
        </w:tc>
      </w:tr>
      <w:tr w:rsidR="00596D1F" w:rsidRPr="00596D1F" w14:paraId="6C523505" w14:textId="77777777" w:rsidTr="006E6457">
        <w:trPr>
          <w:trHeight w:val="20"/>
        </w:trPr>
        <w:tc>
          <w:tcPr>
            <w:tcW w:w="678" w:type="pct"/>
            <w:shd w:val="clear" w:color="auto" w:fill="auto"/>
            <w:noWrap/>
            <w:hideMark/>
          </w:tcPr>
          <w:p w14:paraId="3D94804D"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2015</w:t>
            </w:r>
          </w:p>
        </w:tc>
        <w:tc>
          <w:tcPr>
            <w:tcW w:w="749" w:type="pct"/>
            <w:shd w:val="clear" w:color="auto" w:fill="auto"/>
            <w:noWrap/>
            <w:hideMark/>
          </w:tcPr>
          <w:p w14:paraId="050ADAD3"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359 </w:t>
            </w:r>
          </w:p>
        </w:tc>
        <w:tc>
          <w:tcPr>
            <w:tcW w:w="692" w:type="pct"/>
            <w:shd w:val="clear" w:color="auto" w:fill="auto"/>
            <w:noWrap/>
            <w:hideMark/>
          </w:tcPr>
          <w:p w14:paraId="0C7983C2" w14:textId="3DF274E5"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4</w:t>
            </w:r>
          </w:p>
        </w:tc>
        <w:tc>
          <w:tcPr>
            <w:tcW w:w="749" w:type="pct"/>
            <w:shd w:val="clear" w:color="auto" w:fill="auto"/>
            <w:noWrap/>
            <w:hideMark/>
          </w:tcPr>
          <w:p w14:paraId="2CC0584F"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2.463 </w:t>
            </w:r>
          </w:p>
        </w:tc>
        <w:tc>
          <w:tcPr>
            <w:tcW w:w="692" w:type="pct"/>
            <w:shd w:val="clear" w:color="auto" w:fill="auto"/>
            <w:noWrap/>
            <w:hideMark/>
          </w:tcPr>
          <w:p w14:paraId="6A089654" w14:textId="3FCB89AD"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5</w:t>
            </w:r>
          </w:p>
        </w:tc>
        <w:tc>
          <w:tcPr>
            <w:tcW w:w="749" w:type="pct"/>
            <w:shd w:val="clear" w:color="auto" w:fill="auto"/>
            <w:noWrap/>
            <w:hideMark/>
          </w:tcPr>
          <w:p w14:paraId="667C073B"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2.822 </w:t>
            </w:r>
          </w:p>
        </w:tc>
        <w:tc>
          <w:tcPr>
            <w:tcW w:w="692" w:type="pct"/>
            <w:shd w:val="clear" w:color="auto" w:fill="auto"/>
            <w:noWrap/>
            <w:hideMark/>
          </w:tcPr>
          <w:p w14:paraId="3F2E3FCB" w14:textId="4EAD8EC2"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5</w:t>
            </w:r>
          </w:p>
        </w:tc>
      </w:tr>
      <w:tr w:rsidR="00596D1F" w:rsidRPr="00596D1F" w14:paraId="7257DD59" w14:textId="77777777" w:rsidTr="006E6457">
        <w:trPr>
          <w:trHeight w:val="20"/>
        </w:trPr>
        <w:tc>
          <w:tcPr>
            <w:tcW w:w="678" w:type="pct"/>
            <w:shd w:val="clear" w:color="auto" w:fill="auto"/>
            <w:noWrap/>
            <w:hideMark/>
          </w:tcPr>
          <w:p w14:paraId="28C8FEB3" w14:textId="77777777" w:rsidR="00016724" w:rsidRPr="00596D1F" w:rsidRDefault="0001672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2016</w:t>
            </w:r>
          </w:p>
        </w:tc>
        <w:tc>
          <w:tcPr>
            <w:tcW w:w="749" w:type="pct"/>
            <w:shd w:val="clear" w:color="auto" w:fill="auto"/>
            <w:noWrap/>
            <w:hideMark/>
          </w:tcPr>
          <w:p w14:paraId="41DFD27F"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134 </w:t>
            </w:r>
          </w:p>
        </w:tc>
        <w:tc>
          <w:tcPr>
            <w:tcW w:w="692" w:type="pct"/>
            <w:shd w:val="clear" w:color="auto" w:fill="auto"/>
            <w:noWrap/>
            <w:hideMark/>
          </w:tcPr>
          <w:p w14:paraId="429B3830" w14:textId="0A52C23A"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w:t>
            </w:r>
          </w:p>
        </w:tc>
        <w:tc>
          <w:tcPr>
            <w:tcW w:w="749" w:type="pct"/>
            <w:shd w:val="clear" w:color="auto" w:fill="auto"/>
            <w:noWrap/>
            <w:hideMark/>
          </w:tcPr>
          <w:p w14:paraId="57C77269"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1.207 </w:t>
            </w:r>
          </w:p>
        </w:tc>
        <w:tc>
          <w:tcPr>
            <w:tcW w:w="692" w:type="pct"/>
            <w:shd w:val="clear" w:color="auto" w:fill="auto"/>
            <w:noWrap/>
            <w:hideMark/>
          </w:tcPr>
          <w:p w14:paraId="197D1258" w14:textId="2A602EBF"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w:t>
            </w:r>
          </w:p>
        </w:tc>
        <w:tc>
          <w:tcPr>
            <w:tcW w:w="749" w:type="pct"/>
            <w:shd w:val="clear" w:color="auto" w:fill="auto"/>
            <w:noWrap/>
            <w:hideMark/>
          </w:tcPr>
          <w:p w14:paraId="6E357888" w14:textId="77777777" w:rsidR="00016724" w:rsidRPr="00596D1F" w:rsidRDefault="00016724" w:rsidP="00385E27">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1.341 </w:t>
            </w:r>
          </w:p>
        </w:tc>
        <w:tc>
          <w:tcPr>
            <w:tcW w:w="692" w:type="pct"/>
            <w:shd w:val="clear" w:color="auto" w:fill="auto"/>
            <w:noWrap/>
            <w:hideMark/>
          </w:tcPr>
          <w:p w14:paraId="145DECF3" w14:textId="3C30CBFC" w:rsidR="00016724" w:rsidRPr="00596D1F" w:rsidRDefault="00016724" w:rsidP="00927F22">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2</w:t>
            </w:r>
          </w:p>
        </w:tc>
      </w:tr>
      <w:tr w:rsidR="00596D1F" w:rsidRPr="00596D1F" w14:paraId="11B32569" w14:textId="77777777" w:rsidTr="006E6457">
        <w:trPr>
          <w:trHeight w:val="20"/>
        </w:trPr>
        <w:tc>
          <w:tcPr>
            <w:tcW w:w="678" w:type="pct"/>
            <w:shd w:val="clear" w:color="auto" w:fill="auto"/>
            <w:noWrap/>
            <w:hideMark/>
          </w:tcPr>
          <w:p w14:paraId="2FD38C94" w14:textId="77777777" w:rsidR="00016724" w:rsidRPr="00596D1F" w:rsidRDefault="00016724" w:rsidP="000B6B45">
            <w:pPr>
              <w:spacing w:after="0" w:line="240" w:lineRule="auto"/>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Total Geral</w:t>
            </w:r>
          </w:p>
        </w:tc>
        <w:tc>
          <w:tcPr>
            <w:tcW w:w="749" w:type="pct"/>
            <w:shd w:val="clear" w:color="auto" w:fill="auto"/>
            <w:noWrap/>
            <w:hideMark/>
          </w:tcPr>
          <w:p w14:paraId="61C4DD4F" w14:textId="77777777" w:rsidR="00016724" w:rsidRPr="00596D1F" w:rsidRDefault="00016724" w:rsidP="00385E27">
            <w:pPr>
              <w:spacing w:after="0" w:line="240" w:lineRule="auto"/>
              <w:jc w:val="right"/>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 xml:space="preserve">          8.307 </w:t>
            </w:r>
          </w:p>
        </w:tc>
        <w:tc>
          <w:tcPr>
            <w:tcW w:w="692" w:type="pct"/>
            <w:shd w:val="clear" w:color="auto" w:fill="auto"/>
            <w:noWrap/>
            <w:hideMark/>
          </w:tcPr>
          <w:p w14:paraId="586B0DD8" w14:textId="23F1DEFF" w:rsidR="00016724" w:rsidRPr="00596D1F" w:rsidRDefault="00016724" w:rsidP="00385E27">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100</w:t>
            </w:r>
          </w:p>
        </w:tc>
        <w:tc>
          <w:tcPr>
            <w:tcW w:w="749" w:type="pct"/>
            <w:shd w:val="clear" w:color="auto" w:fill="auto"/>
            <w:noWrap/>
            <w:hideMark/>
          </w:tcPr>
          <w:p w14:paraId="1DFEF1C2" w14:textId="77777777" w:rsidR="00016724" w:rsidRPr="00596D1F" w:rsidRDefault="00016724" w:rsidP="00385E27">
            <w:pPr>
              <w:spacing w:after="0" w:line="240" w:lineRule="auto"/>
              <w:jc w:val="right"/>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 xml:space="preserve">        49.694 </w:t>
            </w:r>
          </w:p>
        </w:tc>
        <w:tc>
          <w:tcPr>
            <w:tcW w:w="692" w:type="pct"/>
            <w:shd w:val="clear" w:color="auto" w:fill="auto"/>
            <w:noWrap/>
            <w:hideMark/>
          </w:tcPr>
          <w:p w14:paraId="588D7498" w14:textId="46EE1E84" w:rsidR="00016724" w:rsidRPr="00596D1F" w:rsidRDefault="00016724" w:rsidP="00385E27">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100</w:t>
            </w:r>
          </w:p>
        </w:tc>
        <w:tc>
          <w:tcPr>
            <w:tcW w:w="749" w:type="pct"/>
            <w:shd w:val="clear" w:color="auto" w:fill="auto"/>
            <w:noWrap/>
            <w:hideMark/>
          </w:tcPr>
          <w:p w14:paraId="45BED23F" w14:textId="77777777" w:rsidR="00016724" w:rsidRPr="00596D1F" w:rsidRDefault="00016724" w:rsidP="00385E27">
            <w:pPr>
              <w:spacing w:after="0" w:line="240" w:lineRule="auto"/>
              <w:jc w:val="right"/>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 xml:space="preserve">        58.001 </w:t>
            </w:r>
          </w:p>
        </w:tc>
        <w:tc>
          <w:tcPr>
            <w:tcW w:w="692" w:type="pct"/>
            <w:shd w:val="clear" w:color="auto" w:fill="auto"/>
            <w:noWrap/>
            <w:hideMark/>
          </w:tcPr>
          <w:p w14:paraId="44948B5C" w14:textId="3A299419" w:rsidR="00016724" w:rsidRPr="00596D1F" w:rsidRDefault="00385E27" w:rsidP="00927F22">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1</w:t>
            </w:r>
            <w:r w:rsidR="00016724" w:rsidRPr="00596D1F">
              <w:rPr>
                <w:rFonts w:ascii="Times New Roman" w:eastAsia="Times New Roman" w:hAnsi="Times New Roman"/>
                <w:b/>
                <w:bCs/>
                <w:color w:val="000000" w:themeColor="text1"/>
                <w:sz w:val="20"/>
                <w:szCs w:val="20"/>
                <w:lang w:eastAsia="pt-BR"/>
              </w:rPr>
              <w:t>00</w:t>
            </w:r>
          </w:p>
        </w:tc>
      </w:tr>
    </w:tbl>
    <w:p w14:paraId="20AEF095" w14:textId="5EDCF860" w:rsidR="00016724" w:rsidRPr="00596D1F" w:rsidRDefault="00D932AB" w:rsidP="00D26D12">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D26D12">
        <w:rPr>
          <w:rFonts w:ascii="Times New Roman" w:hAnsi="Times New Roman"/>
          <w:color w:val="000000" w:themeColor="text1"/>
          <w:sz w:val="20"/>
          <w:szCs w:val="20"/>
        </w:rPr>
        <w:t>Dados da pesquisa</w:t>
      </w:r>
      <w:r w:rsidR="00F563F1" w:rsidRPr="00596D1F">
        <w:rPr>
          <w:rFonts w:ascii="Times New Roman" w:hAnsi="Times New Roman"/>
          <w:color w:val="000000" w:themeColor="text1"/>
          <w:sz w:val="20"/>
          <w:szCs w:val="20"/>
        </w:rPr>
        <w:t>.</w:t>
      </w:r>
    </w:p>
    <w:p w14:paraId="4CE3D032" w14:textId="77777777" w:rsidR="003E1703" w:rsidRDefault="003E170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725049E2" w14:textId="67233637"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Ao analisar os dados organizados</w:t>
      </w:r>
      <w:r w:rsidR="00EA6C93">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por ano</w:t>
      </w:r>
      <w:r w:rsidR="00EA6C93">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na Tabela 1, percebe-se que para</w:t>
      </w:r>
      <w:r w:rsidR="00505655">
        <w:rPr>
          <w:rFonts w:ascii="Times New Roman" w:hAnsi="Times New Roman"/>
          <w:color w:val="000000" w:themeColor="text1"/>
          <w:sz w:val="24"/>
          <w:szCs w:val="24"/>
        </w:rPr>
        <w:t xml:space="preserve"> os</w:t>
      </w:r>
      <w:r w:rsidRPr="00596D1F">
        <w:rPr>
          <w:rFonts w:ascii="Times New Roman" w:hAnsi="Times New Roman"/>
          <w:color w:val="000000" w:themeColor="text1"/>
          <w:sz w:val="24"/>
          <w:szCs w:val="24"/>
        </w:rPr>
        <w:t xml:space="preserve"> processos com imputação de débito</w:t>
      </w:r>
      <w:r w:rsidR="00E936DE"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os anos de 2010 e 2013 destacaram-se dos demais em função do volume de processos, 2.117 e 1.762, respectivamente. Para os processos com imputação de multa, verifica-se que os anos com maior número de processos foram 2010 e 2014, </w:t>
      </w:r>
      <w:r w:rsidR="00E37AD7">
        <w:rPr>
          <w:rFonts w:ascii="Times New Roman" w:hAnsi="Times New Roman"/>
          <w:color w:val="000000" w:themeColor="text1"/>
          <w:sz w:val="24"/>
          <w:szCs w:val="24"/>
        </w:rPr>
        <w:t>ao somar-se</w:t>
      </w:r>
      <w:r w:rsidRPr="00596D1F">
        <w:rPr>
          <w:rFonts w:ascii="Times New Roman" w:hAnsi="Times New Roman"/>
          <w:color w:val="000000" w:themeColor="text1"/>
          <w:sz w:val="24"/>
          <w:szCs w:val="24"/>
        </w:rPr>
        <w:t xml:space="preserve"> um percentual de 45% do total de processos do período. Quando a análise recai sobre processos que envolvem tanto a imputação de débito quanto de multa, os anos com maior volume são 2010, 2013 e 2014, com 62% do total de processos no período analisado.</w:t>
      </w:r>
    </w:p>
    <w:p w14:paraId="6E9F920B" w14:textId="53C1DF0F"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O exame do volume de processos ao longo do período examinado permite inferir que houve reduç</w:t>
      </w:r>
      <w:r w:rsidR="00825541" w:rsidRPr="00596D1F">
        <w:rPr>
          <w:rFonts w:ascii="Times New Roman" w:hAnsi="Times New Roman"/>
          <w:color w:val="000000" w:themeColor="text1"/>
          <w:sz w:val="24"/>
          <w:szCs w:val="24"/>
        </w:rPr>
        <w:t>ão</w:t>
      </w:r>
      <w:r w:rsidRPr="00596D1F">
        <w:rPr>
          <w:rFonts w:ascii="Times New Roman" w:hAnsi="Times New Roman"/>
          <w:color w:val="000000" w:themeColor="text1"/>
          <w:sz w:val="24"/>
          <w:szCs w:val="24"/>
        </w:rPr>
        <w:t xml:space="preserve"> nos anos de 2015 e 2016. Essa redução pode estar associada a modificações na legislação, como</w:t>
      </w:r>
      <w:r w:rsidR="005D7FD8"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w:t>
      </w:r>
      <w:r w:rsidR="00825541" w:rsidRPr="00596D1F">
        <w:rPr>
          <w:rFonts w:ascii="Times New Roman" w:hAnsi="Times New Roman"/>
          <w:color w:val="000000" w:themeColor="text1"/>
          <w:sz w:val="24"/>
          <w:szCs w:val="24"/>
        </w:rPr>
        <w:t xml:space="preserve">or exemplo, a promulgação da </w:t>
      </w:r>
      <w:r w:rsidR="005D7FD8" w:rsidRPr="00596D1F">
        <w:rPr>
          <w:rFonts w:ascii="Times New Roman" w:hAnsi="Times New Roman"/>
          <w:color w:val="000000" w:themeColor="text1"/>
          <w:sz w:val="24"/>
          <w:szCs w:val="24"/>
        </w:rPr>
        <w:t>LAI estadual</w:t>
      </w:r>
      <w:r w:rsidR="00825541"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em 2013.</w:t>
      </w:r>
      <w:r w:rsidR="00CF0899">
        <w:rPr>
          <w:rFonts w:ascii="Times New Roman" w:hAnsi="Times New Roman"/>
          <w:color w:val="000000" w:themeColor="text1"/>
          <w:sz w:val="24"/>
          <w:szCs w:val="24"/>
        </w:rPr>
        <w:t xml:space="preserve"> </w:t>
      </w:r>
      <w:r w:rsidR="002133C0"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 xml:space="preserve">Para uma melhor visualização deste fato, elaborou-se a Figura </w:t>
      </w:r>
      <w:r w:rsidR="00D26D12">
        <w:rPr>
          <w:rFonts w:ascii="Times New Roman" w:hAnsi="Times New Roman"/>
          <w:color w:val="000000" w:themeColor="text1"/>
          <w:sz w:val="24"/>
          <w:szCs w:val="24"/>
        </w:rPr>
        <w:t>1</w:t>
      </w:r>
      <w:r w:rsidRPr="00596D1F">
        <w:rPr>
          <w:rFonts w:ascii="Times New Roman" w:hAnsi="Times New Roman"/>
          <w:color w:val="000000" w:themeColor="text1"/>
          <w:sz w:val="24"/>
          <w:szCs w:val="24"/>
        </w:rPr>
        <w:t xml:space="preserve">, </w:t>
      </w:r>
      <w:r w:rsidR="00362FF3" w:rsidRPr="00596D1F">
        <w:rPr>
          <w:rFonts w:ascii="Times New Roman" w:hAnsi="Times New Roman"/>
          <w:color w:val="000000" w:themeColor="text1"/>
          <w:sz w:val="24"/>
          <w:szCs w:val="24"/>
        </w:rPr>
        <w:t>com</w:t>
      </w:r>
      <w:r w:rsidRPr="00596D1F">
        <w:rPr>
          <w:rFonts w:ascii="Times New Roman" w:hAnsi="Times New Roman"/>
          <w:color w:val="000000" w:themeColor="text1"/>
          <w:sz w:val="24"/>
          <w:szCs w:val="24"/>
        </w:rPr>
        <w:t xml:space="preserve"> informações sobre quantidade de processos e valores médios das sanções aplicadas no período anterior e posterior </w:t>
      </w:r>
      <w:r w:rsidR="00362FF3" w:rsidRPr="00596D1F">
        <w:rPr>
          <w:rFonts w:ascii="Times New Roman" w:hAnsi="Times New Roman"/>
          <w:color w:val="000000" w:themeColor="text1"/>
          <w:sz w:val="24"/>
          <w:szCs w:val="24"/>
        </w:rPr>
        <w:t>à lei</w:t>
      </w:r>
      <w:r w:rsidRPr="00596D1F">
        <w:rPr>
          <w:rFonts w:ascii="Times New Roman" w:hAnsi="Times New Roman"/>
          <w:color w:val="000000" w:themeColor="text1"/>
          <w:sz w:val="24"/>
          <w:szCs w:val="24"/>
        </w:rPr>
        <w:t>.</w:t>
      </w:r>
    </w:p>
    <w:p w14:paraId="11A03F25" w14:textId="77777777" w:rsidR="00092476" w:rsidRPr="00596D1F" w:rsidRDefault="00092476" w:rsidP="000B6B45">
      <w:pPr>
        <w:spacing w:after="0" w:line="240" w:lineRule="auto"/>
        <w:rPr>
          <w:rFonts w:ascii="Times New Roman" w:hAnsi="Times New Roman"/>
          <w:color w:val="000000" w:themeColor="text1"/>
          <w:sz w:val="20"/>
          <w:szCs w:val="20"/>
        </w:rPr>
      </w:pPr>
    </w:p>
    <w:p w14:paraId="23F5EE76" w14:textId="60AE8D17" w:rsidR="00016724" w:rsidRPr="00596D1F" w:rsidRDefault="00E22578" w:rsidP="000B6B45">
      <w:pPr>
        <w:spacing w:after="0" w:line="240" w:lineRule="auto"/>
        <w:rPr>
          <w:color w:val="000000" w:themeColor="text1"/>
        </w:rPr>
      </w:pPr>
      <w:r w:rsidRPr="006F0BBD">
        <w:rPr>
          <w:rFonts w:ascii="Times New Roman" w:hAnsi="Times New Roman"/>
          <w:noProof/>
          <w:color w:val="000000" w:themeColor="text1"/>
          <w:sz w:val="20"/>
          <w:szCs w:val="20"/>
          <w:lang w:eastAsia="pt-BR"/>
        </w:rPr>
        <w:lastRenderedPageBreak/>
        <w:drawing>
          <wp:inline distT="0" distB="0" distL="0" distR="0" wp14:anchorId="23678AAB" wp14:editId="06FB5316">
            <wp:extent cx="5695950" cy="2301240"/>
            <wp:effectExtent l="0" t="0" r="0" b="381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2962E0" w14:textId="7095EDF9" w:rsidR="00EA6C93" w:rsidRPr="00D26D12" w:rsidRDefault="00EA6C93" w:rsidP="00951F57">
      <w:pPr>
        <w:spacing w:after="0" w:line="240" w:lineRule="auto"/>
        <w:jc w:val="center"/>
        <w:rPr>
          <w:rFonts w:ascii="Times New Roman" w:hAnsi="Times New Roman"/>
          <w:b/>
          <w:bCs/>
          <w:color w:val="000000" w:themeColor="text1"/>
          <w:sz w:val="20"/>
          <w:szCs w:val="20"/>
        </w:rPr>
      </w:pPr>
      <w:r w:rsidRPr="00D26D12">
        <w:rPr>
          <w:rFonts w:ascii="Times New Roman" w:hAnsi="Times New Roman"/>
          <w:b/>
          <w:bCs/>
          <w:color w:val="000000" w:themeColor="text1"/>
          <w:sz w:val="20"/>
          <w:szCs w:val="20"/>
        </w:rPr>
        <w:t xml:space="preserve">Figura </w:t>
      </w:r>
      <w:r w:rsidR="00D26D12" w:rsidRPr="00D26D12">
        <w:rPr>
          <w:rFonts w:ascii="Times New Roman" w:hAnsi="Times New Roman"/>
          <w:b/>
          <w:bCs/>
          <w:color w:val="000000" w:themeColor="text1"/>
          <w:sz w:val="20"/>
          <w:szCs w:val="20"/>
        </w:rPr>
        <w:t>1</w:t>
      </w:r>
      <w:r w:rsidR="00D26D12">
        <w:rPr>
          <w:rFonts w:ascii="Times New Roman" w:hAnsi="Times New Roman"/>
          <w:b/>
          <w:bCs/>
          <w:color w:val="000000" w:themeColor="text1"/>
          <w:sz w:val="20"/>
          <w:szCs w:val="20"/>
        </w:rPr>
        <w:t xml:space="preserve"> - </w:t>
      </w:r>
      <w:r w:rsidRPr="00D26D12">
        <w:rPr>
          <w:rFonts w:ascii="Times New Roman" w:hAnsi="Times New Roman"/>
          <w:b/>
          <w:bCs/>
          <w:color w:val="000000" w:themeColor="text1"/>
          <w:sz w:val="20"/>
          <w:szCs w:val="20"/>
        </w:rPr>
        <w:t>Evolução temporal de processos com imputação de débito</w:t>
      </w:r>
    </w:p>
    <w:p w14:paraId="2CC9F378" w14:textId="62823F77" w:rsidR="00686C9F" w:rsidRPr="00596D1F" w:rsidRDefault="00D932AB" w:rsidP="00951F57">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D26D12">
        <w:rPr>
          <w:rFonts w:ascii="Times New Roman" w:hAnsi="Times New Roman"/>
          <w:color w:val="000000" w:themeColor="text1"/>
          <w:sz w:val="20"/>
          <w:szCs w:val="20"/>
        </w:rPr>
        <w:t>Dados da pesquisa</w:t>
      </w:r>
      <w:r w:rsidR="00686C9F" w:rsidRPr="00596D1F">
        <w:rPr>
          <w:rFonts w:ascii="Times New Roman" w:hAnsi="Times New Roman"/>
          <w:color w:val="000000" w:themeColor="text1"/>
          <w:sz w:val="20"/>
          <w:szCs w:val="20"/>
        </w:rPr>
        <w:t>.</w:t>
      </w:r>
    </w:p>
    <w:p w14:paraId="3459F245" w14:textId="77777777" w:rsidR="003E1703" w:rsidRDefault="003E170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5A8E0AD3" w14:textId="089BC42F"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Ao examinar a Figura </w:t>
      </w:r>
      <w:r w:rsidR="00D26D12">
        <w:rPr>
          <w:rFonts w:ascii="Times New Roman" w:hAnsi="Times New Roman"/>
          <w:color w:val="000000" w:themeColor="text1"/>
          <w:sz w:val="24"/>
          <w:szCs w:val="24"/>
        </w:rPr>
        <w:t>1</w:t>
      </w:r>
      <w:r w:rsidRPr="00596D1F">
        <w:rPr>
          <w:rFonts w:ascii="Times New Roman" w:hAnsi="Times New Roman"/>
          <w:color w:val="000000" w:themeColor="text1"/>
          <w:sz w:val="24"/>
          <w:szCs w:val="24"/>
        </w:rPr>
        <w:t xml:space="preserve">, percebe-se que para processos com imputação de débito houve uma majoração dos valores médios após a vigência </w:t>
      </w:r>
      <w:r w:rsidR="00362FF3" w:rsidRPr="00596D1F">
        <w:rPr>
          <w:rFonts w:ascii="Times New Roman" w:hAnsi="Times New Roman"/>
          <w:color w:val="000000" w:themeColor="text1"/>
          <w:sz w:val="24"/>
          <w:szCs w:val="24"/>
        </w:rPr>
        <w:t>da lei</w:t>
      </w:r>
      <w:r w:rsidRPr="00596D1F">
        <w:rPr>
          <w:rFonts w:ascii="Times New Roman" w:hAnsi="Times New Roman"/>
          <w:color w:val="000000" w:themeColor="text1"/>
          <w:sz w:val="24"/>
          <w:szCs w:val="24"/>
        </w:rPr>
        <w:t>. No entanto, isso não implicou em um aumento no número de processos do período posterior a essa Lei, mas uma redução da quantidade de processos. Em relação aos processos com imputação de multa, observa-se que houve uma diminuição tanto nos valores médios de multas impostas, quanto no número de processos com multa.</w:t>
      </w:r>
    </w:p>
    <w:p w14:paraId="01949EB9" w14:textId="44CDF67B"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Além da </w:t>
      </w:r>
      <w:r w:rsidR="002133C0" w:rsidRPr="00596D1F">
        <w:rPr>
          <w:rFonts w:ascii="Times New Roman" w:hAnsi="Times New Roman"/>
          <w:color w:val="000000" w:themeColor="text1"/>
          <w:sz w:val="24"/>
          <w:szCs w:val="24"/>
        </w:rPr>
        <w:t>LAI</w:t>
      </w:r>
      <w:r w:rsidRPr="00596D1F">
        <w:rPr>
          <w:rFonts w:ascii="Times New Roman" w:hAnsi="Times New Roman"/>
          <w:color w:val="000000" w:themeColor="text1"/>
          <w:sz w:val="24"/>
          <w:szCs w:val="24"/>
        </w:rPr>
        <w:t xml:space="preserve">, outros fatores </w:t>
      </w:r>
      <w:r w:rsidR="002133C0" w:rsidRPr="00596D1F">
        <w:rPr>
          <w:rFonts w:ascii="Times New Roman" w:hAnsi="Times New Roman"/>
          <w:color w:val="000000" w:themeColor="text1"/>
          <w:sz w:val="24"/>
          <w:szCs w:val="24"/>
        </w:rPr>
        <w:t>podem ter influenciado</w:t>
      </w:r>
      <w:r w:rsidRPr="00596D1F">
        <w:rPr>
          <w:rFonts w:ascii="Times New Roman" w:hAnsi="Times New Roman"/>
          <w:color w:val="000000" w:themeColor="text1"/>
          <w:sz w:val="24"/>
          <w:szCs w:val="24"/>
        </w:rPr>
        <w:t xml:space="preserve"> na análise dos processos de imputação de débito e multa, tais como períodos de eleição</w:t>
      </w:r>
      <w:r w:rsidR="00686C9F" w:rsidRPr="00596D1F">
        <w:rPr>
          <w:rFonts w:ascii="Times New Roman" w:hAnsi="Times New Roman"/>
          <w:color w:val="000000" w:themeColor="text1"/>
          <w:sz w:val="24"/>
          <w:szCs w:val="24"/>
        </w:rPr>
        <w:t xml:space="preserve"> e</w:t>
      </w:r>
      <w:r w:rsidRPr="00596D1F">
        <w:rPr>
          <w:rFonts w:ascii="Times New Roman" w:hAnsi="Times New Roman"/>
          <w:color w:val="000000" w:themeColor="text1"/>
          <w:sz w:val="24"/>
          <w:szCs w:val="24"/>
        </w:rPr>
        <w:t xml:space="preserve"> tipo de interessado. Portanto, entender como esses processos se comporta</w:t>
      </w:r>
      <w:r w:rsidR="002133C0" w:rsidRPr="00596D1F">
        <w:rPr>
          <w:rFonts w:ascii="Times New Roman" w:hAnsi="Times New Roman"/>
          <w:color w:val="000000" w:themeColor="text1"/>
          <w:sz w:val="24"/>
          <w:szCs w:val="24"/>
        </w:rPr>
        <w:t>ram</w:t>
      </w:r>
      <w:r w:rsidRPr="00596D1F">
        <w:rPr>
          <w:rFonts w:ascii="Times New Roman" w:hAnsi="Times New Roman"/>
          <w:color w:val="000000" w:themeColor="text1"/>
          <w:sz w:val="24"/>
          <w:szCs w:val="24"/>
        </w:rPr>
        <w:t xml:space="preserve"> em relação a essas características torn</w:t>
      </w:r>
      <w:r w:rsidR="002133C0" w:rsidRPr="00596D1F">
        <w:rPr>
          <w:rFonts w:ascii="Times New Roman" w:hAnsi="Times New Roman"/>
          <w:color w:val="000000" w:themeColor="text1"/>
          <w:sz w:val="24"/>
          <w:szCs w:val="24"/>
        </w:rPr>
        <w:t>ou</w:t>
      </w:r>
      <w:r w:rsidRPr="00596D1F">
        <w:rPr>
          <w:rFonts w:ascii="Times New Roman" w:hAnsi="Times New Roman"/>
          <w:color w:val="000000" w:themeColor="text1"/>
          <w:sz w:val="24"/>
          <w:szCs w:val="24"/>
        </w:rPr>
        <w:t xml:space="preserve">-se necessário para complementar </w:t>
      </w:r>
      <w:r w:rsidR="00E37AD7">
        <w:rPr>
          <w:rFonts w:ascii="Times New Roman" w:hAnsi="Times New Roman"/>
          <w:color w:val="000000" w:themeColor="text1"/>
          <w:sz w:val="24"/>
          <w:szCs w:val="24"/>
        </w:rPr>
        <w:t>à</w:t>
      </w:r>
      <w:r w:rsidRPr="00596D1F">
        <w:rPr>
          <w:rFonts w:ascii="Times New Roman" w:hAnsi="Times New Roman"/>
          <w:color w:val="000000" w:themeColor="text1"/>
          <w:sz w:val="24"/>
          <w:szCs w:val="24"/>
        </w:rPr>
        <w:t xml:space="preserve"> análise do efeito da </w:t>
      </w:r>
      <w:r w:rsidR="00A6183E">
        <w:rPr>
          <w:rFonts w:ascii="Times New Roman" w:hAnsi="Times New Roman"/>
          <w:color w:val="000000" w:themeColor="text1"/>
          <w:sz w:val="24"/>
          <w:szCs w:val="24"/>
        </w:rPr>
        <w:t>l</w:t>
      </w:r>
      <w:r w:rsidRPr="00596D1F">
        <w:rPr>
          <w:rFonts w:ascii="Times New Roman" w:hAnsi="Times New Roman"/>
          <w:color w:val="000000" w:themeColor="text1"/>
          <w:sz w:val="24"/>
          <w:szCs w:val="24"/>
        </w:rPr>
        <w:t xml:space="preserve">ei da </w:t>
      </w:r>
      <w:r w:rsidR="00A6183E">
        <w:rPr>
          <w:rFonts w:ascii="Times New Roman" w:hAnsi="Times New Roman"/>
          <w:color w:val="000000" w:themeColor="text1"/>
          <w:sz w:val="24"/>
          <w:szCs w:val="24"/>
        </w:rPr>
        <w:t>t</w:t>
      </w:r>
      <w:r w:rsidRPr="00596D1F">
        <w:rPr>
          <w:rFonts w:ascii="Times New Roman" w:hAnsi="Times New Roman"/>
          <w:color w:val="000000" w:themeColor="text1"/>
          <w:sz w:val="24"/>
          <w:szCs w:val="24"/>
        </w:rPr>
        <w:t>ransparência.</w:t>
      </w:r>
      <w:r w:rsidR="00DC534E" w:rsidRPr="00596D1F">
        <w:rPr>
          <w:rFonts w:ascii="Times New Roman" w:hAnsi="Times New Roman"/>
          <w:color w:val="000000" w:themeColor="text1"/>
          <w:sz w:val="24"/>
          <w:szCs w:val="24"/>
        </w:rPr>
        <w:t xml:space="preserve"> </w:t>
      </w:r>
      <w:r w:rsidR="00CF0899">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 xml:space="preserve">Desta forma, a Figura </w:t>
      </w:r>
      <w:r w:rsidR="00D26D12">
        <w:rPr>
          <w:rFonts w:ascii="Times New Roman" w:hAnsi="Times New Roman"/>
          <w:color w:val="000000" w:themeColor="text1"/>
          <w:sz w:val="24"/>
          <w:szCs w:val="24"/>
        </w:rPr>
        <w:t>2</w:t>
      </w:r>
      <w:r w:rsidR="00A6183E"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demonstra uma comparação entre processos de débito e multa, subdivididos em anos eleitorais e não eleitorais.</w:t>
      </w:r>
    </w:p>
    <w:p w14:paraId="7FDE4F4A" w14:textId="77777777" w:rsidR="00505655" w:rsidRPr="00596D1F" w:rsidRDefault="00505655"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68280D44" w14:textId="511E2089" w:rsidR="00016724" w:rsidRPr="00596D1F" w:rsidRDefault="002C6F59" w:rsidP="000B6B45">
      <w:pPr>
        <w:spacing w:after="0" w:line="240" w:lineRule="auto"/>
        <w:rPr>
          <w:rFonts w:ascii="Times New Roman" w:hAnsi="Times New Roman"/>
          <w:color w:val="000000" w:themeColor="text1"/>
          <w:sz w:val="20"/>
          <w:szCs w:val="20"/>
        </w:rPr>
      </w:pPr>
      <w:r w:rsidRPr="006F0BBD">
        <w:rPr>
          <w:rFonts w:ascii="Times New Roman" w:hAnsi="Times New Roman"/>
          <w:noProof/>
          <w:color w:val="000000" w:themeColor="text1"/>
          <w:sz w:val="20"/>
          <w:szCs w:val="20"/>
          <w:lang w:eastAsia="pt-BR"/>
        </w:rPr>
        <w:drawing>
          <wp:inline distT="0" distB="0" distL="0" distR="0" wp14:anchorId="1C87819C" wp14:editId="18FC861F">
            <wp:extent cx="5886450" cy="2385060"/>
            <wp:effectExtent l="0" t="0" r="0" b="15240"/>
            <wp:docPr id="2"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6F8012" w14:textId="77777777" w:rsidR="003E1703" w:rsidRDefault="003E1703" w:rsidP="00951F57">
      <w:pPr>
        <w:spacing w:after="0" w:line="240" w:lineRule="auto"/>
        <w:jc w:val="center"/>
        <w:rPr>
          <w:rFonts w:ascii="Times New Roman" w:hAnsi="Times New Roman"/>
          <w:b/>
          <w:bCs/>
          <w:color w:val="000000" w:themeColor="text1"/>
          <w:sz w:val="20"/>
          <w:szCs w:val="20"/>
        </w:rPr>
      </w:pPr>
    </w:p>
    <w:p w14:paraId="7DF2719F" w14:textId="4B6D8B02" w:rsidR="00A6183E" w:rsidRPr="00D26D12" w:rsidRDefault="00A6183E" w:rsidP="00951F57">
      <w:pPr>
        <w:spacing w:after="0" w:line="240" w:lineRule="auto"/>
        <w:jc w:val="center"/>
        <w:rPr>
          <w:rFonts w:ascii="Times New Roman" w:hAnsi="Times New Roman"/>
          <w:b/>
          <w:bCs/>
          <w:color w:val="000000" w:themeColor="text1"/>
          <w:sz w:val="20"/>
          <w:szCs w:val="20"/>
        </w:rPr>
      </w:pPr>
      <w:r w:rsidRPr="00D26D12">
        <w:rPr>
          <w:rFonts w:ascii="Times New Roman" w:hAnsi="Times New Roman"/>
          <w:b/>
          <w:bCs/>
          <w:color w:val="000000" w:themeColor="text1"/>
          <w:sz w:val="20"/>
          <w:szCs w:val="20"/>
        </w:rPr>
        <w:t xml:space="preserve">Figura </w:t>
      </w:r>
      <w:r w:rsidR="00D26D12">
        <w:rPr>
          <w:rFonts w:ascii="Times New Roman" w:hAnsi="Times New Roman"/>
          <w:b/>
          <w:bCs/>
          <w:color w:val="000000" w:themeColor="text1"/>
          <w:sz w:val="20"/>
          <w:szCs w:val="20"/>
        </w:rPr>
        <w:t>2 -</w:t>
      </w:r>
      <w:r w:rsidRPr="00D26D12">
        <w:rPr>
          <w:rFonts w:ascii="Times New Roman" w:hAnsi="Times New Roman"/>
          <w:b/>
          <w:bCs/>
          <w:color w:val="000000" w:themeColor="text1"/>
          <w:sz w:val="20"/>
          <w:szCs w:val="20"/>
        </w:rPr>
        <w:t xml:space="preserve"> Débito e multa em anos eleitorais</w:t>
      </w:r>
    </w:p>
    <w:p w14:paraId="6391C856" w14:textId="228561EC" w:rsidR="00686C9F" w:rsidRPr="00596D1F" w:rsidRDefault="00686C9F" w:rsidP="00951F57">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D26D12">
        <w:rPr>
          <w:rFonts w:ascii="Times New Roman" w:hAnsi="Times New Roman"/>
          <w:color w:val="000000" w:themeColor="text1"/>
          <w:sz w:val="20"/>
          <w:szCs w:val="20"/>
        </w:rPr>
        <w:t>Dados da pesquisa</w:t>
      </w:r>
    </w:p>
    <w:p w14:paraId="74CB5F07" w14:textId="77777777" w:rsidR="003E1703" w:rsidRDefault="003E170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4DF42D03" w14:textId="6B95D86B"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Como anos eleitorais, foram considerados apenas </w:t>
      </w:r>
      <w:r w:rsidR="00DC534E" w:rsidRPr="00596D1F">
        <w:rPr>
          <w:rFonts w:ascii="Times New Roman" w:hAnsi="Times New Roman"/>
          <w:color w:val="000000" w:themeColor="text1"/>
          <w:sz w:val="24"/>
          <w:szCs w:val="24"/>
        </w:rPr>
        <w:t xml:space="preserve">aqueles em que houve eleições municipais, isto é, </w:t>
      </w:r>
      <w:r w:rsidRPr="00596D1F">
        <w:rPr>
          <w:rFonts w:ascii="Times New Roman" w:hAnsi="Times New Roman"/>
          <w:color w:val="000000" w:themeColor="text1"/>
          <w:sz w:val="24"/>
          <w:szCs w:val="24"/>
        </w:rPr>
        <w:t xml:space="preserve">2012 e 2016. Depreende-se, da Figura </w:t>
      </w:r>
      <w:r w:rsidR="00CF0899">
        <w:rPr>
          <w:rFonts w:ascii="Times New Roman" w:hAnsi="Times New Roman"/>
          <w:color w:val="000000" w:themeColor="text1"/>
          <w:sz w:val="24"/>
          <w:szCs w:val="24"/>
        </w:rPr>
        <w:t>2</w:t>
      </w:r>
      <w:r w:rsidRPr="00596D1F">
        <w:rPr>
          <w:rFonts w:ascii="Times New Roman" w:hAnsi="Times New Roman"/>
          <w:color w:val="000000" w:themeColor="text1"/>
          <w:sz w:val="24"/>
          <w:szCs w:val="24"/>
        </w:rPr>
        <w:t xml:space="preserve"> que</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para processos de débito, o fato d</w:t>
      </w:r>
      <w:r w:rsidR="00052584">
        <w:rPr>
          <w:rFonts w:ascii="Times New Roman" w:hAnsi="Times New Roman"/>
          <w:color w:val="000000" w:themeColor="text1"/>
          <w:sz w:val="24"/>
          <w:szCs w:val="24"/>
        </w:rPr>
        <w:t xml:space="preserve">e </w:t>
      </w:r>
      <w:r w:rsidRPr="00596D1F">
        <w:rPr>
          <w:rFonts w:ascii="Times New Roman" w:hAnsi="Times New Roman"/>
          <w:color w:val="000000" w:themeColor="text1"/>
          <w:sz w:val="24"/>
          <w:szCs w:val="24"/>
        </w:rPr>
        <w:t xml:space="preserve">o ano ser eleitoral não reportou em evoluções significativas no número de processos analisados. Contudo, em relação a processos com imputação de multa, percebe-se um leve </w:t>
      </w:r>
      <w:r w:rsidRPr="00596D1F">
        <w:rPr>
          <w:rFonts w:ascii="Times New Roman" w:hAnsi="Times New Roman"/>
          <w:color w:val="000000" w:themeColor="text1"/>
          <w:sz w:val="24"/>
          <w:szCs w:val="24"/>
        </w:rPr>
        <w:lastRenderedPageBreak/>
        <w:t>declínio em 2012, assim como em 2016. Esse declínio</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também</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pode ser observado nos processos de débito e multa analisados de forma conjunta.</w:t>
      </w:r>
    </w:p>
    <w:p w14:paraId="2B6FB24B" w14:textId="51B17AAD" w:rsidR="00016724" w:rsidRPr="00596D1F" w:rsidRDefault="000167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 Figura </w:t>
      </w:r>
      <w:r w:rsidR="00D26D12">
        <w:rPr>
          <w:rFonts w:ascii="Times New Roman" w:hAnsi="Times New Roman"/>
          <w:color w:val="000000" w:themeColor="text1"/>
          <w:sz w:val="24"/>
          <w:szCs w:val="24"/>
        </w:rPr>
        <w:t>3</w:t>
      </w:r>
      <w:r w:rsidR="00A6183E" w:rsidRPr="00596D1F">
        <w:rPr>
          <w:rFonts w:ascii="Times New Roman" w:hAnsi="Times New Roman"/>
          <w:color w:val="000000" w:themeColor="text1"/>
          <w:sz w:val="24"/>
          <w:szCs w:val="24"/>
        </w:rPr>
        <w:t xml:space="preserve"> </w:t>
      </w:r>
      <w:r w:rsidRPr="00596D1F">
        <w:rPr>
          <w:rFonts w:ascii="Times New Roman" w:hAnsi="Times New Roman"/>
          <w:color w:val="000000" w:themeColor="text1"/>
          <w:sz w:val="24"/>
          <w:szCs w:val="24"/>
        </w:rPr>
        <w:t>evidencia a evolução da frequência de número de processos de débito e multa por interessado (prefeitura, câmara e autarquia) ao longo do período estudado.</w:t>
      </w:r>
    </w:p>
    <w:p w14:paraId="40C1C2D4" w14:textId="77777777" w:rsidR="00385E27" w:rsidRPr="00596D1F" w:rsidRDefault="00385E27" w:rsidP="000B6B45">
      <w:pPr>
        <w:spacing w:after="0" w:line="240" w:lineRule="auto"/>
        <w:rPr>
          <w:rFonts w:ascii="Times New Roman" w:hAnsi="Times New Roman"/>
          <w:color w:val="000000" w:themeColor="text1"/>
          <w:sz w:val="20"/>
          <w:szCs w:val="20"/>
        </w:rPr>
      </w:pPr>
    </w:p>
    <w:p w14:paraId="74571ADA" w14:textId="396D70A5" w:rsidR="00016724" w:rsidRPr="00596D1F" w:rsidRDefault="002C6F59" w:rsidP="000B6B45">
      <w:pPr>
        <w:spacing w:after="0" w:line="240" w:lineRule="auto"/>
        <w:rPr>
          <w:rFonts w:ascii="Times New Roman" w:hAnsi="Times New Roman"/>
          <w:color w:val="000000" w:themeColor="text1"/>
          <w:sz w:val="24"/>
          <w:szCs w:val="24"/>
        </w:rPr>
      </w:pPr>
      <w:r w:rsidRPr="00596D1F">
        <w:rPr>
          <w:noProof/>
          <w:color w:val="000000" w:themeColor="text1"/>
          <w:lang w:eastAsia="pt-BR"/>
        </w:rPr>
        <w:drawing>
          <wp:inline distT="0" distB="0" distL="0" distR="0" wp14:anchorId="1583EEC1" wp14:editId="50B68948">
            <wp:extent cx="5762625" cy="2948940"/>
            <wp:effectExtent l="0" t="0" r="9525" b="381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7C0B5E" w14:textId="7AD06049" w:rsidR="00A6183E" w:rsidRPr="00D26D12" w:rsidRDefault="00A6183E" w:rsidP="00951F57">
      <w:pPr>
        <w:spacing w:after="0" w:line="240" w:lineRule="auto"/>
        <w:jc w:val="center"/>
        <w:rPr>
          <w:rFonts w:ascii="Times New Roman" w:hAnsi="Times New Roman"/>
          <w:b/>
          <w:bCs/>
          <w:color w:val="000000" w:themeColor="text1"/>
          <w:sz w:val="20"/>
          <w:szCs w:val="20"/>
        </w:rPr>
      </w:pPr>
      <w:r w:rsidRPr="00D26D12">
        <w:rPr>
          <w:rFonts w:ascii="Times New Roman" w:hAnsi="Times New Roman"/>
          <w:b/>
          <w:bCs/>
          <w:color w:val="000000" w:themeColor="text1"/>
          <w:sz w:val="20"/>
          <w:szCs w:val="20"/>
        </w:rPr>
        <w:t xml:space="preserve">Figura </w:t>
      </w:r>
      <w:r w:rsidR="00D26D12" w:rsidRPr="00D26D12">
        <w:rPr>
          <w:rFonts w:ascii="Times New Roman" w:hAnsi="Times New Roman"/>
          <w:b/>
          <w:bCs/>
          <w:color w:val="000000" w:themeColor="text1"/>
          <w:sz w:val="20"/>
          <w:szCs w:val="20"/>
        </w:rPr>
        <w:t>3 -</w:t>
      </w:r>
      <w:r w:rsidRPr="00D26D12">
        <w:rPr>
          <w:rFonts w:ascii="Times New Roman" w:hAnsi="Times New Roman"/>
          <w:b/>
          <w:bCs/>
          <w:color w:val="000000" w:themeColor="text1"/>
          <w:sz w:val="20"/>
          <w:szCs w:val="20"/>
        </w:rPr>
        <w:t xml:space="preserve"> Débito e multa por tipo de interessado</w:t>
      </w:r>
    </w:p>
    <w:p w14:paraId="4CAE17A1" w14:textId="08854C78" w:rsidR="00686C9F" w:rsidRPr="00596D1F" w:rsidRDefault="00686C9F" w:rsidP="00951F57">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D26D12">
        <w:rPr>
          <w:rFonts w:ascii="Times New Roman" w:hAnsi="Times New Roman"/>
          <w:color w:val="000000" w:themeColor="text1"/>
          <w:sz w:val="20"/>
          <w:szCs w:val="20"/>
        </w:rPr>
        <w:t>Dados da pesquisa</w:t>
      </w:r>
      <w:r w:rsidRPr="00596D1F">
        <w:rPr>
          <w:rFonts w:ascii="Times New Roman" w:hAnsi="Times New Roman"/>
          <w:color w:val="000000" w:themeColor="text1"/>
          <w:sz w:val="20"/>
          <w:szCs w:val="20"/>
        </w:rPr>
        <w:t>.</w:t>
      </w:r>
    </w:p>
    <w:p w14:paraId="1BDC7A7D" w14:textId="77777777" w:rsidR="003E1703" w:rsidRDefault="003E170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4DCD4DD5" w14:textId="6A767055" w:rsidR="00F56CBE" w:rsidRPr="00596D1F" w:rsidRDefault="0034303D"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 Figura </w:t>
      </w:r>
      <w:r w:rsidR="00D26D12">
        <w:rPr>
          <w:rFonts w:ascii="Times New Roman" w:hAnsi="Times New Roman"/>
          <w:color w:val="000000" w:themeColor="text1"/>
          <w:sz w:val="24"/>
          <w:szCs w:val="24"/>
        </w:rPr>
        <w:t>3</w:t>
      </w:r>
      <w:r w:rsidR="00A6183E" w:rsidRPr="00596D1F">
        <w:rPr>
          <w:rFonts w:ascii="Times New Roman" w:hAnsi="Times New Roman"/>
          <w:color w:val="000000" w:themeColor="text1"/>
          <w:sz w:val="24"/>
          <w:szCs w:val="24"/>
        </w:rPr>
        <w:t xml:space="preserve"> </w:t>
      </w:r>
      <w:r w:rsidR="00A6183E">
        <w:rPr>
          <w:rFonts w:ascii="Times New Roman" w:hAnsi="Times New Roman"/>
          <w:color w:val="000000" w:themeColor="text1"/>
          <w:sz w:val="24"/>
          <w:szCs w:val="24"/>
        </w:rPr>
        <w:t>retrata</w:t>
      </w:r>
      <w:r w:rsidR="00A6183E" w:rsidRPr="00596D1F">
        <w:rPr>
          <w:rFonts w:ascii="Times New Roman" w:hAnsi="Times New Roman"/>
          <w:color w:val="000000" w:themeColor="text1"/>
          <w:sz w:val="24"/>
          <w:szCs w:val="24"/>
        </w:rPr>
        <w:t xml:space="preserve"> </w:t>
      </w:r>
      <w:r w:rsidR="00AD083D" w:rsidRPr="00596D1F">
        <w:rPr>
          <w:rFonts w:ascii="Times New Roman" w:hAnsi="Times New Roman"/>
          <w:color w:val="000000" w:themeColor="text1"/>
          <w:sz w:val="24"/>
          <w:szCs w:val="24"/>
        </w:rPr>
        <w:t xml:space="preserve">a evolução da quantidade de processos de </w:t>
      </w:r>
      <w:r w:rsidRPr="00596D1F">
        <w:rPr>
          <w:rFonts w:ascii="Times New Roman" w:hAnsi="Times New Roman"/>
          <w:color w:val="000000" w:themeColor="text1"/>
          <w:sz w:val="24"/>
          <w:szCs w:val="24"/>
        </w:rPr>
        <w:t>débito e multa</w:t>
      </w:r>
      <w:r w:rsidR="00AD083D" w:rsidRPr="00596D1F">
        <w:rPr>
          <w:rFonts w:ascii="Times New Roman" w:hAnsi="Times New Roman"/>
          <w:color w:val="000000" w:themeColor="text1"/>
          <w:sz w:val="24"/>
          <w:szCs w:val="24"/>
        </w:rPr>
        <w:t xml:space="preserve"> ao longo do tempo. Percebe-se que </w:t>
      </w:r>
      <w:r w:rsidR="00F56CBE" w:rsidRPr="00596D1F">
        <w:rPr>
          <w:rFonts w:ascii="Times New Roman" w:hAnsi="Times New Roman"/>
          <w:color w:val="000000" w:themeColor="text1"/>
          <w:sz w:val="24"/>
          <w:szCs w:val="24"/>
        </w:rPr>
        <w:t xml:space="preserve">a maioria dos processos de débito e multa </w:t>
      </w:r>
      <w:r w:rsidR="00DC534E" w:rsidRPr="00596D1F">
        <w:rPr>
          <w:rFonts w:ascii="Times New Roman" w:hAnsi="Times New Roman"/>
          <w:color w:val="000000" w:themeColor="text1"/>
          <w:sz w:val="24"/>
          <w:szCs w:val="24"/>
        </w:rPr>
        <w:t>é originada de</w:t>
      </w:r>
      <w:r w:rsidR="00F56CBE" w:rsidRPr="00596D1F">
        <w:rPr>
          <w:rFonts w:ascii="Times New Roman" w:hAnsi="Times New Roman"/>
          <w:color w:val="000000" w:themeColor="text1"/>
          <w:sz w:val="24"/>
          <w:szCs w:val="24"/>
        </w:rPr>
        <w:t xml:space="preserve"> prestações de contas de gestão das prefeituras. Além disso, como imputação de penalidade as multas se destacam, isto é, o TCM-GO aplica um quantitativo maior de multas do que penaliza seus jurisdicionados com o pedido de restituição de débitos. Desta</w:t>
      </w:r>
      <w:r w:rsidR="00A6183E">
        <w:rPr>
          <w:rFonts w:ascii="Times New Roman" w:hAnsi="Times New Roman"/>
          <w:color w:val="000000" w:themeColor="text1"/>
          <w:sz w:val="24"/>
          <w:szCs w:val="24"/>
        </w:rPr>
        <w:t>que</w:t>
      </w:r>
      <w:r w:rsidR="00F56CBE" w:rsidRPr="00596D1F">
        <w:rPr>
          <w:rFonts w:ascii="Times New Roman" w:hAnsi="Times New Roman"/>
          <w:color w:val="000000" w:themeColor="text1"/>
          <w:sz w:val="24"/>
          <w:szCs w:val="24"/>
        </w:rPr>
        <w:t>-se que</w:t>
      </w:r>
      <w:r w:rsidR="00DC534E" w:rsidRPr="00596D1F">
        <w:rPr>
          <w:rFonts w:ascii="Times New Roman" w:hAnsi="Times New Roman"/>
          <w:color w:val="000000" w:themeColor="text1"/>
          <w:sz w:val="24"/>
          <w:szCs w:val="24"/>
        </w:rPr>
        <w:t>,</w:t>
      </w:r>
      <w:r w:rsidR="00F56CBE" w:rsidRPr="00596D1F">
        <w:rPr>
          <w:rFonts w:ascii="Times New Roman" w:hAnsi="Times New Roman"/>
          <w:color w:val="000000" w:themeColor="text1"/>
          <w:sz w:val="24"/>
          <w:szCs w:val="24"/>
        </w:rPr>
        <w:t xml:space="preserve"> após o ano de 2014, houve um decréscimo da aplicação destas duas penalidades</w:t>
      </w:r>
      <w:r w:rsidR="00E37AD7">
        <w:rPr>
          <w:rFonts w:ascii="Times New Roman" w:hAnsi="Times New Roman"/>
          <w:color w:val="000000" w:themeColor="text1"/>
          <w:sz w:val="24"/>
          <w:szCs w:val="24"/>
        </w:rPr>
        <w:t>;</w:t>
      </w:r>
      <w:r w:rsidR="00F56CBE" w:rsidRPr="00596D1F">
        <w:rPr>
          <w:rFonts w:ascii="Times New Roman" w:hAnsi="Times New Roman"/>
          <w:color w:val="000000" w:themeColor="text1"/>
          <w:sz w:val="24"/>
          <w:szCs w:val="24"/>
        </w:rPr>
        <w:t xml:space="preserve"> o que pode ter sido ocasionado pela promulgação de um ato normativo, como </w:t>
      </w:r>
      <w:r w:rsidR="005D7FD8" w:rsidRPr="00596D1F">
        <w:rPr>
          <w:rFonts w:ascii="Times New Roman" w:hAnsi="Times New Roman"/>
          <w:color w:val="000000" w:themeColor="text1"/>
          <w:sz w:val="24"/>
          <w:szCs w:val="24"/>
        </w:rPr>
        <w:t>a LAI</w:t>
      </w:r>
      <w:r w:rsidR="00F56CBE" w:rsidRPr="00596D1F">
        <w:rPr>
          <w:rFonts w:ascii="Times New Roman" w:hAnsi="Times New Roman"/>
          <w:color w:val="000000" w:themeColor="text1"/>
          <w:sz w:val="24"/>
          <w:szCs w:val="24"/>
        </w:rPr>
        <w:t>.</w:t>
      </w:r>
    </w:p>
    <w:p w14:paraId="582FD61E" w14:textId="7453D843" w:rsidR="00F56CBE" w:rsidRDefault="00F56CBE"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Para analisar se a promulgação deste ato normativo impactou nos valores das sanções impostas, como também nas variáveis selecionadas nos procedimentos metodológicos como elementos de controle para o modelo econométrico aplicado, efetuaram-se testes de médias. Os resultados podem ser observados na Tabela </w:t>
      </w:r>
      <w:r w:rsidR="00686C9F" w:rsidRPr="00596D1F">
        <w:rPr>
          <w:rFonts w:ascii="Times New Roman" w:hAnsi="Times New Roman"/>
          <w:color w:val="000000" w:themeColor="text1"/>
          <w:sz w:val="24"/>
          <w:szCs w:val="24"/>
        </w:rPr>
        <w:t>2</w:t>
      </w:r>
      <w:r w:rsidRPr="00596D1F">
        <w:rPr>
          <w:rFonts w:ascii="Times New Roman" w:hAnsi="Times New Roman"/>
          <w:color w:val="000000" w:themeColor="text1"/>
          <w:sz w:val="24"/>
          <w:szCs w:val="24"/>
        </w:rPr>
        <w:t>.</w:t>
      </w:r>
    </w:p>
    <w:p w14:paraId="4F9C6DC9" w14:textId="77777777" w:rsidR="003E1703" w:rsidRDefault="003E170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3E3632C3" w14:textId="1D7D6FFA" w:rsidR="00016724" w:rsidRPr="00D15A99" w:rsidRDefault="00016724" w:rsidP="00951F57">
      <w:pPr>
        <w:spacing w:after="0" w:line="240" w:lineRule="auto"/>
        <w:jc w:val="center"/>
        <w:rPr>
          <w:rFonts w:ascii="Times New Roman" w:hAnsi="Times New Roman"/>
          <w:b/>
          <w:bCs/>
          <w:color w:val="000000" w:themeColor="text1"/>
          <w:sz w:val="20"/>
          <w:szCs w:val="20"/>
        </w:rPr>
      </w:pPr>
      <w:r w:rsidRPr="00D15A99">
        <w:rPr>
          <w:rFonts w:ascii="Times New Roman" w:hAnsi="Times New Roman"/>
          <w:b/>
          <w:bCs/>
          <w:color w:val="000000" w:themeColor="text1"/>
          <w:sz w:val="20"/>
          <w:szCs w:val="20"/>
        </w:rPr>
        <w:t xml:space="preserve">Tabela </w:t>
      </w:r>
      <w:r w:rsidR="00686C9F" w:rsidRPr="00D15A99">
        <w:rPr>
          <w:rFonts w:ascii="Times New Roman" w:hAnsi="Times New Roman"/>
          <w:b/>
          <w:bCs/>
          <w:color w:val="000000" w:themeColor="text1"/>
          <w:sz w:val="20"/>
          <w:szCs w:val="20"/>
        </w:rPr>
        <w:t>2</w:t>
      </w:r>
      <w:r w:rsidR="00D15A99" w:rsidRPr="00D15A99">
        <w:rPr>
          <w:rFonts w:ascii="Times New Roman" w:hAnsi="Times New Roman"/>
          <w:b/>
          <w:bCs/>
          <w:color w:val="000000" w:themeColor="text1"/>
          <w:sz w:val="20"/>
          <w:szCs w:val="20"/>
        </w:rPr>
        <w:t xml:space="preserve"> - </w:t>
      </w:r>
      <w:r w:rsidR="008C0E0A" w:rsidRPr="00D15A99">
        <w:rPr>
          <w:rFonts w:ascii="Times New Roman" w:hAnsi="Times New Roman"/>
          <w:b/>
          <w:bCs/>
          <w:color w:val="000000" w:themeColor="text1"/>
          <w:sz w:val="20"/>
          <w:szCs w:val="20"/>
        </w:rPr>
        <w:t>Estatística d</w:t>
      </w:r>
      <w:r w:rsidR="00181537" w:rsidRPr="00D15A99">
        <w:rPr>
          <w:rFonts w:ascii="Times New Roman" w:hAnsi="Times New Roman"/>
          <w:b/>
          <w:bCs/>
          <w:color w:val="000000" w:themeColor="text1"/>
          <w:sz w:val="20"/>
          <w:szCs w:val="20"/>
        </w:rPr>
        <w:t>escritiva</w:t>
      </w:r>
      <w:r w:rsidR="008C0E0A" w:rsidRPr="00D15A99">
        <w:rPr>
          <w:rFonts w:ascii="Times New Roman" w:hAnsi="Times New Roman"/>
          <w:b/>
          <w:bCs/>
          <w:color w:val="000000" w:themeColor="text1"/>
          <w:sz w:val="20"/>
          <w:szCs w:val="20"/>
        </w:rPr>
        <w:t xml:space="preserve"> e teste de média</w:t>
      </w:r>
    </w:p>
    <w:tbl>
      <w:tblPr>
        <w:tblW w:w="5000" w:type="pct"/>
        <w:tblBorders>
          <w:top w:val="single" w:sz="12" w:space="0" w:color="000000"/>
          <w:bottom w:val="single" w:sz="18" w:space="0" w:color="auto"/>
          <w:insideH w:val="single" w:sz="2" w:space="0" w:color="000000"/>
          <w:insideV w:val="single" w:sz="2" w:space="0" w:color="000000"/>
        </w:tblBorders>
        <w:tblLayout w:type="fixed"/>
        <w:tblCellMar>
          <w:left w:w="70" w:type="dxa"/>
          <w:right w:w="70" w:type="dxa"/>
        </w:tblCellMar>
        <w:tblLook w:val="04A0" w:firstRow="1" w:lastRow="0" w:firstColumn="1" w:lastColumn="0" w:noHBand="0" w:noVBand="1"/>
      </w:tblPr>
      <w:tblGrid>
        <w:gridCol w:w="1527"/>
        <w:gridCol w:w="1208"/>
        <w:gridCol w:w="864"/>
        <w:gridCol w:w="1152"/>
        <w:gridCol w:w="1584"/>
        <w:gridCol w:w="1272"/>
        <w:gridCol w:w="1464"/>
      </w:tblGrid>
      <w:tr w:rsidR="00596D1F" w:rsidRPr="00596D1F" w14:paraId="71CAFF26" w14:textId="77777777" w:rsidTr="00181537">
        <w:trPr>
          <w:trHeight w:val="20"/>
        </w:trPr>
        <w:tc>
          <w:tcPr>
            <w:tcW w:w="1508" w:type="pct"/>
            <w:gridSpan w:val="2"/>
            <w:shd w:val="clear" w:color="auto" w:fill="auto"/>
            <w:vAlign w:val="bottom"/>
            <w:hideMark/>
          </w:tcPr>
          <w:p w14:paraId="404631F7" w14:textId="5A9EDCFF" w:rsidR="00016724" w:rsidRPr="00596D1F" w:rsidRDefault="00016724" w:rsidP="00300972">
            <w:pPr>
              <w:spacing w:after="0" w:line="240" w:lineRule="auto"/>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Lei</w:t>
            </w:r>
            <w:r w:rsidR="00A6183E">
              <w:rPr>
                <w:rFonts w:ascii="Times New Roman" w:eastAsia="Times New Roman" w:hAnsi="Times New Roman"/>
                <w:b/>
                <w:color w:val="000000" w:themeColor="text1"/>
                <w:sz w:val="20"/>
                <w:szCs w:val="20"/>
                <w:lang w:eastAsia="pt-BR"/>
              </w:rPr>
              <w:t xml:space="preserve"> </w:t>
            </w:r>
            <w:proofErr w:type="spellStart"/>
            <w:r w:rsidR="00A6183E">
              <w:rPr>
                <w:rFonts w:ascii="Times New Roman" w:eastAsia="Times New Roman" w:hAnsi="Times New Roman"/>
                <w:b/>
                <w:color w:val="000000" w:themeColor="text1"/>
                <w:sz w:val="20"/>
                <w:szCs w:val="20"/>
                <w:lang w:eastAsia="pt-BR"/>
              </w:rPr>
              <w:t>da</w:t>
            </w:r>
            <w:r w:rsidRPr="00596D1F">
              <w:rPr>
                <w:rFonts w:ascii="Times New Roman" w:eastAsia="Times New Roman" w:hAnsi="Times New Roman"/>
                <w:b/>
                <w:color w:val="000000" w:themeColor="text1"/>
                <w:sz w:val="20"/>
                <w:szCs w:val="20"/>
                <w:lang w:eastAsia="pt-BR"/>
              </w:rPr>
              <w:t>_transp</w:t>
            </w:r>
            <w:proofErr w:type="spellEnd"/>
            <w:r w:rsidR="00DE0718" w:rsidRPr="00596D1F">
              <w:rPr>
                <w:rFonts w:ascii="Times New Roman" w:eastAsia="Times New Roman" w:hAnsi="Times New Roman"/>
                <w:b/>
                <w:color w:val="000000" w:themeColor="text1"/>
                <w:sz w:val="20"/>
                <w:szCs w:val="20"/>
                <w:lang w:eastAsia="pt-BR"/>
              </w:rPr>
              <w:t>.</w:t>
            </w:r>
            <w:r w:rsidR="00300972" w:rsidRPr="00596D1F">
              <w:rPr>
                <w:rFonts w:ascii="Times New Roman" w:eastAsia="Times New Roman" w:hAnsi="Times New Roman"/>
                <w:b/>
                <w:color w:val="000000" w:themeColor="text1"/>
                <w:sz w:val="20"/>
                <w:szCs w:val="20"/>
                <w:lang w:eastAsia="pt-BR"/>
              </w:rPr>
              <w:t xml:space="preserve"> </w:t>
            </w:r>
            <w:r w:rsidRPr="00596D1F">
              <w:rPr>
                <w:rFonts w:ascii="Times New Roman" w:eastAsia="Times New Roman" w:hAnsi="Times New Roman"/>
                <w:b/>
                <w:color w:val="000000" w:themeColor="text1"/>
                <w:sz w:val="20"/>
                <w:szCs w:val="20"/>
                <w:lang w:eastAsia="pt-BR"/>
              </w:rPr>
              <w:t>estadual</w:t>
            </w:r>
          </w:p>
        </w:tc>
        <w:tc>
          <w:tcPr>
            <w:tcW w:w="476" w:type="pct"/>
            <w:shd w:val="clear" w:color="auto" w:fill="auto"/>
            <w:vAlign w:val="bottom"/>
            <w:hideMark/>
          </w:tcPr>
          <w:p w14:paraId="5FF7A360" w14:textId="77777777" w:rsidR="00016724" w:rsidRPr="00596D1F" w:rsidRDefault="00016724" w:rsidP="000B6B45">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N</w:t>
            </w:r>
          </w:p>
        </w:tc>
        <w:tc>
          <w:tcPr>
            <w:tcW w:w="635" w:type="pct"/>
            <w:shd w:val="clear" w:color="auto" w:fill="auto"/>
            <w:vAlign w:val="bottom"/>
            <w:hideMark/>
          </w:tcPr>
          <w:p w14:paraId="3A438120" w14:textId="77777777" w:rsidR="00016724" w:rsidRPr="00596D1F" w:rsidRDefault="00016724" w:rsidP="000B6B45">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Média</w:t>
            </w:r>
          </w:p>
        </w:tc>
        <w:tc>
          <w:tcPr>
            <w:tcW w:w="873" w:type="pct"/>
            <w:shd w:val="clear" w:color="auto" w:fill="auto"/>
            <w:vAlign w:val="bottom"/>
            <w:hideMark/>
          </w:tcPr>
          <w:p w14:paraId="4ABD8E01" w14:textId="77777777" w:rsidR="00016724" w:rsidRPr="00596D1F" w:rsidRDefault="00016724" w:rsidP="000B6B45">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Desvio padrão</w:t>
            </w:r>
          </w:p>
        </w:tc>
        <w:tc>
          <w:tcPr>
            <w:tcW w:w="701" w:type="pct"/>
            <w:shd w:val="clear" w:color="auto" w:fill="auto"/>
            <w:noWrap/>
            <w:vAlign w:val="bottom"/>
            <w:hideMark/>
          </w:tcPr>
          <w:p w14:paraId="64FD8CFC" w14:textId="77777777" w:rsidR="00016724" w:rsidRPr="00596D1F" w:rsidRDefault="00016724" w:rsidP="000B6B45">
            <w:pPr>
              <w:spacing w:after="0" w:line="240" w:lineRule="auto"/>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Teste de normalidade</w:t>
            </w:r>
          </w:p>
        </w:tc>
        <w:tc>
          <w:tcPr>
            <w:tcW w:w="807" w:type="pct"/>
            <w:shd w:val="clear" w:color="auto" w:fill="auto"/>
            <w:vAlign w:val="bottom"/>
            <w:hideMark/>
          </w:tcPr>
          <w:p w14:paraId="6E168A78" w14:textId="77777777" w:rsidR="00016724" w:rsidRPr="00596D1F" w:rsidRDefault="00016724" w:rsidP="000B6B45">
            <w:pPr>
              <w:spacing w:after="0" w:line="240" w:lineRule="auto"/>
              <w:jc w:val="center"/>
              <w:rPr>
                <w:rFonts w:ascii="Times New Roman" w:eastAsia="Times New Roman" w:hAnsi="Times New Roman"/>
                <w:b/>
                <w:color w:val="000000" w:themeColor="text1"/>
                <w:sz w:val="20"/>
                <w:szCs w:val="20"/>
                <w:lang w:eastAsia="pt-BR"/>
              </w:rPr>
            </w:pPr>
            <w:r w:rsidRPr="00596D1F">
              <w:rPr>
                <w:rFonts w:ascii="Times New Roman" w:eastAsia="Times New Roman" w:hAnsi="Times New Roman"/>
                <w:b/>
                <w:color w:val="000000" w:themeColor="text1"/>
                <w:sz w:val="20"/>
                <w:szCs w:val="20"/>
                <w:lang w:eastAsia="pt-BR"/>
              </w:rPr>
              <w:t>Teste Mann Whitney</w:t>
            </w:r>
          </w:p>
        </w:tc>
      </w:tr>
      <w:tr w:rsidR="00596D1F" w:rsidRPr="00596D1F" w14:paraId="17EDE89E" w14:textId="77777777" w:rsidTr="00181537">
        <w:trPr>
          <w:trHeight w:val="20"/>
        </w:trPr>
        <w:tc>
          <w:tcPr>
            <w:tcW w:w="842" w:type="pct"/>
            <w:vMerge w:val="restart"/>
            <w:shd w:val="clear" w:color="auto" w:fill="auto"/>
          </w:tcPr>
          <w:p w14:paraId="13AB41D4"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Valor da sanção líquida</w:t>
            </w:r>
          </w:p>
        </w:tc>
        <w:tc>
          <w:tcPr>
            <w:tcW w:w="666" w:type="pct"/>
            <w:shd w:val="clear" w:color="auto" w:fill="auto"/>
          </w:tcPr>
          <w:p w14:paraId="2C092095"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Antes da Lei</w:t>
            </w:r>
          </w:p>
        </w:tc>
        <w:tc>
          <w:tcPr>
            <w:tcW w:w="476" w:type="pct"/>
            <w:shd w:val="clear" w:color="auto" w:fill="auto"/>
            <w:noWrap/>
            <w:vAlign w:val="center"/>
          </w:tcPr>
          <w:p w14:paraId="7533C14D"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32.044 </w:t>
            </w:r>
          </w:p>
        </w:tc>
        <w:tc>
          <w:tcPr>
            <w:tcW w:w="635" w:type="pct"/>
            <w:shd w:val="clear" w:color="auto" w:fill="auto"/>
            <w:noWrap/>
            <w:vAlign w:val="center"/>
          </w:tcPr>
          <w:p w14:paraId="5D8BAA9F"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34.407,26 </w:t>
            </w:r>
          </w:p>
        </w:tc>
        <w:tc>
          <w:tcPr>
            <w:tcW w:w="873" w:type="pct"/>
            <w:shd w:val="clear" w:color="auto" w:fill="auto"/>
            <w:noWrap/>
            <w:vAlign w:val="center"/>
          </w:tcPr>
          <w:p w14:paraId="521D7525"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432.692,21 </w:t>
            </w:r>
          </w:p>
        </w:tc>
        <w:tc>
          <w:tcPr>
            <w:tcW w:w="701" w:type="pct"/>
            <w:vMerge w:val="restart"/>
            <w:shd w:val="clear" w:color="auto" w:fill="auto"/>
            <w:noWrap/>
            <w:vAlign w:val="bottom"/>
          </w:tcPr>
          <w:p w14:paraId="4F23EF0C"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c>
          <w:tcPr>
            <w:tcW w:w="807" w:type="pct"/>
            <w:vMerge w:val="restart"/>
            <w:shd w:val="clear" w:color="auto" w:fill="auto"/>
            <w:noWrap/>
            <w:vAlign w:val="bottom"/>
          </w:tcPr>
          <w:p w14:paraId="30967AB3"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0,0010</w:t>
            </w:r>
          </w:p>
        </w:tc>
      </w:tr>
      <w:tr w:rsidR="00596D1F" w:rsidRPr="00596D1F" w14:paraId="032AC417" w14:textId="77777777" w:rsidTr="004203E4">
        <w:trPr>
          <w:trHeight w:val="20"/>
        </w:trPr>
        <w:tc>
          <w:tcPr>
            <w:tcW w:w="842" w:type="pct"/>
            <w:vMerge/>
            <w:shd w:val="clear" w:color="auto" w:fill="auto"/>
          </w:tcPr>
          <w:p w14:paraId="1D01A2BC"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c>
          <w:tcPr>
            <w:tcW w:w="666" w:type="pct"/>
            <w:shd w:val="clear" w:color="auto" w:fill="auto"/>
          </w:tcPr>
          <w:p w14:paraId="62CCB5A6"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Após a Lei</w:t>
            </w:r>
          </w:p>
        </w:tc>
        <w:tc>
          <w:tcPr>
            <w:tcW w:w="476" w:type="pct"/>
            <w:shd w:val="clear" w:color="auto" w:fill="auto"/>
            <w:noWrap/>
            <w:vAlign w:val="center"/>
          </w:tcPr>
          <w:p w14:paraId="626199B6"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25.957 </w:t>
            </w:r>
          </w:p>
        </w:tc>
        <w:tc>
          <w:tcPr>
            <w:tcW w:w="635" w:type="pct"/>
            <w:shd w:val="clear" w:color="auto" w:fill="auto"/>
            <w:noWrap/>
            <w:vAlign w:val="center"/>
          </w:tcPr>
          <w:p w14:paraId="5552D759"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68.736,30 </w:t>
            </w:r>
          </w:p>
        </w:tc>
        <w:tc>
          <w:tcPr>
            <w:tcW w:w="873" w:type="pct"/>
            <w:shd w:val="clear" w:color="auto" w:fill="auto"/>
            <w:noWrap/>
            <w:vAlign w:val="center"/>
          </w:tcPr>
          <w:p w14:paraId="661C5150"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909.692,62 </w:t>
            </w:r>
          </w:p>
        </w:tc>
        <w:tc>
          <w:tcPr>
            <w:tcW w:w="701" w:type="pct"/>
            <w:vMerge/>
            <w:shd w:val="clear" w:color="auto" w:fill="auto"/>
            <w:noWrap/>
            <w:vAlign w:val="center"/>
          </w:tcPr>
          <w:p w14:paraId="67685E0D"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p>
        </w:tc>
        <w:tc>
          <w:tcPr>
            <w:tcW w:w="807" w:type="pct"/>
            <w:vMerge/>
            <w:shd w:val="clear" w:color="auto" w:fill="auto"/>
            <w:noWrap/>
            <w:vAlign w:val="center"/>
          </w:tcPr>
          <w:p w14:paraId="29ECF975"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p>
        </w:tc>
      </w:tr>
      <w:tr w:rsidR="00596D1F" w:rsidRPr="00596D1F" w14:paraId="74A5FD00" w14:textId="77777777" w:rsidTr="00181537">
        <w:trPr>
          <w:trHeight w:val="20"/>
        </w:trPr>
        <w:tc>
          <w:tcPr>
            <w:tcW w:w="842" w:type="pct"/>
            <w:vMerge w:val="restart"/>
            <w:shd w:val="clear" w:color="auto" w:fill="auto"/>
            <w:hideMark/>
          </w:tcPr>
          <w:p w14:paraId="1AB15DE1"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roofErr w:type="spellStart"/>
            <w:r w:rsidRPr="00596D1F">
              <w:rPr>
                <w:rFonts w:ascii="Times New Roman" w:eastAsia="Times New Roman" w:hAnsi="Times New Roman"/>
                <w:color w:val="000000" w:themeColor="text1"/>
                <w:sz w:val="20"/>
                <w:szCs w:val="20"/>
                <w:lang w:eastAsia="pt-BR"/>
              </w:rPr>
              <w:t>RCL_percapta_atualiz</w:t>
            </w:r>
            <w:proofErr w:type="spellEnd"/>
          </w:p>
        </w:tc>
        <w:tc>
          <w:tcPr>
            <w:tcW w:w="666" w:type="pct"/>
            <w:shd w:val="clear" w:color="auto" w:fill="auto"/>
            <w:hideMark/>
          </w:tcPr>
          <w:p w14:paraId="216B4B12"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Antes da Lei</w:t>
            </w:r>
          </w:p>
        </w:tc>
        <w:tc>
          <w:tcPr>
            <w:tcW w:w="476" w:type="pct"/>
            <w:shd w:val="clear" w:color="auto" w:fill="auto"/>
            <w:noWrap/>
            <w:vAlign w:val="center"/>
            <w:hideMark/>
          </w:tcPr>
          <w:p w14:paraId="2C2BC336"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30.162 </w:t>
            </w:r>
          </w:p>
        </w:tc>
        <w:tc>
          <w:tcPr>
            <w:tcW w:w="635" w:type="pct"/>
            <w:shd w:val="clear" w:color="auto" w:fill="auto"/>
            <w:noWrap/>
            <w:vAlign w:val="center"/>
            <w:hideMark/>
          </w:tcPr>
          <w:p w14:paraId="25ECC802"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230.124,46 </w:t>
            </w:r>
          </w:p>
        </w:tc>
        <w:tc>
          <w:tcPr>
            <w:tcW w:w="873" w:type="pct"/>
            <w:shd w:val="clear" w:color="auto" w:fill="auto"/>
            <w:noWrap/>
            <w:vAlign w:val="center"/>
            <w:hideMark/>
          </w:tcPr>
          <w:p w14:paraId="07C1C2F5"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551.796,47 </w:t>
            </w:r>
          </w:p>
        </w:tc>
        <w:tc>
          <w:tcPr>
            <w:tcW w:w="701" w:type="pct"/>
            <w:vMerge w:val="restart"/>
            <w:shd w:val="clear" w:color="auto" w:fill="auto"/>
            <w:noWrap/>
            <w:vAlign w:val="bottom"/>
            <w:hideMark/>
          </w:tcPr>
          <w:p w14:paraId="2F60D665"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c>
          <w:tcPr>
            <w:tcW w:w="807" w:type="pct"/>
            <w:vMerge w:val="restart"/>
            <w:shd w:val="clear" w:color="auto" w:fill="auto"/>
            <w:noWrap/>
            <w:vAlign w:val="bottom"/>
            <w:hideMark/>
          </w:tcPr>
          <w:p w14:paraId="310DACAC"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r>
      <w:tr w:rsidR="00596D1F" w:rsidRPr="00596D1F" w14:paraId="10974501" w14:textId="77777777" w:rsidTr="00181537">
        <w:trPr>
          <w:trHeight w:val="20"/>
        </w:trPr>
        <w:tc>
          <w:tcPr>
            <w:tcW w:w="842" w:type="pct"/>
            <w:vMerge/>
            <w:vAlign w:val="center"/>
            <w:hideMark/>
          </w:tcPr>
          <w:p w14:paraId="1EE7E3E2"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c>
          <w:tcPr>
            <w:tcW w:w="666" w:type="pct"/>
            <w:shd w:val="clear" w:color="auto" w:fill="auto"/>
            <w:hideMark/>
          </w:tcPr>
          <w:p w14:paraId="411E2ABF"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Após a Lei</w:t>
            </w:r>
          </w:p>
        </w:tc>
        <w:tc>
          <w:tcPr>
            <w:tcW w:w="476" w:type="pct"/>
            <w:shd w:val="clear" w:color="auto" w:fill="auto"/>
            <w:noWrap/>
            <w:vAlign w:val="center"/>
            <w:hideMark/>
          </w:tcPr>
          <w:p w14:paraId="3D5AAC77"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25.957 </w:t>
            </w:r>
          </w:p>
        </w:tc>
        <w:tc>
          <w:tcPr>
            <w:tcW w:w="635" w:type="pct"/>
            <w:shd w:val="clear" w:color="auto" w:fill="auto"/>
            <w:noWrap/>
            <w:vAlign w:val="center"/>
            <w:hideMark/>
          </w:tcPr>
          <w:p w14:paraId="5A972B38"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137.204,57 </w:t>
            </w:r>
          </w:p>
        </w:tc>
        <w:tc>
          <w:tcPr>
            <w:tcW w:w="873" w:type="pct"/>
            <w:shd w:val="clear" w:color="auto" w:fill="auto"/>
            <w:noWrap/>
            <w:vAlign w:val="center"/>
            <w:hideMark/>
          </w:tcPr>
          <w:p w14:paraId="7461E2F3"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378.763,33 </w:t>
            </w:r>
          </w:p>
        </w:tc>
        <w:tc>
          <w:tcPr>
            <w:tcW w:w="701" w:type="pct"/>
            <w:vMerge/>
            <w:vAlign w:val="center"/>
            <w:hideMark/>
          </w:tcPr>
          <w:p w14:paraId="6A4C7BC9"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c>
          <w:tcPr>
            <w:tcW w:w="807" w:type="pct"/>
            <w:vMerge/>
            <w:vAlign w:val="center"/>
            <w:hideMark/>
          </w:tcPr>
          <w:p w14:paraId="1335C36F"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r>
      <w:tr w:rsidR="00596D1F" w:rsidRPr="00596D1F" w14:paraId="14FE7A75" w14:textId="77777777" w:rsidTr="00181537">
        <w:trPr>
          <w:trHeight w:val="20"/>
        </w:trPr>
        <w:tc>
          <w:tcPr>
            <w:tcW w:w="842" w:type="pct"/>
            <w:vMerge w:val="restart"/>
            <w:shd w:val="clear" w:color="auto" w:fill="auto"/>
            <w:hideMark/>
          </w:tcPr>
          <w:p w14:paraId="163EFC60"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Número de fases</w:t>
            </w:r>
          </w:p>
        </w:tc>
        <w:tc>
          <w:tcPr>
            <w:tcW w:w="666" w:type="pct"/>
            <w:shd w:val="clear" w:color="auto" w:fill="auto"/>
            <w:hideMark/>
          </w:tcPr>
          <w:p w14:paraId="0964AD85"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Antes da Lei</w:t>
            </w:r>
          </w:p>
        </w:tc>
        <w:tc>
          <w:tcPr>
            <w:tcW w:w="476" w:type="pct"/>
            <w:shd w:val="clear" w:color="auto" w:fill="auto"/>
            <w:noWrap/>
            <w:vAlign w:val="center"/>
            <w:hideMark/>
          </w:tcPr>
          <w:p w14:paraId="76617518"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32.044 </w:t>
            </w:r>
          </w:p>
        </w:tc>
        <w:tc>
          <w:tcPr>
            <w:tcW w:w="635" w:type="pct"/>
            <w:shd w:val="clear" w:color="auto" w:fill="auto"/>
            <w:noWrap/>
            <w:vAlign w:val="center"/>
            <w:hideMark/>
          </w:tcPr>
          <w:p w14:paraId="13D61940"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1,76 </w:t>
            </w:r>
          </w:p>
        </w:tc>
        <w:tc>
          <w:tcPr>
            <w:tcW w:w="873" w:type="pct"/>
            <w:shd w:val="clear" w:color="auto" w:fill="auto"/>
            <w:noWrap/>
            <w:vAlign w:val="center"/>
            <w:hideMark/>
          </w:tcPr>
          <w:p w14:paraId="179365B9"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1,16 </w:t>
            </w:r>
          </w:p>
        </w:tc>
        <w:tc>
          <w:tcPr>
            <w:tcW w:w="701" w:type="pct"/>
            <w:vMerge w:val="restart"/>
            <w:shd w:val="clear" w:color="auto" w:fill="auto"/>
            <w:noWrap/>
            <w:vAlign w:val="bottom"/>
            <w:hideMark/>
          </w:tcPr>
          <w:p w14:paraId="0CB229E6"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c>
          <w:tcPr>
            <w:tcW w:w="807" w:type="pct"/>
            <w:vMerge w:val="restart"/>
            <w:shd w:val="clear" w:color="auto" w:fill="auto"/>
            <w:noWrap/>
            <w:vAlign w:val="bottom"/>
            <w:hideMark/>
          </w:tcPr>
          <w:p w14:paraId="29FE1F2B" w14:textId="77777777" w:rsidR="00E81ED4" w:rsidRPr="00596D1F" w:rsidRDefault="00E81ED4"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r>
      <w:tr w:rsidR="00596D1F" w:rsidRPr="00596D1F" w14:paraId="455A86E6" w14:textId="77777777" w:rsidTr="00181537">
        <w:trPr>
          <w:trHeight w:val="20"/>
        </w:trPr>
        <w:tc>
          <w:tcPr>
            <w:tcW w:w="842" w:type="pct"/>
            <w:vMerge/>
            <w:vAlign w:val="center"/>
            <w:hideMark/>
          </w:tcPr>
          <w:p w14:paraId="01AC9913"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c>
          <w:tcPr>
            <w:tcW w:w="666" w:type="pct"/>
            <w:shd w:val="clear" w:color="auto" w:fill="auto"/>
            <w:hideMark/>
          </w:tcPr>
          <w:p w14:paraId="557914B7"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Após a Lei</w:t>
            </w:r>
          </w:p>
        </w:tc>
        <w:tc>
          <w:tcPr>
            <w:tcW w:w="476" w:type="pct"/>
            <w:shd w:val="clear" w:color="auto" w:fill="auto"/>
            <w:noWrap/>
            <w:vAlign w:val="center"/>
            <w:hideMark/>
          </w:tcPr>
          <w:p w14:paraId="211C8DC5"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25.957 </w:t>
            </w:r>
          </w:p>
        </w:tc>
        <w:tc>
          <w:tcPr>
            <w:tcW w:w="635" w:type="pct"/>
            <w:shd w:val="clear" w:color="auto" w:fill="auto"/>
            <w:noWrap/>
            <w:vAlign w:val="center"/>
            <w:hideMark/>
          </w:tcPr>
          <w:p w14:paraId="5F778E83"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1,59 </w:t>
            </w:r>
          </w:p>
        </w:tc>
        <w:tc>
          <w:tcPr>
            <w:tcW w:w="873" w:type="pct"/>
            <w:shd w:val="clear" w:color="auto" w:fill="auto"/>
            <w:noWrap/>
            <w:vAlign w:val="center"/>
            <w:hideMark/>
          </w:tcPr>
          <w:p w14:paraId="08A33087" w14:textId="77777777" w:rsidR="00E81ED4" w:rsidRPr="00596D1F" w:rsidRDefault="00E81ED4"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0,84 </w:t>
            </w:r>
          </w:p>
        </w:tc>
        <w:tc>
          <w:tcPr>
            <w:tcW w:w="701" w:type="pct"/>
            <w:vMerge/>
            <w:vAlign w:val="center"/>
            <w:hideMark/>
          </w:tcPr>
          <w:p w14:paraId="778964F6"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c>
          <w:tcPr>
            <w:tcW w:w="807" w:type="pct"/>
            <w:vMerge/>
            <w:vAlign w:val="center"/>
            <w:hideMark/>
          </w:tcPr>
          <w:p w14:paraId="6CF31ADD" w14:textId="77777777" w:rsidR="00E81ED4" w:rsidRPr="00596D1F" w:rsidRDefault="00E81ED4" w:rsidP="000B6B45">
            <w:pPr>
              <w:spacing w:after="0" w:line="240" w:lineRule="auto"/>
              <w:rPr>
                <w:rFonts w:ascii="Times New Roman" w:eastAsia="Times New Roman" w:hAnsi="Times New Roman"/>
                <w:color w:val="000000" w:themeColor="text1"/>
                <w:sz w:val="20"/>
                <w:szCs w:val="20"/>
                <w:lang w:eastAsia="pt-BR"/>
              </w:rPr>
            </w:pPr>
          </w:p>
        </w:tc>
      </w:tr>
    </w:tbl>
    <w:p w14:paraId="3CF5EDB6" w14:textId="73F8F233" w:rsidR="00686C9F" w:rsidRPr="00596D1F" w:rsidRDefault="00686C9F" w:rsidP="00951F57">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D26D12">
        <w:rPr>
          <w:rFonts w:ascii="Times New Roman" w:hAnsi="Times New Roman"/>
          <w:color w:val="000000" w:themeColor="text1"/>
          <w:sz w:val="20"/>
          <w:szCs w:val="20"/>
        </w:rPr>
        <w:t>Dados da pesquisa</w:t>
      </w:r>
      <w:r w:rsidRPr="00596D1F">
        <w:rPr>
          <w:rFonts w:ascii="Times New Roman" w:hAnsi="Times New Roman"/>
          <w:color w:val="000000" w:themeColor="text1"/>
          <w:sz w:val="20"/>
          <w:szCs w:val="20"/>
        </w:rPr>
        <w:t>.</w:t>
      </w:r>
    </w:p>
    <w:p w14:paraId="2EA1D70A" w14:textId="77777777" w:rsidR="003E1703" w:rsidRDefault="003E170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41AD35E2" w14:textId="3F2CA424" w:rsidR="00181537" w:rsidRPr="00596D1F" w:rsidRDefault="001B382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Conforme demonstrado na Tabela </w:t>
      </w:r>
      <w:r w:rsidR="00686C9F" w:rsidRPr="00596D1F">
        <w:rPr>
          <w:rFonts w:ascii="Times New Roman" w:hAnsi="Times New Roman"/>
          <w:color w:val="000000" w:themeColor="text1"/>
          <w:sz w:val="24"/>
          <w:szCs w:val="24"/>
        </w:rPr>
        <w:t>2</w:t>
      </w:r>
      <w:r w:rsidRPr="00596D1F">
        <w:rPr>
          <w:rFonts w:ascii="Times New Roman" w:hAnsi="Times New Roman"/>
          <w:color w:val="000000" w:themeColor="text1"/>
          <w:sz w:val="24"/>
          <w:szCs w:val="24"/>
        </w:rPr>
        <w:t>, efetuou-se o teste de normalidade de Shapiro</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Wilk para definição do tipo de teste de média a ser empregado. Como resultado, os dados das variáveis escolhidas não apresentam distribuição normal, logo</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um teste de média não paramétrico fez-se necessário. Assim, aplicou-se o teste de Mann Whitney para analisar se as médias das variáveis selecionadas podem ser consideradas estatisticamente iguais antes e após a promulgação da </w:t>
      </w:r>
      <w:r w:rsidR="00A6183E">
        <w:rPr>
          <w:rFonts w:ascii="Times New Roman" w:hAnsi="Times New Roman"/>
          <w:color w:val="000000" w:themeColor="text1"/>
          <w:sz w:val="24"/>
          <w:szCs w:val="24"/>
        </w:rPr>
        <w:t>l</w:t>
      </w:r>
      <w:r w:rsidRPr="00596D1F">
        <w:rPr>
          <w:rFonts w:ascii="Times New Roman" w:hAnsi="Times New Roman"/>
          <w:color w:val="000000" w:themeColor="text1"/>
          <w:sz w:val="24"/>
          <w:szCs w:val="24"/>
        </w:rPr>
        <w:t xml:space="preserve">ei da </w:t>
      </w:r>
      <w:r w:rsidR="00A6183E">
        <w:rPr>
          <w:rFonts w:ascii="Times New Roman" w:hAnsi="Times New Roman"/>
          <w:color w:val="000000" w:themeColor="text1"/>
          <w:sz w:val="24"/>
          <w:szCs w:val="24"/>
        </w:rPr>
        <w:t>t</w:t>
      </w:r>
      <w:r w:rsidRPr="00596D1F">
        <w:rPr>
          <w:rFonts w:ascii="Times New Roman" w:hAnsi="Times New Roman"/>
          <w:color w:val="000000" w:themeColor="text1"/>
          <w:sz w:val="24"/>
          <w:szCs w:val="24"/>
        </w:rPr>
        <w:t xml:space="preserve">ransparência </w:t>
      </w:r>
      <w:r w:rsidR="00A6183E">
        <w:rPr>
          <w:rFonts w:ascii="Times New Roman" w:hAnsi="Times New Roman"/>
          <w:color w:val="000000" w:themeColor="text1"/>
          <w:sz w:val="24"/>
          <w:szCs w:val="24"/>
        </w:rPr>
        <w:t>e</w:t>
      </w:r>
      <w:r w:rsidRPr="00596D1F">
        <w:rPr>
          <w:rFonts w:ascii="Times New Roman" w:hAnsi="Times New Roman"/>
          <w:color w:val="000000" w:themeColor="text1"/>
          <w:sz w:val="24"/>
          <w:szCs w:val="24"/>
        </w:rPr>
        <w:t>stadual.</w:t>
      </w:r>
    </w:p>
    <w:p w14:paraId="413BF80A" w14:textId="77777777" w:rsidR="00BA7B4C" w:rsidRDefault="001B3823" w:rsidP="00BA7B4C">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Os resultados da Tabela </w:t>
      </w:r>
      <w:r w:rsidR="00686C9F" w:rsidRPr="00596D1F">
        <w:rPr>
          <w:rFonts w:ascii="Times New Roman" w:hAnsi="Times New Roman"/>
          <w:color w:val="000000" w:themeColor="text1"/>
          <w:sz w:val="24"/>
          <w:szCs w:val="24"/>
        </w:rPr>
        <w:t>2</w:t>
      </w:r>
      <w:r w:rsidRPr="00596D1F">
        <w:rPr>
          <w:rFonts w:ascii="Times New Roman" w:hAnsi="Times New Roman"/>
          <w:color w:val="000000" w:themeColor="text1"/>
          <w:sz w:val="24"/>
          <w:szCs w:val="24"/>
        </w:rPr>
        <w:t xml:space="preserve"> sugerem que</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o valor da sanção líquida</w:t>
      </w:r>
      <w:r w:rsidR="00E81ED4" w:rsidRPr="00596D1F">
        <w:rPr>
          <w:rFonts w:ascii="Times New Roman" w:hAnsi="Times New Roman"/>
          <w:color w:val="000000" w:themeColor="text1"/>
          <w:sz w:val="24"/>
          <w:szCs w:val="24"/>
        </w:rPr>
        <w:t>, já descontados os valores anulados</w:t>
      </w:r>
      <w:r w:rsidR="00686C9F" w:rsidRPr="00596D1F">
        <w:rPr>
          <w:rFonts w:ascii="Times New Roman" w:hAnsi="Times New Roman"/>
          <w:color w:val="000000" w:themeColor="text1"/>
          <w:sz w:val="24"/>
          <w:szCs w:val="24"/>
        </w:rPr>
        <w:t xml:space="preserve"> por intermédio de recursos</w:t>
      </w:r>
      <w:r w:rsidR="00E81ED4" w:rsidRPr="00596D1F">
        <w:rPr>
          <w:rFonts w:ascii="Times New Roman" w:hAnsi="Times New Roman"/>
          <w:color w:val="000000" w:themeColor="text1"/>
          <w:sz w:val="24"/>
          <w:szCs w:val="24"/>
        </w:rPr>
        <w:t xml:space="preserve">, </w:t>
      </w:r>
      <w:r w:rsidR="00C42A4E" w:rsidRPr="00596D1F">
        <w:rPr>
          <w:rFonts w:ascii="Times New Roman" w:hAnsi="Times New Roman"/>
          <w:color w:val="000000" w:themeColor="text1"/>
          <w:sz w:val="24"/>
          <w:szCs w:val="24"/>
        </w:rPr>
        <w:t xml:space="preserve">apresenta médias </w:t>
      </w:r>
      <w:r w:rsidR="00E81ED4" w:rsidRPr="00596D1F">
        <w:rPr>
          <w:rFonts w:ascii="Times New Roman" w:hAnsi="Times New Roman"/>
          <w:color w:val="000000" w:themeColor="text1"/>
          <w:sz w:val="24"/>
          <w:szCs w:val="24"/>
        </w:rPr>
        <w:t>estatisticamente diferente</w:t>
      </w:r>
      <w:r w:rsidR="00CB1329" w:rsidRPr="00596D1F">
        <w:rPr>
          <w:rFonts w:ascii="Times New Roman" w:hAnsi="Times New Roman"/>
          <w:color w:val="000000" w:themeColor="text1"/>
          <w:sz w:val="24"/>
          <w:szCs w:val="24"/>
        </w:rPr>
        <w:t>s</w:t>
      </w:r>
      <w:r w:rsidR="00E81ED4" w:rsidRPr="00596D1F">
        <w:rPr>
          <w:rFonts w:ascii="Times New Roman" w:hAnsi="Times New Roman"/>
          <w:color w:val="000000" w:themeColor="text1"/>
          <w:sz w:val="24"/>
          <w:szCs w:val="24"/>
        </w:rPr>
        <w:t xml:space="preserve">, ao nível de significância de 1%. </w:t>
      </w:r>
      <w:r w:rsidR="00C42A4E" w:rsidRPr="00596D1F">
        <w:rPr>
          <w:rFonts w:ascii="Times New Roman" w:hAnsi="Times New Roman"/>
          <w:color w:val="000000" w:themeColor="text1"/>
          <w:sz w:val="24"/>
          <w:szCs w:val="24"/>
        </w:rPr>
        <w:t>É possível verificar</w:t>
      </w:r>
      <w:r w:rsidR="00FD3745" w:rsidRPr="00596D1F">
        <w:rPr>
          <w:rFonts w:ascii="Times New Roman" w:hAnsi="Times New Roman"/>
          <w:color w:val="000000" w:themeColor="text1"/>
          <w:sz w:val="24"/>
          <w:szCs w:val="24"/>
        </w:rPr>
        <w:t>, ainda,</w:t>
      </w:r>
      <w:r w:rsidR="00C42A4E" w:rsidRPr="00596D1F">
        <w:rPr>
          <w:rFonts w:ascii="Times New Roman" w:hAnsi="Times New Roman"/>
          <w:color w:val="000000" w:themeColor="text1"/>
          <w:sz w:val="24"/>
          <w:szCs w:val="24"/>
        </w:rPr>
        <w:t xml:space="preserve"> que</w:t>
      </w:r>
      <w:r w:rsidR="00E81ED4" w:rsidRPr="00596D1F">
        <w:rPr>
          <w:rFonts w:ascii="Times New Roman" w:hAnsi="Times New Roman"/>
          <w:color w:val="000000" w:themeColor="text1"/>
          <w:sz w:val="24"/>
          <w:szCs w:val="24"/>
        </w:rPr>
        <w:t xml:space="preserve"> após a vigência da </w:t>
      </w:r>
      <w:r w:rsidR="00A6183E">
        <w:rPr>
          <w:rFonts w:ascii="Times New Roman" w:hAnsi="Times New Roman"/>
          <w:color w:val="000000" w:themeColor="text1"/>
          <w:sz w:val="24"/>
          <w:szCs w:val="24"/>
        </w:rPr>
        <w:t>l</w:t>
      </w:r>
      <w:r w:rsidR="00E81ED4" w:rsidRPr="00596D1F">
        <w:rPr>
          <w:rFonts w:ascii="Times New Roman" w:hAnsi="Times New Roman"/>
          <w:color w:val="000000" w:themeColor="text1"/>
          <w:sz w:val="24"/>
          <w:szCs w:val="24"/>
        </w:rPr>
        <w:t xml:space="preserve">ei de transparência o número de imputações de débito e multa </w:t>
      </w:r>
      <w:r w:rsidR="00DE0718" w:rsidRPr="00596D1F">
        <w:rPr>
          <w:rFonts w:ascii="Times New Roman" w:hAnsi="Times New Roman"/>
          <w:color w:val="000000" w:themeColor="text1"/>
          <w:sz w:val="24"/>
          <w:szCs w:val="24"/>
        </w:rPr>
        <w:t>diminuiu</w:t>
      </w:r>
      <w:r w:rsidR="00E81ED4" w:rsidRPr="00596D1F">
        <w:rPr>
          <w:rFonts w:ascii="Times New Roman" w:hAnsi="Times New Roman"/>
          <w:color w:val="000000" w:themeColor="text1"/>
          <w:sz w:val="24"/>
          <w:szCs w:val="24"/>
        </w:rPr>
        <w:t xml:space="preserve"> de 32.044 para 25.957 processos</w:t>
      </w:r>
      <w:r w:rsidR="00E37AD7">
        <w:rPr>
          <w:rFonts w:ascii="Times New Roman" w:hAnsi="Times New Roman"/>
          <w:color w:val="000000" w:themeColor="text1"/>
          <w:sz w:val="24"/>
          <w:szCs w:val="24"/>
        </w:rPr>
        <w:t>;</w:t>
      </w:r>
      <w:r w:rsidR="00E81ED4" w:rsidRPr="00596D1F">
        <w:rPr>
          <w:rFonts w:ascii="Times New Roman" w:hAnsi="Times New Roman"/>
          <w:color w:val="000000" w:themeColor="text1"/>
          <w:sz w:val="24"/>
          <w:szCs w:val="24"/>
        </w:rPr>
        <w:t xml:space="preserve"> contudo, os valores médios das penalidades aumentaram (de R$ </w:t>
      </w:r>
      <w:r w:rsidR="004F0A08" w:rsidRPr="00596D1F">
        <w:rPr>
          <w:rFonts w:ascii="Times New Roman" w:hAnsi="Times New Roman"/>
          <w:color w:val="000000" w:themeColor="text1"/>
          <w:sz w:val="24"/>
          <w:szCs w:val="24"/>
        </w:rPr>
        <w:t xml:space="preserve">34.407,26, para R$ 68.736,30). </w:t>
      </w:r>
      <w:r w:rsidR="00491E0F" w:rsidRPr="00596D1F">
        <w:rPr>
          <w:rFonts w:ascii="Times New Roman" w:hAnsi="Times New Roman"/>
          <w:color w:val="000000" w:themeColor="text1"/>
          <w:sz w:val="24"/>
          <w:szCs w:val="24"/>
        </w:rPr>
        <w:t xml:space="preserve">Além da sanção líquida, percebe-se que a receita corrente líquida, </w:t>
      </w:r>
      <w:r w:rsidR="00491E0F" w:rsidRPr="00596D1F">
        <w:rPr>
          <w:rFonts w:ascii="Times New Roman" w:hAnsi="Times New Roman"/>
          <w:i/>
          <w:color w:val="000000" w:themeColor="text1"/>
          <w:sz w:val="24"/>
          <w:szCs w:val="24"/>
        </w:rPr>
        <w:t>proxy</w:t>
      </w:r>
      <w:r w:rsidR="00491E0F" w:rsidRPr="00596D1F">
        <w:rPr>
          <w:rFonts w:ascii="Times New Roman" w:hAnsi="Times New Roman"/>
          <w:color w:val="000000" w:themeColor="text1"/>
          <w:sz w:val="24"/>
          <w:szCs w:val="24"/>
        </w:rPr>
        <w:t xml:space="preserve"> para o tamanho do município, e o número de fases dos processos</w:t>
      </w:r>
      <w:r w:rsidR="00CB1329" w:rsidRPr="00596D1F">
        <w:rPr>
          <w:rFonts w:ascii="Times New Roman" w:hAnsi="Times New Roman"/>
          <w:color w:val="000000" w:themeColor="text1"/>
          <w:sz w:val="24"/>
          <w:szCs w:val="24"/>
        </w:rPr>
        <w:t>,</w:t>
      </w:r>
      <w:r w:rsidR="00491E0F" w:rsidRPr="00596D1F">
        <w:rPr>
          <w:rFonts w:ascii="Times New Roman" w:hAnsi="Times New Roman"/>
          <w:color w:val="000000" w:themeColor="text1"/>
          <w:sz w:val="24"/>
          <w:szCs w:val="24"/>
        </w:rPr>
        <w:t xml:space="preserve"> também</w:t>
      </w:r>
      <w:r w:rsidR="00CB1329" w:rsidRPr="00596D1F">
        <w:rPr>
          <w:rFonts w:ascii="Times New Roman" w:hAnsi="Times New Roman"/>
          <w:color w:val="000000" w:themeColor="text1"/>
          <w:sz w:val="24"/>
          <w:szCs w:val="24"/>
        </w:rPr>
        <w:t>,</w:t>
      </w:r>
      <w:r w:rsidR="00491E0F" w:rsidRPr="00596D1F">
        <w:rPr>
          <w:rFonts w:ascii="Times New Roman" w:hAnsi="Times New Roman"/>
          <w:color w:val="000000" w:themeColor="text1"/>
          <w:sz w:val="24"/>
          <w:szCs w:val="24"/>
        </w:rPr>
        <w:t xml:space="preserve"> evidenciaram diferenças significantes. </w:t>
      </w:r>
    </w:p>
    <w:p w14:paraId="7207E396" w14:textId="39FA9FD1" w:rsidR="00B85F83" w:rsidRPr="00596D1F" w:rsidRDefault="00491E0F" w:rsidP="00BA7B4C">
      <w:pPr>
        <w:autoSpaceDE w:val="0"/>
        <w:autoSpaceDN w:val="0"/>
        <w:adjustRightInd w:val="0"/>
        <w:spacing w:after="0" w:line="240" w:lineRule="auto"/>
        <w:ind w:firstLine="708"/>
        <w:jc w:val="both"/>
        <w:rPr>
          <w:rFonts w:ascii="Times New Roman" w:hAnsi="Times New Roman"/>
          <w:i/>
          <w:color w:val="000000" w:themeColor="text1"/>
          <w:sz w:val="24"/>
          <w:szCs w:val="24"/>
        </w:rPr>
      </w:pPr>
      <w:r w:rsidRPr="00596D1F">
        <w:rPr>
          <w:rFonts w:ascii="Times New Roman" w:hAnsi="Times New Roman"/>
          <w:color w:val="000000" w:themeColor="text1"/>
          <w:sz w:val="24"/>
          <w:szCs w:val="24"/>
        </w:rPr>
        <w:t xml:space="preserve">Assim, </w:t>
      </w:r>
      <w:r w:rsidR="00BA7B4C">
        <w:rPr>
          <w:rFonts w:ascii="Times New Roman" w:hAnsi="Times New Roman"/>
          <w:color w:val="000000" w:themeColor="text1"/>
          <w:sz w:val="24"/>
          <w:szCs w:val="24"/>
        </w:rPr>
        <w:t>constata-se</w:t>
      </w:r>
      <w:r w:rsidRPr="00596D1F">
        <w:rPr>
          <w:rFonts w:ascii="Times New Roman" w:hAnsi="Times New Roman"/>
          <w:color w:val="000000" w:themeColor="text1"/>
          <w:sz w:val="24"/>
          <w:szCs w:val="24"/>
        </w:rPr>
        <w:t xml:space="preserve"> que</w:t>
      </w:r>
      <w:r w:rsidR="00DC534E"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após a implantação da </w:t>
      </w:r>
      <w:r w:rsidR="00CB1329" w:rsidRPr="00596D1F">
        <w:rPr>
          <w:rFonts w:ascii="Times New Roman" w:hAnsi="Times New Roman"/>
          <w:color w:val="000000" w:themeColor="text1"/>
          <w:sz w:val="24"/>
          <w:szCs w:val="24"/>
        </w:rPr>
        <w:t>LAI</w:t>
      </w:r>
      <w:r w:rsidR="00DC534E"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a receita corrente foi, em média, menor que no período anterior a implantação desta </w:t>
      </w:r>
      <w:r w:rsidR="00A6183E">
        <w:rPr>
          <w:rFonts w:ascii="Times New Roman" w:hAnsi="Times New Roman"/>
          <w:color w:val="000000" w:themeColor="text1"/>
          <w:sz w:val="24"/>
          <w:szCs w:val="24"/>
        </w:rPr>
        <w:t>l</w:t>
      </w:r>
      <w:r w:rsidRPr="00596D1F">
        <w:rPr>
          <w:rFonts w:ascii="Times New Roman" w:hAnsi="Times New Roman"/>
          <w:color w:val="000000" w:themeColor="text1"/>
          <w:sz w:val="24"/>
          <w:szCs w:val="24"/>
        </w:rPr>
        <w:t>ei, como também que</w:t>
      </w:r>
      <w:r w:rsidR="00A6183E">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o número de fases processuais diminuiu com a sua vigência. </w:t>
      </w:r>
      <w:r w:rsidR="00CB1329" w:rsidRPr="00596D1F">
        <w:rPr>
          <w:rFonts w:ascii="Times New Roman" w:hAnsi="Times New Roman"/>
          <w:color w:val="000000" w:themeColor="text1"/>
          <w:sz w:val="24"/>
          <w:szCs w:val="24"/>
        </w:rPr>
        <w:t xml:space="preserve">Cabe destacar, </w:t>
      </w:r>
      <w:r w:rsidR="00DC534E" w:rsidRPr="00596D1F">
        <w:rPr>
          <w:rFonts w:ascii="Times New Roman" w:hAnsi="Times New Roman"/>
          <w:color w:val="000000" w:themeColor="text1"/>
          <w:sz w:val="24"/>
          <w:szCs w:val="24"/>
        </w:rPr>
        <w:t>ainda, a partir dos dados da</w:t>
      </w:r>
      <w:r w:rsidR="00B85F83" w:rsidRPr="00596D1F">
        <w:rPr>
          <w:rFonts w:ascii="Times New Roman" w:hAnsi="Times New Roman"/>
          <w:color w:val="000000" w:themeColor="text1"/>
          <w:sz w:val="24"/>
          <w:szCs w:val="24"/>
        </w:rPr>
        <w:t xml:space="preserve"> Tabela 2,</w:t>
      </w:r>
      <w:r w:rsidR="00DC534E" w:rsidRPr="00596D1F">
        <w:rPr>
          <w:rFonts w:ascii="Times New Roman" w:hAnsi="Times New Roman"/>
          <w:color w:val="000000" w:themeColor="text1"/>
          <w:sz w:val="24"/>
          <w:szCs w:val="24"/>
        </w:rPr>
        <w:t xml:space="preserve"> que</w:t>
      </w:r>
      <w:r w:rsidR="00B85F83" w:rsidRPr="00596D1F">
        <w:rPr>
          <w:rFonts w:ascii="Times New Roman" w:hAnsi="Times New Roman"/>
          <w:color w:val="000000" w:themeColor="text1"/>
          <w:sz w:val="24"/>
          <w:szCs w:val="24"/>
        </w:rPr>
        <w:t xml:space="preserve"> as variáveis sanção líquida e receita corrente líquida </w:t>
      </w:r>
      <w:r w:rsidR="009B7E54">
        <w:rPr>
          <w:rFonts w:ascii="Times New Roman" w:hAnsi="Times New Roman"/>
          <w:color w:val="000000" w:themeColor="text1"/>
          <w:sz w:val="24"/>
          <w:szCs w:val="24"/>
        </w:rPr>
        <w:t>indicam</w:t>
      </w:r>
      <w:r w:rsidR="009B7E54" w:rsidRPr="00596D1F">
        <w:rPr>
          <w:rFonts w:ascii="Times New Roman" w:hAnsi="Times New Roman"/>
          <w:color w:val="000000" w:themeColor="text1"/>
          <w:sz w:val="24"/>
          <w:szCs w:val="24"/>
        </w:rPr>
        <w:t xml:space="preserve"> </w:t>
      </w:r>
      <w:r w:rsidR="00B85F83" w:rsidRPr="00596D1F">
        <w:rPr>
          <w:rFonts w:ascii="Times New Roman" w:hAnsi="Times New Roman"/>
          <w:color w:val="000000" w:themeColor="text1"/>
          <w:sz w:val="24"/>
          <w:szCs w:val="24"/>
        </w:rPr>
        <w:t>altos valores de desvio</w:t>
      </w:r>
      <w:r w:rsidR="00CB1329" w:rsidRPr="00596D1F">
        <w:rPr>
          <w:rFonts w:ascii="Times New Roman" w:hAnsi="Times New Roman"/>
          <w:color w:val="000000" w:themeColor="text1"/>
          <w:sz w:val="24"/>
          <w:szCs w:val="24"/>
        </w:rPr>
        <w:t>s-</w:t>
      </w:r>
      <w:r w:rsidR="00B85F83" w:rsidRPr="00596D1F">
        <w:rPr>
          <w:rFonts w:ascii="Times New Roman" w:hAnsi="Times New Roman"/>
          <w:color w:val="000000" w:themeColor="text1"/>
          <w:sz w:val="24"/>
          <w:szCs w:val="24"/>
        </w:rPr>
        <w:t>padr</w:t>
      </w:r>
      <w:r w:rsidR="00CB1329" w:rsidRPr="00596D1F">
        <w:rPr>
          <w:rFonts w:ascii="Times New Roman" w:hAnsi="Times New Roman"/>
          <w:color w:val="000000" w:themeColor="text1"/>
          <w:sz w:val="24"/>
          <w:szCs w:val="24"/>
        </w:rPr>
        <w:t>ões</w:t>
      </w:r>
      <w:r w:rsidR="00B85F83" w:rsidRPr="00596D1F">
        <w:rPr>
          <w:rFonts w:ascii="Times New Roman" w:hAnsi="Times New Roman"/>
          <w:color w:val="000000" w:themeColor="text1"/>
          <w:sz w:val="24"/>
          <w:szCs w:val="24"/>
        </w:rPr>
        <w:t xml:space="preserve">, muito superiores a 1 desvio padrão da média. Logo, infere-se que os dados destas variáveis possuem valores extremos, isto é, </w:t>
      </w:r>
      <w:r w:rsidR="00B85F83" w:rsidRPr="00596D1F">
        <w:rPr>
          <w:rFonts w:ascii="Times New Roman" w:hAnsi="Times New Roman"/>
          <w:i/>
          <w:color w:val="000000" w:themeColor="text1"/>
          <w:sz w:val="24"/>
          <w:szCs w:val="24"/>
        </w:rPr>
        <w:t>outliers.</w:t>
      </w:r>
    </w:p>
    <w:p w14:paraId="33B2E4A8" w14:textId="77777777" w:rsidR="00B85F83" w:rsidRPr="00596D1F" w:rsidRDefault="00B85F8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70FAE1E9" w14:textId="1EE21783" w:rsidR="00016724" w:rsidRPr="00596D1F" w:rsidRDefault="00CB1329" w:rsidP="00A94D74">
      <w:pPr>
        <w:pStyle w:val="Ttulo2"/>
        <w:spacing w:after="120"/>
        <w:ind w:left="578" w:hanging="578"/>
        <w:rPr>
          <w:color w:val="000000" w:themeColor="text1"/>
        </w:rPr>
      </w:pPr>
      <w:r w:rsidRPr="00596D1F">
        <w:rPr>
          <w:color w:val="000000" w:themeColor="text1"/>
        </w:rPr>
        <w:t>Resultado dos modelos econométricos</w:t>
      </w:r>
    </w:p>
    <w:p w14:paraId="63B9A286" w14:textId="5F2A2B32" w:rsidR="00491E0F" w:rsidRDefault="009B7E5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Na</w:t>
      </w:r>
      <w:r w:rsidR="00867EF5" w:rsidRPr="00596D1F">
        <w:rPr>
          <w:rFonts w:ascii="Times New Roman" w:hAnsi="Times New Roman"/>
          <w:color w:val="000000" w:themeColor="text1"/>
          <w:sz w:val="24"/>
          <w:szCs w:val="24"/>
        </w:rPr>
        <w:t xml:space="preserve"> Tabela 3 </w:t>
      </w:r>
      <w:r>
        <w:rPr>
          <w:rFonts w:ascii="Times New Roman" w:hAnsi="Times New Roman"/>
          <w:color w:val="000000" w:themeColor="text1"/>
          <w:sz w:val="24"/>
          <w:szCs w:val="24"/>
        </w:rPr>
        <w:t>demonstram-se</w:t>
      </w:r>
      <w:r w:rsidRPr="00596D1F">
        <w:rPr>
          <w:rFonts w:ascii="Times New Roman" w:hAnsi="Times New Roman"/>
          <w:color w:val="000000" w:themeColor="text1"/>
          <w:sz w:val="24"/>
          <w:szCs w:val="24"/>
        </w:rPr>
        <w:t xml:space="preserve"> </w:t>
      </w:r>
      <w:r w:rsidR="00867EF5" w:rsidRPr="00596D1F">
        <w:rPr>
          <w:rFonts w:ascii="Times New Roman" w:hAnsi="Times New Roman"/>
          <w:color w:val="000000" w:themeColor="text1"/>
          <w:sz w:val="24"/>
          <w:szCs w:val="24"/>
        </w:rPr>
        <w:t xml:space="preserve">os resultados obtidos com a aplicação dos três modelos econométricos apresentados nos procedimentos metodológicos. </w:t>
      </w:r>
      <w:r w:rsidR="00956CDD" w:rsidRPr="00596D1F">
        <w:rPr>
          <w:rFonts w:ascii="Times New Roman" w:hAnsi="Times New Roman"/>
          <w:color w:val="000000" w:themeColor="text1"/>
          <w:sz w:val="24"/>
          <w:szCs w:val="24"/>
        </w:rPr>
        <w:t xml:space="preserve">Ao analisar a relação entre a </w:t>
      </w:r>
      <w:r w:rsidR="00CB1329" w:rsidRPr="00596D1F">
        <w:rPr>
          <w:rFonts w:ascii="Times New Roman" w:hAnsi="Times New Roman"/>
          <w:color w:val="000000" w:themeColor="text1"/>
          <w:sz w:val="24"/>
          <w:szCs w:val="24"/>
        </w:rPr>
        <w:t>LAI</w:t>
      </w:r>
      <w:r w:rsidR="00956CDD" w:rsidRPr="00596D1F">
        <w:rPr>
          <w:rFonts w:ascii="Times New Roman" w:hAnsi="Times New Roman"/>
          <w:color w:val="000000" w:themeColor="text1"/>
          <w:sz w:val="24"/>
          <w:szCs w:val="24"/>
        </w:rPr>
        <w:t xml:space="preserve"> estadual e o valor da sanção, pretende</w:t>
      </w:r>
      <w:r w:rsidR="00DC534E" w:rsidRPr="00596D1F">
        <w:rPr>
          <w:rFonts w:ascii="Times New Roman" w:hAnsi="Times New Roman"/>
          <w:color w:val="000000" w:themeColor="text1"/>
          <w:sz w:val="24"/>
          <w:szCs w:val="24"/>
        </w:rPr>
        <w:t>u</w:t>
      </w:r>
      <w:r w:rsidR="00956CDD" w:rsidRPr="00596D1F">
        <w:rPr>
          <w:rFonts w:ascii="Times New Roman" w:hAnsi="Times New Roman"/>
          <w:color w:val="000000" w:themeColor="text1"/>
          <w:sz w:val="24"/>
          <w:szCs w:val="24"/>
        </w:rPr>
        <w:t xml:space="preserve">-se compreender o comportamento dos agentes públicos em relação </w:t>
      </w:r>
      <w:r w:rsidR="00CB1329" w:rsidRPr="00596D1F">
        <w:rPr>
          <w:rFonts w:ascii="Times New Roman" w:hAnsi="Times New Roman"/>
          <w:color w:val="000000" w:themeColor="text1"/>
          <w:sz w:val="24"/>
          <w:szCs w:val="24"/>
        </w:rPr>
        <w:t>à regra</w:t>
      </w:r>
      <w:r w:rsidR="00956CDD" w:rsidRPr="00596D1F">
        <w:rPr>
          <w:rFonts w:ascii="Times New Roman" w:hAnsi="Times New Roman"/>
          <w:color w:val="000000" w:themeColor="text1"/>
          <w:sz w:val="24"/>
          <w:szCs w:val="24"/>
        </w:rPr>
        <w:t>.</w:t>
      </w:r>
    </w:p>
    <w:p w14:paraId="6FC80948" w14:textId="77777777" w:rsidR="00E37AD7" w:rsidRDefault="00E37AD7"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p>
    <w:p w14:paraId="639CEAAF" w14:textId="254DA9A6" w:rsidR="00956CDD" w:rsidRPr="00D15A99" w:rsidRDefault="00686C9F" w:rsidP="00951F57">
      <w:pPr>
        <w:spacing w:after="0" w:line="240" w:lineRule="auto"/>
        <w:jc w:val="center"/>
        <w:rPr>
          <w:rFonts w:ascii="Times New Roman" w:eastAsia="Times New Roman" w:hAnsi="Times New Roman"/>
          <w:b/>
          <w:bCs/>
          <w:color w:val="000000" w:themeColor="text1"/>
          <w:sz w:val="20"/>
          <w:szCs w:val="20"/>
          <w:lang w:eastAsia="pt-BR"/>
        </w:rPr>
      </w:pPr>
      <w:r w:rsidRPr="00D15A99">
        <w:rPr>
          <w:rFonts w:ascii="Times New Roman" w:hAnsi="Times New Roman"/>
          <w:b/>
          <w:bCs/>
          <w:color w:val="000000" w:themeColor="text1"/>
          <w:sz w:val="20"/>
          <w:szCs w:val="20"/>
        </w:rPr>
        <w:t>Tabela 3</w:t>
      </w:r>
      <w:r w:rsidR="00D15A99" w:rsidRPr="00D15A99">
        <w:rPr>
          <w:rFonts w:ascii="Times New Roman" w:hAnsi="Times New Roman"/>
          <w:b/>
          <w:bCs/>
          <w:color w:val="000000" w:themeColor="text1"/>
          <w:sz w:val="20"/>
          <w:szCs w:val="20"/>
        </w:rPr>
        <w:t xml:space="preserve"> -</w:t>
      </w:r>
      <w:r w:rsidR="008C0E0A" w:rsidRPr="00D15A99">
        <w:rPr>
          <w:rFonts w:ascii="Times New Roman" w:hAnsi="Times New Roman"/>
          <w:b/>
          <w:bCs/>
          <w:color w:val="000000" w:themeColor="text1"/>
          <w:sz w:val="20"/>
          <w:szCs w:val="20"/>
        </w:rPr>
        <w:t>Resultado dos modelos</w:t>
      </w:r>
    </w:p>
    <w:tbl>
      <w:tblPr>
        <w:tblW w:w="5000" w:type="pct"/>
        <w:tblCellMar>
          <w:left w:w="70" w:type="dxa"/>
          <w:right w:w="70" w:type="dxa"/>
        </w:tblCellMar>
        <w:tblLook w:val="04A0" w:firstRow="1" w:lastRow="0" w:firstColumn="1" w:lastColumn="0" w:noHBand="0" w:noVBand="1"/>
      </w:tblPr>
      <w:tblGrid>
        <w:gridCol w:w="1798"/>
        <w:gridCol w:w="1157"/>
        <w:gridCol w:w="1690"/>
        <w:gridCol w:w="1107"/>
        <w:gridCol w:w="1090"/>
        <w:gridCol w:w="1139"/>
        <w:gridCol w:w="1090"/>
      </w:tblGrid>
      <w:tr w:rsidR="00596D1F" w:rsidRPr="00596D1F" w14:paraId="3E507179" w14:textId="77777777" w:rsidTr="0061413A">
        <w:trPr>
          <w:trHeight w:val="20"/>
        </w:trPr>
        <w:tc>
          <w:tcPr>
            <w:tcW w:w="1005" w:type="pct"/>
            <w:tcBorders>
              <w:top w:val="single" w:sz="12" w:space="0" w:color="auto"/>
              <w:bottom w:val="nil"/>
              <w:right w:val="single" w:sz="4" w:space="0" w:color="auto"/>
            </w:tcBorders>
            <w:shd w:val="clear" w:color="auto" w:fill="auto"/>
            <w:noWrap/>
            <w:vAlign w:val="bottom"/>
            <w:hideMark/>
          </w:tcPr>
          <w:p w14:paraId="15E42D05"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Variáveis</w:t>
            </w:r>
          </w:p>
        </w:tc>
        <w:tc>
          <w:tcPr>
            <w:tcW w:w="1545" w:type="pct"/>
            <w:gridSpan w:val="2"/>
            <w:tcBorders>
              <w:top w:val="single" w:sz="12" w:space="0" w:color="auto"/>
              <w:left w:val="nil"/>
              <w:bottom w:val="single" w:sz="4" w:space="0" w:color="auto"/>
              <w:right w:val="single" w:sz="4" w:space="0" w:color="auto"/>
            </w:tcBorders>
            <w:shd w:val="clear" w:color="auto" w:fill="auto"/>
            <w:vAlign w:val="bottom"/>
            <w:hideMark/>
          </w:tcPr>
          <w:p w14:paraId="6D9FCC71"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Modelo</w:t>
            </w:r>
            <w:r w:rsidR="0061413A" w:rsidRPr="00596D1F">
              <w:rPr>
                <w:rFonts w:ascii="Times New Roman" w:eastAsia="Times New Roman" w:hAnsi="Times New Roman"/>
                <w:color w:val="000000" w:themeColor="text1"/>
                <w:sz w:val="20"/>
                <w:szCs w:val="20"/>
                <w:lang w:eastAsia="pt-BR"/>
              </w:rPr>
              <w:t xml:space="preserve"> 1 -</w:t>
            </w:r>
            <w:r w:rsidRPr="00596D1F">
              <w:rPr>
                <w:rFonts w:ascii="Times New Roman" w:eastAsia="Times New Roman" w:hAnsi="Times New Roman"/>
                <w:color w:val="000000" w:themeColor="text1"/>
                <w:sz w:val="20"/>
                <w:szCs w:val="20"/>
                <w:lang w:eastAsia="pt-BR"/>
              </w:rPr>
              <w:t xml:space="preserve"> Geral</w:t>
            </w:r>
          </w:p>
        </w:tc>
        <w:tc>
          <w:tcPr>
            <w:tcW w:w="1205" w:type="pct"/>
            <w:gridSpan w:val="2"/>
            <w:tcBorders>
              <w:top w:val="single" w:sz="12" w:space="0" w:color="auto"/>
              <w:left w:val="nil"/>
              <w:bottom w:val="single" w:sz="4" w:space="0" w:color="auto"/>
              <w:right w:val="single" w:sz="4" w:space="0" w:color="auto"/>
            </w:tcBorders>
            <w:shd w:val="clear" w:color="auto" w:fill="auto"/>
            <w:vAlign w:val="bottom"/>
            <w:hideMark/>
          </w:tcPr>
          <w:p w14:paraId="2672EAA9"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Modelo</w:t>
            </w:r>
            <w:r w:rsidR="0061413A" w:rsidRPr="00596D1F">
              <w:rPr>
                <w:rFonts w:ascii="Times New Roman" w:eastAsia="Times New Roman" w:hAnsi="Times New Roman"/>
                <w:color w:val="000000" w:themeColor="text1"/>
                <w:sz w:val="20"/>
                <w:szCs w:val="20"/>
                <w:lang w:eastAsia="pt-BR"/>
              </w:rPr>
              <w:t xml:space="preserve"> 2 -</w:t>
            </w:r>
            <w:r w:rsidRPr="00596D1F">
              <w:rPr>
                <w:rFonts w:ascii="Times New Roman" w:eastAsia="Times New Roman" w:hAnsi="Times New Roman"/>
                <w:color w:val="000000" w:themeColor="text1"/>
                <w:sz w:val="20"/>
                <w:szCs w:val="20"/>
                <w:lang w:eastAsia="pt-BR"/>
              </w:rPr>
              <w:t xml:space="preserve"> Débito</w:t>
            </w:r>
          </w:p>
        </w:tc>
        <w:tc>
          <w:tcPr>
            <w:tcW w:w="1244" w:type="pct"/>
            <w:gridSpan w:val="2"/>
            <w:tcBorders>
              <w:top w:val="single" w:sz="12" w:space="0" w:color="auto"/>
              <w:left w:val="nil"/>
              <w:bottom w:val="single" w:sz="4" w:space="0" w:color="auto"/>
            </w:tcBorders>
            <w:shd w:val="clear" w:color="auto" w:fill="auto"/>
            <w:vAlign w:val="bottom"/>
            <w:hideMark/>
          </w:tcPr>
          <w:p w14:paraId="21A1268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Modelo </w:t>
            </w:r>
            <w:r w:rsidR="0061413A" w:rsidRPr="00596D1F">
              <w:rPr>
                <w:rFonts w:ascii="Times New Roman" w:eastAsia="Times New Roman" w:hAnsi="Times New Roman"/>
                <w:color w:val="000000" w:themeColor="text1"/>
                <w:sz w:val="20"/>
                <w:szCs w:val="20"/>
                <w:lang w:eastAsia="pt-BR"/>
              </w:rPr>
              <w:t>3 -</w:t>
            </w:r>
            <w:r w:rsidR="00165FEA" w:rsidRPr="00596D1F">
              <w:rPr>
                <w:rFonts w:ascii="Times New Roman" w:eastAsia="Times New Roman" w:hAnsi="Times New Roman"/>
                <w:color w:val="000000" w:themeColor="text1"/>
                <w:sz w:val="20"/>
                <w:szCs w:val="20"/>
                <w:lang w:eastAsia="pt-BR"/>
              </w:rPr>
              <w:t xml:space="preserve"> </w:t>
            </w:r>
            <w:r w:rsidRPr="00596D1F">
              <w:rPr>
                <w:rFonts w:ascii="Times New Roman" w:eastAsia="Times New Roman" w:hAnsi="Times New Roman"/>
                <w:color w:val="000000" w:themeColor="text1"/>
                <w:sz w:val="20"/>
                <w:szCs w:val="20"/>
                <w:lang w:eastAsia="pt-BR"/>
              </w:rPr>
              <w:t xml:space="preserve">Multa </w:t>
            </w:r>
          </w:p>
        </w:tc>
      </w:tr>
      <w:tr w:rsidR="00596D1F" w:rsidRPr="00596D1F" w14:paraId="5ED95DD3"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2F1DF3A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628" w:type="pct"/>
            <w:tcBorders>
              <w:top w:val="nil"/>
              <w:left w:val="single" w:sz="4" w:space="0" w:color="auto"/>
              <w:bottom w:val="single" w:sz="4" w:space="0" w:color="auto"/>
              <w:right w:val="single" w:sz="4" w:space="0" w:color="auto"/>
            </w:tcBorders>
            <w:shd w:val="clear" w:color="auto" w:fill="auto"/>
            <w:noWrap/>
            <w:vAlign w:val="bottom"/>
            <w:hideMark/>
          </w:tcPr>
          <w:p w14:paraId="2B19B041"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Coeficiente</w:t>
            </w:r>
          </w:p>
        </w:tc>
        <w:tc>
          <w:tcPr>
            <w:tcW w:w="917" w:type="pct"/>
            <w:tcBorders>
              <w:top w:val="nil"/>
              <w:left w:val="nil"/>
              <w:bottom w:val="single" w:sz="4" w:space="0" w:color="auto"/>
              <w:right w:val="single" w:sz="4" w:space="0" w:color="auto"/>
            </w:tcBorders>
            <w:shd w:val="clear" w:color="auto" w:fill="auto"/>
            <w:noWrap/>
            <w:vAlign w:val="bottom"/>
            <w:hideMark/>
          </w:tcPr>
          <w:p w14:paraId="138B6BE2"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Erro padrão</w:t>
            </w:r>
          </w:p>
        </w:tc>
        <w:tc>
          <w:tcPr>
            <w:tcW w:w="613" w:type="pct"/>
            <w:tcBorders>
              <w:top w:val="nil"/>
              <w:left w:val="nil"/>
              <w:bottom w:val="single" w:sz="4" w:space="0" w:color="auto"/>
              <w:right w:val="single" w:sz="4" w:space="0" w:color="auto"/>
            </w:tcBorders>
            <w:shd w:val="clear" w:color="auto" w:fill="auto"/>
            <w:noWrap/>
            <w:vAlign w:val="bottom"/>
            <w:hideMark/>
          </w:tcPr>
          <w:p w14:paraId="66B66E67"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Coeficiente</w:t>
            </w:r>
          </w:p>
        </w:tc>
        <w:tc>
          <w:tcPr>
            <w:tcW w:w="592" w:type="pct"/>
            <w:tcBorders>
              <w:top w:val="nil"/>
              <w:left w:val="nil"/>
              <w:bottom w:val="single" w:sz="4" w:space="0" w:color="auto"/>
              <w:right w:val="single" w:sz="4" w:space="0" w:color="auto"/>
            </w:tcBorders>
            <w:shd w:val="clear" w:color="auto" w:fill="auto"/>
            <w:noWrap/>
            <w:vAlign w:val="bottom"/>
            <w:hideMark/>
          </w:tcPr>
          <w:p w14:paraId="7FB6532F"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Erro padrão</w:t>
            </w:r>
          </w:p>
        </w:tc>
        <w:tc>
          <w:tcPr>
            <w:tcW w:w="652" w:type="pct"/>
            <w:tcBorders>
              <w:top w:val="nil"/>
              <w:left w:val="nil"/>
              <w:bottom w:val="single" w:sz="4" w:space="0" w:color="auto"/>
              <w:right w:val="single" w:sz="4" w:space="0" w:color="auto"/>
            </w:tcBorders>
            <w:shd w:val="clear" w:color="auto" w:fill="auto"/>
            <w:noWrap/>
            <w:vAlign w:val="bottom"/>
            <w:hideMark/>
          </w:tcPr>
          <w:p w14:paraId="10A23640"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Coeficiente</w:t>
            </w:r>
          </w:p>
        </w:tc>
        <w:tc>
          <w:tcPr>
            <w:tcW w:w="592" w:type="pct"/>
            <w:tcBorders>
              <w:top w:val="nil"/>
              <w:left w:val="nil"/>
              <w:bottom w:val="single" w:sz="4" w:space="0" w:color="auto"/>
            </w:tcBorders>
            <w:shd w:val="clear" w:color="auto" w:fill="auto"/>
            <w:noWrap/>
            <w:vAlign w:val="bottom"/>
            <w:hideMark/>
          </w:tcPr>
          <w:p w14:paraId="3A07F89C"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Erro padrão</w:t>
            </w:r>
          </w:p>
        </w:tc>
      </w:tr>
      <w:tr w:rsidR="00596D1F" w:rsidRPr="00596D1F" w14:paraId="5DACBC48" w14:textId="77777777" w:rsidTr="0061413A">
        <w:trPr>
          <w:trHeight w:val="20"/>
        </w:trPr>
        <w:tc>
          <w:tcPr>
            <w:tcW w:w="1005" w:type="pct"/>
            <w:tcBorders>
              <w:top w:val="single" w:sz="4" w:space="0" w:color="auto"/>
              <w:bottom w:val="single" w:sz="4" w:space="0" w:color="auto"/>
              <w:right w:val="single" w:sz="4" w:space="0" w:color="auto"/>
            </w:tcBorders>
            <w:shd w:val="clear" w:color="auto" w:fill="auto"/>
            <w:noWrap/>
            <w:vAlign w:val="bottom"/>
            <w:hideMark/>
          </w:tcPr>
          <w:p w14:paraId="53F149BC" w14:textId="7B676BE6"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proofErr w:type="spellStart"/>
            <w:r w:rsidRPr="00596D1F">
              <w:rPr>
                <w:rFonts w:ascii="Times New Roman" w:eastAsia="Times New Roman" w:hAnsi="Times New Roman"/>
                <w:color w:val="000000" w:themeColor="text1"/>
                <w:sz w:val="20"/>
                <w:szCs w:val="20"/>
                <w:lang w:eastAsia="pt-BR"/>
              </w:rPr>
              <w:t>Lei</w:t>
            </w:r>
            <w:r w:rsidR="00D22D49">
              <w:rPr>
                <w:rFonts w:ascii="Times New Roman" w:eastAsia="Times New Roman" w:hAnsi="Times New Roman"/>
                <w:color w:val="000000" w:themeColor="text1"/>
                <w:sz w:val="20"/>
                <w:szCs w:val="20"/>
                <w:lang w:eastAsia="pt-BR"/>
              </w:rPr>
              <w:t>transp</w:t>
            </w:r>
            <w:proofErr w:type="spellEnd"/>
          </w:p>
        </w:tc>
        <w:tc>
          <w:tcPr>
            <w:tcW w:w="628" w:type="pct"/>
            <w:tcBorders>
              <w:top w:val="nil"/>
              <w:left w:val="nil"/>
              <w:bottom w:val="single" w:sz="4" w:space="0" w:color="auto"/>
              <w:right w:val="single" w:sz="4" w:space="0" w:color="auto"/>
            </w:tcBorders>
            <w:shd w:val="clear" w:color="auto" w:fill="auto"/>
            <w:noWrap/>
            <w:vAlign w:val="bottom"/>
            <w:hideMark/>
          </w:tcPr>
          <w:p w14:paraId="6AA68238"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0,2279***</w:t>
            </w:r>
          </w:p>
        </w:tc>
        <w:tc>
          <w:tcPr>
            <w:tcW w:w="917" w:type="pct"/>
            <w:tcBorders>
              <w:top w:val="nil"/>
              <w:left w:val="nil"/>
              <w:bottom w:val="single" w:sz="4" w:space="0" w:color="auto"/>
              <w:right w:val="single" w:sz="4" w:space="0" w:color="auto"/>
            </w:tcBorders>
            <w:shd w:val="clear" w:color="auto" w:fill="auto"/>
            <w:noWrap/>
            <w:vAlign w:val="bottom"/>
            <w:hideMark/>
          </w:tcPr>
          <w:p w14:paraId="10DE7EC8"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0,0188 </w:t>
            </w:r>
          </w:p>
        </w:tc>
        <w:tc>
          <w:tcPr>
            <w:tcW w:w="613" w:type="pct"/>
            <w:tcBorders>
              <w:top w:val="nil"/>
              <w:left w:val="nil"/>
              <w:bottom w:val="single" w:sz="4" w:space="0" w:color="auto"/>
              <w:right w:val="single" w:sz="4" w:space="0" w:color="auto"/>
            </w:tcBorders>
            <w:shd w:val="clear" w:color="auto" w:fill="auto"/>
            <w:noWrap/>
            <w:vAlign w:val="bottom"/>
            <w:hideMark/>
          </w:tcPr>
          <w:p w14:paraId="42B2695E"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0,8853***</w:t>
            </w:r>
          </w:p>
        </w:tc>
        <w:tc>
          <w:tcPr>
            <w:tcW w:w="592" w:type="pct"/>
            <w:tcBorders>
              <w:top w:val="nil"/>
              <w:left w:val="nil"/>
              <w:bottom w:val="single" w:sz="4" w:space="0" w:color="auto"/>
              <w:right w:val="single" w:sz="4" w:space="0" w:color="auto"/>
            </w:tcBorders>
            <w:shd w:val="clear" w:color="auto" w:fill="auto"/>
            <w:noWrap/>
            <w:vAlign w:val="bottom"/>
            <w:hideMark/>
          </w:tcPr>
          <w:p w14:paraId="51810327"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0,0719</w:t>
            </w:r>
          </w:p>
        </w:tc>
        <w:tc>
          <w:tcPr>
            <w:tcW w:w="652" w:type="pct"/>
            <w:tcBorders>
              <w:top w:val="nil"/>
              <w:left w:val="nil"/>
              <w:bottom w:val="single" w:sz="4" w:space="0" w:color="auto"/>
              <w:right w:val="single" w:sz="4" w:space="0" w:color="auto"/>
            </w:tcBorders>
            <w:shd w:val="clear" w:color="auto" w:fill="auto"/>
            <w:noWrap/>
            <w:vAlign w:val="bottom"/>
            <w:hideMark/>
          </w:tcPr>
          <w:p w14:paraId="5D62DE5C"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0,0726***</w:t>
            </w:r>
          </w:p>
        </w:tc>
        <w:tc>
          <w:tcPr>
            <w:tcW w:w="592" w:type="pct"/>
            <w:tcBorders>
              <w:top w:val="nil"/>
              <w:left w:val="nil"/>
              <w:bottom w:val="single" w:sz="4" w:space="0" w:color="auto"/>
            </w:tcBorders>
            <w:shd w:val="clear" w:color="auto" w:fill="auto"/>
            <w:noWrap/>
            <w:vAlign w:val="bottom"/>
            <w:hideMark/>
          </w:tcPr>
          <w:p w14:paraId="34F95E8B"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0,0140</w:t>
            </w:r>
          </w:p>
        </w:tc>
      </w:tr>
      <w:tr w:rsidR="00596D1F" w:rsidRPr="00596D1F" w14:paraId="5A4EB968"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46C0026D"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proofErr w:type="spellStart"/>
            <w:r w:rsidRPr="00596D1F">
              <w:rPr>
                <w:rFonts w:ascii="Times New Roman" w:eastAsia="Times New Roman" w:hAnsi="Times New Roman"/>
                <w:color w:val="000000" w:themeColor="text1"/>
                <w:sz w:val="20"/>
                <w:szCs w:val="20"/>
                <w:lang w:eastAsia="pt-BR"/>
              </w:rPr>
              <w:t>ln_rclpercapta</w:t>
            </w:r>
            <w:proofErr w:type="spellEnd"/>
          </w:p>
        </w:tc>
        <w:tc>
          <w:tcPr>
            <w:tcW w:w="628" w:type="pct"/>
            <w:tcBorders>
              <w:top w:val="nil"/>
              <w:left w:val="nil"/>
              <w:bottom w:val="single" w:sz="4" w:space="0" w:color="auto"/>
              <w:right w:val="single" w:sz="4" w:space="0" w:color="auto"/>
            </w:tcBorders>
            <w:shd w:val="clear" w:color="auto" w:fill="auto"/>
            <w:noWrap/>
            <w:vAlign w:val="bottom"/>
            <w:hideMark/>
          </w:tcPr>
          <w:p w14:paraId="4F29FB7E"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-0,0696***</w:t>
            </w:r>
          </w:p>
        </w:tc>
        <w:tc>
          <w:tcPr>
            <w:tcW w:w="917" w:type="pct"/>
            <w:tcBorders>
              <w:top w:val="nil"/>
              <w:left w:val="nil"/>
              <w:bottom w:val="single" w:sz="4" w:space="0" w:color="auto"/>
              <w:right w:val="single" w:sz="4" w:space="0" w:color="auto"/>
            </w:tcBorders>
            <w:shd w:val="clear" w:color="auto" w:fill="auto"/>
            <w:noWrap/>
            <w:vAlign w:val="bottom"/>
            <w:hideMark/>
          </w:tcPr>
          <w:p w14:paraId="18A20032"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0,0062 </w:t>
            </w:r>
          </w:p>
        </w:tc>
        <w:tc>
          <w:tcPr>
            <w:tcW w:w="613" w:type="pct"/>
            <w:tcBorders>
              <w:top w:val="nil"/>
              <w:left w:val="nil"/>
              <w:bottom w:val="single" w:sz="4" w:space="0" w:color="auto"/>
              <w:right w:val="single" w:sz="4" w:space="0" w:color="auto"/>
            </w:tcBorders>
            <w:shd w:val="clear" w:color="auto" w:fill="auto"/>
            <w:noWrap/>
            <w:vAlign w:val="bottom"/>
            <w:hideMark/>
          </w:tcPr>
          <w:p w14:paraId="19EE3577"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-0,1021***</w:t>
            </w:r>
          </w:p>
        </w:tc>
        <w:tc>
          <w:tcPr>
            <w:tcW w:w="592" w:type="pct"/>
            <w:tcBorders>
              <w:top w:val="nil"/>
              <w:left w:val="nil"/>
              <w:bottom w:val="single" w:sz="4" w:space="0" w:color="auto"/>
              <w:right w:val="single" w:sz="4" w:space="0" w:color="auto"/>
            </w:tcBorders>
            <w:shd w:val="clear" w:color="auto" w:fill="auto"/>
            <w:noWrap/>
            <w:vAlign w:val="bottom"/>
            <w:hideMark/>
          </w:tcPr>
          <w:p w14:paraId="6285CBA7"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0,0296</w:t>
            </w:r>
          </w:p>
        </w:tc>
        <w:tc>
          <w:tcPr>
            <w:tcW w:w="652" w:type="pct"/>
            <w:tcBorders>
              <w:top w:val="nil"/>
              <w:left w:val="nil"/>
              <w:bottom w:val="single" w:sz="4" w:space="0" w:color="auto"/>
              <w:right w:val="single" w:sz="4" w:space="0" w:color="auto"/>
            </w:tcBorders>
            <w:shd w:val="clear" w:color="auto" w:fill="auto"/>
            <w:noWrap/>
            <w:vAlign w:val="bottom"/>
            <w:hideMark/>
          </w:tcPr>
          <w:p w14:paraId="41E2B310"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-0,0587***</w:t>
            </w:r>
          </w:p>
        </w:tc>
        <w:tc>
          <w:tcPr>
            <w:tcW w:w="592" w:type="pct"/>
            <w:tcBorders>
              <w:top w:val="nil"/>
              <w:left w:val="nil"/>
              <w:bottom w:val="single" w:sz="4" w:space="0" w:color="auto"/>
            </w:tcBorders>
            <w:shd w:val="clear" w:color="auto" w:fill="auto"/>
            <w:noWrap/>
            <w:vAlign w:val="bottom"/>
            <w:hideMark/>
          </w:tcPr>
          <w:p w14:paraId="30FC4E25"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0,0041</w:t>
            </w:r>
          </w:p>
        </w:tc>
      </w:tr>
      <w:tr w:rsidR="00596D1F" w:rsidRPr="00596D1F" w14:paraId="1A88DBC3"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192BAE10"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Prefeitura</w:t>
            </w:r>
          </w:p>
        </w:tc>
        <w:tc>
          <w:tcPr>
            <w:tcW w:w="628" w:type="pct"/>
            <w:tcBorders>
              <w:top w:val="nil"/>
              <w:left w:val="nil"/>
              <w:bottom w:val="single" w:sz="4" w:space="0" w:color="auto"/>
              <w:right w:val="single" w:sz="4" w:space="0" w:color="auto"/>
            </w:tcBorders>
            <w:shd w:val="clear" w:color="auto" w:fill="auto"/>
            <w:noWrap/>
            <w:vAlign w:val="bottom"/>
            <w:hideMark/>
          </w:tcPr>
          <w:p w14:paraId="3BC16924"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-0,4219***</w:t>
            </w:r>
          </w:p>
        </w:tc>
        <w:tc>
          <w:tcPr>
            <w:tcW w:w="917" w:type="pct"/>
            <w:tcBorders>
              <w:top w:val="nil"/>
              <w:left w:val="nil"/>
              <w:bottom w:val="single" w:sz="4" w:space="0" w:color="auto"/>
              <w:right w:val="single" w:sz="4" w:space="0" w:color="auto"/>
            </w:tcBorders>
            <w:shd w:val="clear" w:color="auto" w:fill="auto"/>
            <w:noWrap/>
            <w:vAlign w:val="bottom"/>
            <w:hideMark/>
          </w:tcPr>
          <w:p w14:paraId="05EB4EF1"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0,0336 </w:t>
            </w:r>
          </w:p>
        </w:tc>
        <w:tc>
          <w:tcPr>
            <w:tcW w:w="613" w:type="pct"/>
            <w:tcBorders>
              <w:top w:val="nil"/>
              <w:left w:val="nil"/>
              <w:bottom w:val="single" w:sz="4" w:space="0" w:color="auto"/>
              <w:right w:val="single" w:sz="4" w:space="0" w:color="auto"/>
            </w:tcBorders>
            <w:shd w:val="clear" w:color="auto" w:fill="auto"/>
            <w:noWrap/>
            <w:vAlign w:val="bottom"/>
            <w:hideMark/>
          </w:tcPr>
          <w:p w14:paraId="2F402441"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-0,6325***</w:t>
            </w:r>
          </w:p>
        </w:tc>
        <w:tc>
          <w:tcPr>
            <w:tcW w:w="592" w:type="pct"/>
            <w:tcBorders>
              <w:top w:val="nil"/>
              <w:left w:val="nil"/>
              <w:bottom w:val="single" w:sz="4" w:space="0" w:color="auto"/>
              <w:right w:val="single" w:sz="4" w:space="0" w:color="auto"/>
            </w:tcBorders>
            <w:shd w:val="clear" w:color="auto" w:fill="auto"/>
            <w:noWrap/>
            <w:vAlign w:val="bottom"/>
            <w:hideMark/>
          </w:tcPr>
          <w:p w14:paraId="4ABBAE00"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0,0989</w:t>
            </w:r>
          </w:p>
        </w:tc>
        <w:tc>
          <w:tcPr>
            <w:tcW w:w="652" w:type="pct"/>
            <w:tcBorders>
              <w:top w:val="nil"/>
              <w:left w:val="nil"/>
              <w:bottom w:val="single" w:sz="4" w:space="0" w:color="auto"/>
              <w:right w:val="single" w:sz="4" w:space="0" w:color="auto"/>
            </w:tcBorders>
            <w:shd w:val="clear" w:color="auto" w:fill="auto"/>
            <w:noWrap/>
            <w:vAlign w:val="bottom"/>
            <w:hideMark/>
          </w:tcPr>
          <w:p w14:paraId="1D0F0E6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0,0394</w:t>
            </w:r>
          </w:p>
        </w:tc>
        <w:tc>
          <w:tcPr>
            <w:tcW w:w="592" w:type="pct"/>
            <w:tcBorders>
              <w:top w:val="nil"/>
              <w:left w:val="nil"/>
              <w:bottom w:val="single" w:sz="4" w:space="0" w:color="auto"/>
            </w:tcBorders>
            <w:shd w:val="clear" w:color="auto" w:fill="auto"/>
            <w:noWrap/>
            <w:vAlign w:val="bottom"/>
            <w:hideMark/>
          </w:tcPr>
          <w:p w14:paraId="65A8DF3C"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0,0250</w:t>
            </w:r>
          </w:p>
        </w:tc>
      </w:tr>
      <w:tr w:rsidR="00596D1F" w:rsidRPr="00596D1F" w14:paraId="4A531B46"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0F638EF3"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Autarquia</w:t>
            </w:r>
          </w:p>
        </w:tc>
        <w:tc>
          <w:tcPr>
            <w:tcW w:w="628" w:type="pct"/>
            <w:tcBorders>
              <w:top w:val="nil"/>
              <w:left w:val="nil"/>
              <w:bottom w:val="single" w:sz="4" w:space="0" w:color="auto"/>
              <w:right w:val="single" w:sz="4" w:space="0" w:color="auto"/>
            </w:tcBorders>
            <w:shd w:val="clear" w:color="auto" w:fill="auto"/>
            <w:noWrap/>
            <w:vAlign w:val="bottom"/>
            <w:hideMark/>
          </w:tcPr>
          <w:p w14:paraId="796FC236"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-0,4059***</w:t>
            </w:r>
          </w:p>
        </w:tc>
        <w:tc>
          <w:tcPr>
            <w:tcW w:w="917" w:type="pct"/>
            <w:tcBorders>
              <w:top w:val="nil"/>
              <w:left w:val="nil"/>
              <w:bottom w:val="single" w:sz="4" w:space="0" w:color="auto"/>
              <w:right w:val="single" w:sz="4" w:space="0" w:color="auto"/>
            </w:tcBorders>
            <w:shd w:val="clear" w:color="auto" w:fill="auto"/>
            <w:noWrap/>
            <w:vAlign w:val="bottom"/>
            <w:hideMark/>
          </w:tcPr>
          <w:p w14:paraId="4F7A8BD3"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0,0338 </w:t>
            </w:r>
          </w:p>
        </w:tc>
        <w:tc>
          <w:tcPr>
            <w:tcW w:w="613" w:type="pct"/>
            <w:tcBorders>
              <w:top w:val="nil"/>
              <w:left w:val="nil"/>
              <w:bottom w:val="single" w:sz="4" w:space="0" w:color="auto"/>
              <w:right w:val="single" w:sz="4" w:space="0" w:color="auto"/>
            </w:tcBorders>
            <w:shd w:val="clear" w:color="auto" w:fill="auto"/>
            <w:noWrap/>
            <w:vAlign w:val="bottom"/>
            <w:hideMark/>
          </w:tcPr>
          <w:p w14:paraId="2B530162"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-0,3886***</w:t>
            </w:r>
          </w:p>
        </w:tc>
        <w:tc>
          <w:tcPr>
            <w:tcW w:w="592" w:type="pct"/>
            <w:tcBorders>
              <w:top w:val="nil"/>
              <w:left w:val="nil"/>
              <w:bottom w:val="single" w:sz="4" w:space="0" w:color="auto"/>
              <w:right w:val="single" w:sz="4" w:space="0" w:color="auto"/>
            </w:tcBorders>
            <w:shd w:val="clear" w:color="auto" w:fill="auto"/>
            <w:noWrap/>
            <w:vAlign w:val="bottom"/>
            <w:hideMark/>
          </w:tcPr>
          <w:p w14:paraId="2A68DD60"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0,0914</w:t>
            </w:r>
          </w:p>
        </w:tc>
        <w:tc>
          <w:tcPr>
            <w:tcW w:w="652" w:type="pct"/>
            <w:tcBorders>
              <w:top w:val="nil"/>
              <w:left w:val="nil"/>
              <w:bottom w:val="single" w:sz="4" w:space="0" w:color="auto"/>
              <w:right w:val="single" w:sz="4" w:space="0" w:color="auto"/>
            </w:tcBorders>
            <w:shd w:val="clear" w:color="auto" w:fill="auto"/>
            <w:noWrap/>
            <w:vAlign w:val="bottom"/>
            <w:hideMark/>
          </w:tcPr>
          <w:p w14:paraId="14017E60"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-0,0638**</w:t>
            </w:r>
          </w:p>
        </w:tc>
        <w:tc>
          <w:tcPr>
            <w:tcW w:w="592" w:type="pct"/>
            <w:tcBorders>
              <w:top w:val="nil"/>
              <w:left w:val="nil"/>
              <w:bottom w:val="single" w:sz="4" w:space="0" w:color="auto"/>
            </w:tcBorders>
            <w:shd w:val="clear" w:color="auto" w:fill="auto"/>
            <w:noWrap/>
            <w:vAlign w:val="bottom"/>
            <w:hideMark/>
          </w:tcPr>
          <w:p w14:paraId="1859DBD4"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0,0261</w:t>
            </w:r>
          </w:p>
        </w:tc>
      </w:tr>
      <w:tr w:rsidR="00596D1F" w:rsidRPr="00596D1F" w14:paraId="7F960832"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714A1C4D"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proofErr w:type="spellStart"/>
            <w:r w:rsidRPr="00596D1F">
              <w:rPr>
                <w:rFonts w:ascii="Times New Roman" w:eastAsia="Times New Roman" w:hAnsi="Times New Roman"/>
                <w:color w:val="000000" w:themeColor="text1"/>
                <w:sz w:val="20"/>
                <w:szCs w:val="20"/>
                <w:lang w:eastAsia="pt-BR"/>
              </w:rPr>
              <w:t>numeroFase</w:t>
            </w:r>
            <w:proofErr w:type="spellEnd"/>
          </w:p>
        </w:tc>
        <w:tc>
          <w:tcPr>
            <w:tcW w:w="628" w:type="pct"/>
            <w:tcBorders>
              <w:top w:val="nil"/>
              <w:left w:val="nil"/>
              <w:bottom w:val="single" w:sz="4" w:space="0" w:color="auto"/>
              <w:right w:val="single" w:sz="4" w:space="0" w:color="auto"/>
            </w:tcBorders>
            <w:shd w:val="clear" w:color="auto" w:fill="auto"/>
            <w:noWrap/>
            <w:vAlign w:val="bottom"/>
            <w:hideMark/>
          </w:tcPr>
          <w:p w14:paraId="432CA7F0"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0,1035***</w:t>
            </w:r>
          </w:p>
        </w:tc>
        <w:tc>
          <w:tcPr>
            <w:tcW w:w="917" w:type="pct"/>
            <w:tcBorders>
              <w:top w:val="nil"/>
              <w:left w:val="nil"/>
              <w:bottom w:val="single" w:sz="4" w:space="0" w:color="auto"/>
              <w:right w:val="single" w:sz="4" w:space="0" w:color="auto"/>
            </w:tcBorders>
            <w:shd w:val="clear" w:color="auto" w:fill="auto"/>
            <w:noWrap/>
            <w:vAlign w:val="bottom"/>
            <w:hideMark/>
          </w:tcPr>
          <w:p w14:paraId="233386A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0,0129 </w:t>
            </w:r>
          </w:p>
        </w:tc>
        <w:tc>
          <w:tcPr>
            <w:tcW w:w="613" w:type="pct"/>
            <w:tcBorders>
              <w:top w:val="nil"/>
              <w:left w:val="nil"/>
              <w:bottom w:val="single" w:sz="4" w:space="0" w:color="auto"/>
              <w:right w:val="single" w:sz="4" w:space="0" w:color="auto"/>
            </w:tcBorders>
            <w:shd w:val="clear" w:color="auto" w:fill="auto"/>
            <w:noWrap/>
            <w:vAlign w:val="bottom"/>
            <w:hideMark/>
          </w:tcPr>
          <w:p w14:paraId="0AC217D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-0,2704***</w:t>
            </w:r>
          </w:p>
        </w:tc>
        <w:tc>
          <w:tcPr>
            <w:tcW w:w="592" w:type="pct"/>
            <w:tcBorders>
              <w:top w:val="nil"/>
              <w:left w:val="nil"/>
              <w:bottom w:val="single" w:sz="4" w:space="0" w:color="auto"/>
              <w:right w:val="single" w:sz="4" w:space="0" w:color="auto"/>
            </w:tcBorders>
            <w:shd w:val="clear" w:color="auto" w:fill="auto"/>
            <w:noWrap/>
            <w:vAlign w:val="bottom"/>
            <w:hideMark/>
          </w:tcPr>
          <w:p w14:paraId="5319D5D8"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0,0430</w:t>
            </w:r>
          </w:p>
        </w:tc>
        <w:tc>
          <w:tcPr>
            <w:tcW w:w="652" w:type="pct"/>
            <w:tcBorders>
              <w:top w:val="nil"/>
              <w:left w:val="nil"/>
              <w:bottom w:val="single" w:sz="4" w:space="0" w:color="auto"/>
              <w:right w:val="single" w:sz="4" w:space="0" w:color="auto"/>
            </w:tcBorders>
            <w:shd w:val="clear" w:color="auto" w:fill="auto"/>
            <w:noWrap/>
            <w:vAlign w:val="bottom"/>
            <w:hideMark/>
          </w:tcPr>
          <w:p w14:paraId="212D9C88"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0,0753***</w:t>
            </w:r>
          </w:p>
        </w:tc>
        <w:tc>
          <w:tcPr>
            <w:tcW w:w="592" w:type="pct"/>
            <w:tcBorders>
              <w:top w:val="nil"/>
              <w:left w:val="nil"/>
              <w:bottom w:val="single" w:sz="4" w:space="0" w:color="auto"/>
            </w:tcBorders>
            <w:shd w:val="clear" w:color="auto" w:fill="auto"/>
            <w:noWrap/>
            <w:vAlign w:val="bottom"/>
            <w:hideMark/>
          </w:tcPr>
          <w:p w14:paraId="6DDAD7CF"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0,0071</w:t>
            </w:r>
          </w:p>
        </w:tc>
      </w:tr>
      <w:tr w:rsidR="00596D1F" w:rsidRPr="00596D1F" w14:paraId="54C62CDC"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39C56ADD" w14:textId="1D5E51AD" w:rsidR="00956CDD" w:rsidRPr="00596D1F" w:rsidRDefault="00D22D49" w:rsidP="000B6B45">
            <w:pPr>
              <w:spacing w:after="0" w:line="240" w:lineRule="auto"/>
              <w:rPr>
                <w:rFonts w:ascii="Times New Roman" w:eastAsia="Times New Roman" w:hAnsi="Times New Roman"/>
                <w:color w:val="000000" w:themeColor="text1"/>
                <w:sz w:val="20"/>
                <w:szCs w:val="20"/>
                <w:lang w:eastAsia="pt-BR"/>
              </w:rPr>
            </w:pPr>
            <w:proofErr w:type="spellStart"/>
            <w:r>
              <w:rPr>
                <w:rFonts w:ascii="Times New Roman" w:eastAsia="Times New Roman" w:hAnsi="Times New Roman"/>
                <w:color w:val="000000" w:themeColor="text1"/>
                <w:sz w:val="20"/>
                <w:szCs w:val="20"/>
                <w:lang w:eastAsia="pt-BR"/>
              </w:rPr>
              <w:t>Anoeleitoral</w:t>
            </w:r>
            <w:proofErr w:type="spellEnd"/>
          </w:p>
        </w:tc>
        <w:tc>
          <w:tcPr>
            <w:tcW w:w="628" w:type="pct"/>
            <w:tcBorders>
              <w:top w:val="nil"/>
              <w:left w:val="nil"/>
              <w:bottom w:val="single" w:sz="4" w:space="0" w:color="auto"/>
              <w:right w:val="single" w:sz="4" w:space="0" w:color="auto"/>
            </w:tcBorders>
            <w:shd w:val="clear" w:color="auto" w:fill="auto"/>
            <w:noWrap/>
            <w:vAlign w:val="bottom"/>
            <w:hideMark/>
          </w:tcPr>
          <w:p w14:paraId="65A16E22"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-0,0900***</w:t>
            </w:r>
          </w:p>
        </w:tc>
        <w:tc>
          <w:tcPr>
            <w:tcW w:w="917" w:type="pct"/>
            <w:tcBorders>
              <w:top w:val="nil"/>
              <w:left w:val="nil"/>
              <w:bottom w:val="single" w:sz="4" w:space="0" w:color="auto"/>
              <w:right w:val="single" w:sz="4" w:space="0" w:color="auto"/>
            </w:tcBorders>
            <w:shd w:val="clear" w:color="auto" w:fill="auto"/>
            <w:noWrap/>
            <w:vAlign w:val="bottom"/>
            <w:hideMark/>
          </w:tcPr>
          <w:p w14:paraId="7D0B03FC"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0,0284 </w:t>
            </w:r>
          </w:p>
        </w:tc>
        <w:tc>
          <w:tcPr>
            <w:tcW w:w="613" w:type="pct"/>
            <w:tcBorders>
              <w:top w:val="nil"/>
              <w:left w:val="nil"/>
              <w:bottom w:val="single" w:sz="4" w:space="0" w:color="auto"/>
              <w:right w:val="single" w:sz="4" w:space="0" w:color="auto"/>
            </w:tcBorders>
            <w:shd w:val="clear" w:color="auto" w:fill="auto"/>
            <w:noWrap/>
            <w:vAlign w:val="bottom"/>
            <w:hideMark/>
          </w:tcPr>
          <w:p w14:paraId="2AA4E17F"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-1,8253***</w:t>
            </w:r>
          </w:p>
        </w:tc>
        <w:tc>
          <w:tcPr>
            <w:tcW w:w="592" w:type="pct"/>
            <w:tcBorders>
              <w:top w:val="nil"/>
              <w:left w:val="nil"/>
              <w:bottom w:val="single" w:sz="4" w:space="0" w:color="auto"/>
              <w:right w:val="single" w:sz="4" w:space="0" w:color="auto"/>
            </w:tcBorders>
            <w:shd w:val="clear" w:color="auto" w:fill="auto"/>
            <w:noWrap/>
            <w:vAlign w:val="bottom"/>
            <w:hideMark/>
          </w:tcPr>
          <w:p w14:paraId="126B7DDC"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0,1434</w:t>
            </w:r>
          </w:p>
        </w:tc>
        <w:tc>
          <w:tcPr>
            <w:tcW w:w="652" w:type="pct"/>
            <w:tcBorders>
              <w:top w:val="nil"/>
              <w:left w:val="nil"/>
              <w:bottom w:val="single" w:sz="4" w:space="0" w:color="auto"/>
              <w:right w:val="single" w:sz="4" w:space="0" w:color="auto"/>
            </w:tcBorders>
            <w:shd w:val="clear" w:color="auto" w:fill="auto"/>
            <w:noWrap/>
            <w:vAlign w:val="bottom"/>
            <w:hideMark/>
          </w:tcPr>
          <w:p w14:paraId="40C827A8"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0,2025***</w:t>
            </w:r>
          </w:p>
        </w:tc>
        <w:tc>
          <w:tcPr>
            <w:tcW w:w="592" w:type="pct"/>
            <w:tcBorders>
              <w:top w:val="nil"/>
              <w:left w:val="nil"/>
              <w:bottom w:val="single" w:sz="4" w:space="0" w:color="auto"/>
            </w:tcBorders>
            <w:shd w:val="clear" w:color="auto" w:fill="auto"/>
            <w:noWrap/>
            <w:vAlign w:val="bottom"/>
            <w:hideMark/>
          </w:tcPr>
          <w:p w14:paraId="59A61D7D"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0,0189</w:t>
            </w:r>
          </w:p>
        </w:tc>
      </w:tr>
      <w:tr w:rsidR="00596D1F" w:rsidRPr="00596D1F" w14:paraId="438578D5"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51B3D5B4"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_</w:t>
            </w:r>
            <w:proofErr w:type="spellStart"/>
            <w:r w:rsidRPr="00596D1F">
              <w:rPr>
                <w:rFonts w:ascii="Times New Roman" w:eastAsia="Times New Roman" w:hAnsi="Times New Roman"/>
                <w:color w:val="000000" w:themeColor="text1"/>
                <w:sz w:val="20"/>
                <w:szCs w:val="20"/>
                <w:lang w:eastAsia="pt-BR"/>
              </w:rPr>
              <w:t>cons</w:t>
            </w:r>
            <w:proofErr w:type="spellEnd"/>
          </w:p>
        </w:tc>
        <w:tc>
          <w:tcPr>
            <w:tcW w:w="628" w:type="pct"/>
            <w:tcBorders>
              <w:top w:val="nil"/>
              <w:left w:val="nil"/>
              <w:bottom w:val="single" w:sz="4" w:space="0" w:color="auto"/>
              <w:right w:val="single" w:sz="4" w:space="0" w:color="auto"/>
            </w:tcBorders>
            <w:shd w:val="clear" w:color="auto" w:fill="auto"/>
            <w:noWrap/>
            <w:vAlign w:val="bottom"/>
            <w:hideMark/>
          </w:tcPr>
          <w:p w14:paraId="7B1A35CD"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7,6197***</w:t>
            </w:r>
          </w:p>
        </w:tc>
        <w:tc>
          <w:tcPr>
            <w:tcW w:w="917" w:type="pct"/>
            <w:tcBorders>
              <w:top w:val="nil"/>
              <w:left w:val="nil"/>
              <w:bottom w:val="single" w:sz="4" w:space="0" w:color="auto"/>
              <w:right w:val="single" w:sz="4" w:space="0" w:color="auto"/>
            </w:tcBorders>
            <w:shd w:val="clear" w:color="auto" w:fill="auto"/>
            <w:noWrap/>
            <w:vAlign w:val="bottom"/>
            <w:hideMark/>
          </w:tcPr>
          <w:p w14:paraId="378EEA64"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xml:space="preserve">                    0,0774 </w:t>
            </w:r>
          </w:p>
        </w:tc>
        <w:tc>
          <w:tcPr>
            <w:tcW w:w="613" w:type="pct"/>
            <w:tcBorders>
              <w:top w:val="nil"/>
              <w:left w:val="nil"/>
              <w:bottom w:val="single" w:sz="4" w:space="0" w:color="auto"/>
              <w:right w:val="single" w:sz="4" w:space="0" w:color="auto"/>
            </w:tcBorders>
            <w:shd w:val="clear" w:color="auto" w:fill="auto"/>
            <w:noWrap/>
            <w:vAlign w:val="bottom"/>
            <w:hideMark/>
          </w:tcPr>
          <w:p w14:paraId="00C2CDF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11,4865***</w:t>
            </w:r>
          </w:p>
        </w:tc>
        <w:tc>
          <w:tcPr>
            <w:tcW w:w="592" w:type="pct"/>
            <w:tcBorders>
              <w:top w:val="nil"/>
              <w:left w:val="nil"/>
              <w:bottom w:val="single" w:sz="4" w:space="0" w:color="auto"/>
              <w:right w:val="single" w:sz="4" w:space="0" w:color="auto"/>
            </w:tcBorders>
            <w:shd w:val="clear" w:color="auto" w:fill="auto"/>
            <w:noWrap/>
            <w:vAlign w:val="bottom"/>
            <w:hideMark/>
          </w:tcPr>
          <w:p w14:paraId="4C64CCE1"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0,3358</w:t>
            </w:r>
          </w:p>
        </w:tc>
        <w:tc>
          <w:tcPr>
            <w:tcW w:w="652" w:type="pct"/>
            <w:tcBorders>
              <w:top w:val="nil"/>
              <w:left w:val="nil"/>
              <w:bottom w:val="single" w:sz="4" w:space="0" w:color="auto"/>
              <w:right w:val="single" w:sz="4" w:space="0" w:color="auto"/>
            </w:tcBorders>
            <w:shd w:val="clear" w:color="auto" w:fill="auto"/>
            <w:noWrap/>
            <w:vAlign w:val="bottom"/>
            <w:hideMark/>
          </w:tcPr>
          <w:p w14:paraId="5214C481"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6,7696***</w:t>
            </w:r>
          </w:p>
        </w:tc>
        <w:tc>
          <w:tcPr>
            <w:tcW w:w="592" w:type="pct"/>
            <w:tcBorders>
              <w:top w:val="nil"/>
              <w:left w:val="nil"/>
              <w:bottom w:val="single" w:sz="4" w:space="0" w:color="auto"/>
            </w:tcBorders>
            <w:shd w:val="clear" w:color="auto" w:fill="auto"/>
            <w:noWrap/>
            <w:vAlign w:val="bottom"/>
            <w:hideMark/>
          </w:tcPr>
          <w:p w14:paraId="01C37C55" w14:textId="77777777" w:rsidR="00956CDD" w:rsidRPr="00596D1F" w:rsidRDefault="00956CDD" w:rsidP="000B6B45">
            <w:pPr>
              <w:spacing w:after="0" w:line="240" w:lineRule="auto"/>
              <w:jc w:val="right"/>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0,0490</w:t>
            </w:r>
          </w:p>
        </w:tc>
      </w:tr>
      <w:tr w:rsidR="00596D1F" w:rsidRPr="00596D1F" w14:paraId="2FC8437C" w14:textId="77777777" w:rsidTr="0061413A">
        <w:trPr>
          <w:trHeight w:val="20"/>
        </w:trPr>
        <w:tc>
          <w:tcPr>
            <w:tcW w:w="1005" w:type="pct"/>
            <w:tcBorders>
              <w:top w:val="nil"/>
              <w:bottom w:val="single" w:sz="4" w:space="0" w:color="auto"/>
              <w:right w:val="single" w:sz="4" w:space="0" w:color="auto"/>
            </w:tcBorders>
            <w:shd w:val="clear" w:color="auto" w:fill="auto"/>
            <w:noWrap/>
            <w:vAlign w:val="bottom"/>
            <w:hideMark/>
          </w:tcPr>
          <w:p w14:paraId="727966CF"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628" w:type="pct"/>
            <w:tcBorders>
              <w:top w:val="nil"/>
              <w:left w:val="nil"/>
              <w:bottom w:val="single" w:sz="4" w:space="0" w:color="auto"/>
              <w:right w:val="single" w:sz="4" w:space="0" w:color="auto"/>
            </w:tcBorders>
            <w:shd w:val="clear" w:color="auto" w:fill="auto"/>
            <w:noWrap/>
            <w:vAlign w:val="bottom"/>
            <w:hideMark/>
          </w:tcPr>
          <w:p w14:paraId="366A0577"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917" w:type="pct"/>
            <w:tcBorders>
              <w:top w:val="nil"/>
              <w:left w:val="nil"/>
              <w:bottom w:val="single" w:sz="4" w:space="0" w:color="auto"/>
              <w:right w:val="single" w:sz="4" w:space="0" w:color="auto"/>
            </w:tcBorders>
            <w:shd w:val="clear" w:color="auto" w:fill="auto"/>
            <w:noWrap/>
            <w:vAlign w:val="bottom"/>
            <w:hideMark/>
          </w:tcPr>
          <w:p w14:paraId="1C608039"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613" w:type="pct"/>
            <w:tcBorders>
              <w:top w:val="nil"/>
              <w:left w:val="nil"/>
              <w:bottom w:val="single" w:sz="4" w:space="0" w:color="auto"/>
              <w:right w:val="single" w:sz="4" w:space="0" w:color="auto"/>
            </w:tcBorders>
            <w:shd w:val="clear" w:color="auto" w:fill="auto"/>
            <w:noWrap/>
            <w:vAlign w:val="bottom"/>
            <w:hideMark/>
          </w:tcPr>
          <w:p w14:paraId="3D23C3F4"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592" w:type="pct"/>
            <w:tcBorders>
              <w:top w:val="nil"/>
              <w:left w:val="nil"/>
              <w:bottom w:val="single" w:sz="4" w:space="0" w:color="auto"/>
              <w:right w:val="single" w:sz="4" w:space="0" w:color="auto"/>
            </w:tcBorders>
            <w:shd w:val="clear" w:color="auto" w:fill="auto"/>
            <w:noWrap/>
            <w:vAlign w:val="bottom"/>
            <w:hideMark/>
          </w:tcPr>
          <w:p w14:paraId="202138CA"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652" w:type="pct"/>
            <w:tcBorders>
              <w:top w:val="nil"/>
              <w:left w:val="nil"/>
              <w:bottom w:val="single" w:sz="4" w:space="0" w:color="auto"/>
              <w:right w:val="single" w:sz="4" w:space="0" w:color="auto"/>
            </w:tcBorders>
            <w:shd w:val="clear" w:color="auto" w:fill="auto"/>
            <w:noWrap/>
            <w:vAlign w:val="bottom"/>
            <w:hideMark/>
          </w:tcPr>
          <w:p w14:paraId="358C6C5C"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c>
          <w:tcPr>
            <w:tcW w:w="592" w:type="pct"/>
            <w:tcBorders>
              <w:top w:val="nil"/>
              <w:left w:val="nil"/>
              <w:bottom w:val="single" w:sz="4" w:space="0" w:color="auto"/>
            </w:tcBorders>
            <w:shd w:val="clear" w:color="auto" w:fill="auto"/>
            <w:noWrap/>
            <w:vAlign w:val="bottom"/>
            <w:hideMark/>
          </w:tcPr>
          <w:p w14:paraId="6725CA21"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 </w:t>
            </w:r>
          </w:p>
        </w:tc>
      </w:tr>
      <w:tr w:rsidR="00596D1F" w:rsidRPr="00596D1F" w14:paraId="50E27A1A" w14:textId="77777777" w:rsidTr="00956CDD">
        <w:trPr>
          <w:trHeight w:val="20"/>
        </w:trPr>
        <w:tc>
          <w:tcPr>
            <w:tcW w:w="1005" w:type="pct"/>
            <w:tcBorders>
              <w:top w:val="nil"/>
              <w:bottom w:val="single" w:sz="4" w:space="0" w:color="auto"/>
              <w:right w:val="single" w:sz="4" w:space="0" w:color="auto"/>
            </w:tcBorders>
            <w:shd w:val="clear" w:color="auto" w:fill="auto"/>
            <w:noWrap/>
            <w:vAlign w:val="bottom"/>
            <w:hideMark/>
          </w:tcPr>
          <w:p w14:paraId="30D1AA50"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R2 Ajustado</w:t>
            </w:r>
          </w:p>
        </w:tc>
        <w:tc>
          <w:tcPr>
            <w:tcW w:w="1545" w:type="pct"/>
            <w:gridSpan w:val="2"/>
            <w:tcBorders>
              <w:top w:val="nil"/>
              <w:left w:val="nil"/>
              <w:bottom w:val="single" w:sz="4" w:space="0" w:color="auto"/>
              <w:right w:val="single" w:sz="4" w:space="0" w:color="auto"/>
            </w:tcBorders>
            <w:shd w:val="clear" w:color="auto" w:fill="auto"/>
            <w:noWrap/>
            <w:vAlign w:val="bottom"/>
            <w:hideMark/>
          </w:tcPr>
          <w:p w14:paraId="767F96BA" w14:textId="77777777" w:rsidR="00956CDD" w:rsidRPr="00596D1F" w:rsidRDefault="00956CDD" w:rsidP="000B6B45">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0,0115</w:t>
            </w:r>
          </w:p>
        </w:tc>
        <w:tc>
          <w:tcPr>
            <w:tcW w:w="1205" w:type="pct"/>
            <w:gridSpan w:val="2"/>
            <w:tcBorders>
              <w:top w:val="nil"/>
              <w:left w:val="nil"/>
              <w:bottom w:val="single" w:sz="4" w:space="0" w:color="auto"/>
              <w:right w:val="single" w:sz="4" w:space="0" w:color="auto"/>
            </w:tcBorders>
            <w:shd w:val="clear" w:color="auto" w:fill="auto"/>
            <w:noWrap/>
            <w:vAlign w:val="bottom"/>
            <w:hideMark/>
          </w:tcPr>
          <w:p w14:paraId="17C64B58" w14:textId="77777777" w:rsidR="00956CDD" w:rsidRPr="00596D1F" w:rsidRDefault="00956CDD" w:rsidP="000B6B45">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0,0933</w:t>
            </w:r>
          </w:p>
        </w:tc>
        <w:tc>
          <w:tcPr>
            <w:tcW w:w="1244" w:type="pct"/>
            <w:gridSpan w:val="2"/>
            <w:tcBorders>
              <w:top w:val="nil"/>
              <w:left w:val="nil"/>
              <w:bottom w:val="single" w:sz="4" w:space="0" w:color="auto"/>
            </w:tcBorders>
            <w:shd w:val="clear" w:color="auto" w:fill="auto"/>
            <w:noWrap/>
            <w:vAlign w:val="bottom"/>
            <w:hideMark/>
          </w:tcPr>
          <w:p w14:paraId="2D45267E" w14:textId="77777777" w:rsidR="00956CDD" w:rsidRPr="00596D1F" w:rsidRDefault="00956CDD" w:rsidP="000B6B45">
            <w:pPr>
              <w:spacing w:after="0" w:line="240" w:lineRule="auto"/>
              <w:jc w:val="center"/>
              <w:rPr>
                <w:rFonts w:ascii="Times New Roman" w:eastAsia="Times New Roman" w:hAnsi="Times New Roman"/>
                <w:b/>
                <w:bCs/>
                <w:color w:val="000000" w:themeColor="text1"/>
                <w:sz w:val="20"/>
                <w:szCs w:val="20"/>
                <w:lang w:eastAsia="pt-BR"/>
              </w:rPr>
            </w:pPr>
            <w:r w:rsidRPr="00596D1F">
              <w:rPr>
                <w:rFonts w:ascii="Times New Roman" w:eastAsia="Times New Roman" w:hAnsi="Times New Roman"/>
                <w:b/>
                <w:bCs/>
                <w:color w:val="000000" w:themeColor="text1"/>
                <w:sz w:val="20"/>
                <w:szCs w:val="20"/>
                <w:lang w:eastAsia="pt-BR"/>
              </w:rPr>
              <w:t>0,0111</w:t>
            </w:r>
          </w:p>
        </w:tc>
      </w:tr>
      <w:tr w:rsidR="00596D1F" w:rsidRPr="00596D1F" w14:paraId="772A8DB7" w14:textId="77777777" w:rsidTr="00956CDD">
        <w:trPr>
          <w:trHeight w:val="20"/>
        </w:trPr>
        <w:tc>
          <w:tcPr>
            <w:tcW w:w="1005" w:type="pct"/>
            <w:tcBorders>
              <w:top w:val="nil"/>
              <w:bottom w:val="single" w:sz="4" w:space="0" w:color="auto"/>
              <w:right w:val="single" w:sz="4" w:space="0" w:color="auto"/>
            </w:tcBorders>
            <w:shd w:val="clear" w:color="auto" w:fill="auto"/>
            <w:noWrap/>
            <w:vAlign w:val="bottom"/>
            <w:hideMark/>
          </w:tcPr>
          <w:p w14:paraId="1B73187B"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Nº de observações</w:t>
            </w:r>
          </w:p>
        </w:tc>
        <w:tc>
          <w:tcPr>
            <w:tcW w:w="1545" w:type="pct"/>
            <w:gridSpan w:val="2"/>
            <w:tcBorders>
              <w:top w:val="nil"/>
              <w:left w:val="nil"/>
              <w:bottom w:val="single" w:sz="4" w:space="0" w:color="auto"/>
              <w:right w:val="single" w:sz="4" w:space="0" w:color="auto"/>
            </w:tcBorders>
            <w:shd w:val="clear" w:color="auto" w:fill="auto"/>
            <w:noWrap/>
            <w:vAlign w:val="bottom"/>
            <w:hideMark/>
          </w:tcPr>
          <w:p w14:paraId="297EE2C7"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56.052</w:t>
            </w:r>
          </w:p>
        </w:tc>
        <w:tc>
          <w:tcPr>
            <w:tcW w:w="1205" w:type="pct"/>
            <w:gridSpan w:val="2"/>
            <w:tcBorders>
              <w:top w:val="nil"/>
              <w:left w:val="nil"/>
              <w:bottom w:val="single" w:sz="4" w:space="0" w:color="auto"/>
              <w:right w:val="single" w:sz="4" w:space="0" w:color="auto"/>
            </w:tcBorders>
            <w:shd w:val="clear" w:color="auto" w:fill="auto"/>
            <w:noWrap/>
            <w:vAlign w:val="bottom"/>
            <w:hideMark/>
          </w:tcPr>
          <w:p w14:paraId="03CEB9B3"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7.721</w:t>
            </w:r>
          </w:p>
        </w:tc>
        <w:tc>
          <w:tcPr>
            <w:tcW w:w="1244" w:type="pct"/>
            <w:gridSpan w:val="2"/>
            <w:tcBorders>
              <w:top w:val="nil"/>
              <w:left w:val="nil"/>
              <w:bottom w:val="single" w:sz="4" w:space="0" w:color="auto"/>
            </w:tcBorders>
            <w:shd w:val="clear" w:color="auto" w:fill="auto"/>
            <w:noWrap/>
            <w:vAlign w:val="bottom"/>
            <w:hideMark/>
          </w:tcPr>
          <w:p w14:paraId="2CB6AD7E"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48,331</w:t>
            </w:r>
          </w:p>
        </w:tc>
      </w:tr>
      <w:tr w:rsidR="00596D1F" w:rsidRPr="00596D1F" w14:paraId="56796B5D" w14:textId="77777777" w:rsidTr="00956CDD">
        <w:trPr>
          <w:trHeight w:val="20"/>
        </w:trPr>
        <w:tc>
          <w:tcPr>
            <w:tcW w:w="1005" w:type="pct"/>
            <w:tcBorders>
              <w:top w:val="nil"/>
              <w:bottom w:val="single" w:sz="12" w:space="0" w:color="auto"/>
              <w:right w:val="single" w:sz="4" w:space="0" w:color="auto"/>
            </w:tcBorders>
            <w:shd w:val="clear" w:color="auto" w:fill="auto"/>
            <w:noWrap/>
            <w:vAlign w:val="bottom"/>
            <w:hideMark/>
          </w:tcPr>
          <w:p w14:paraId="368BA89B" w14:textId="77777777" w:rsidR="00956CDD" w:rsidRPr="00596D1F" w:rsidRDefault="00956CDD" w:rsidP="000B6B45">
            <w:pPr>
              <w:spacing w:after="0" w:line="240" w:lineRule="auto"/>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Teste F</w:t>
            </w:r>
          </w:p>
        </w:tc>
        <w:tc>
          <w:tcPr>
            <w:tcW w:w="1545" w:type="pct"/>
            <w:gridSpan w:val="2"/>
            <w:tcBorders>
              <w:top w:val="nil"/>
              <w:left w:val="nil"/>
              <w:bottom w:val="single" w:sz="12" w:space="0" w:color="auto"/>
              <w:right w:val="single" w:sz="4" w:space="0" w:color="auto"/>
            </w:tcBorders>
            <w:shd w:val="clear" w:color="auto" w:fill="auto"/>
            <w:noWrap/>
            <w:vAlign w:val="bottom"/>
            <w:hideMark/>
          </w:tcPr>
          <w:p w14:paraId="26D0175B"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c>
          <w:tcPr>
            <w:tcW w:w="1205" w:type="pct"/>
            <w:gridSpan w:val="2"/>
            <w:tcBorders>
              <w:top w:val="nil"/>
              <w:left w:val="nil"/>
              <w:bottom w:val="single" w:sz="12" w:space="0" w:color="auto"/>
              <w:right w:val="single" w:sz="4" w:space="0" w:color="auto"/>
            </w:tcBorders>
            <w:shd w:val="clear" w:color="auto" w:fill="auto"/>
            <w:noWrap/>
            <w:vAlign w:val="bottom"/>
            <w:hideMark/>
          </w:tcPr>
          <w:p w14:paraId="181CB7C2"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c>
          <w:tcPr>
            <w:tcW w:w="1244" w:type="pct"/>
            <w:gridSpan w:val="2"/>
            <w:tcBorders>
              <w:top w:val="nil"/>
              <w:left w:val="nil"/>
              <w:bottom w:val="single" w:sz="12" w:space="0" w:color="auto"/>
            </w:tcBorders>
            <w:shd w:val="clear" w:color="auto" w:fill="auto"/>
            <w:noWrap/>
            <w:vAlign w:val="bottom"/>
            <w:hideMark/>
          </w:tcPr>
          <w:p w14:paraId="20C23BB6" w14:textId="77777777" w:rsidR="00956CDD" w:rsidRPr="00596D1F" w:rsidRDefault="00956CDD" w:rsidP="000B6B45">
            <w:pPr>
              <w:spacing w:after="0" w:line="240" w:lineRule="auto"/>
              <w:jc w:val="center"/>
              <w:rPr>
                <w:rFonts w:ascii="Times New Roman" w:eastAsia="Times New Roman" w:hAnsi="Times New Roman"/>
                <w:color w:val="000000" w:themeColor="text1"/>
                <w:sz w:val="20"/>
                <w:szCs w:val="20"/>
                <w:lang w:eastAsia="pt-BR"/>
              </w:rPr>
            </w:pPr>
            <w:r w:rsidRPr="00596D1F">
              <w:rPr>
                <w:rFonts w:ascii="Times New Roman" w:eastAsia="Times New Roman" w:hAnsi="Times New Roman"/>
                <w:color w:val="000000" w:themeColor="text1"/>
                <w:sz w:val="20"/>
                <w:szCs w:val="20"/>
                <w:lang w:eastAsia="pt-BR"/>
              </w:rPr>
              <w:t>0,0000</w:t>
            </w:r>
          </w:p>
        </w:tc>
      </w:tr>
    </w:tbl>
    <w:p w14:paraId="0B18BC1C" w14:textId="318A4BA5" w:rsidR="00686C9F" w:rsidRPr="00596D1F" w:rsidRDefault="00165FEA" w:rsidP="00951F57">
      <w:pPr>
        <w:spacing w:after="0" w:line="240" w:lineRule="auto"/>
        <w:jc w:val="center"/>
        <w:rPr>
          <w:rFonts w:ascii="Times New Roman" w:hAnsi="Times New Roman"/>
          <w:color w:val="000000" w:themeColor="text1"/>
          <w:sz w:val="20"/>
          <w:szCs w:val="20"/>
        </w:rPr>
      </w:pPr>
      <w:r w:rsidRPr="00596D1F">
        <w:rPr>
          <w:rFonts w:ascii="Times New Roman" w:hAnsi="Times New Roman"/>
          <w:color w:val="000000" w:themeColor="text1"/>
          <w:sz w:val="20"/>
          <w:szCs w:val="20"/>
        </w:rPr>
        <w:t xml:space="preserve">Fonte: </w:t>
      </w:r>
      <w:r w:rsidR="00D26D12">
        <w:rPr>
          <w:rFonts w:ascii="Times New Roman" w:hAnsi="Times New Roman"/>
          <w:color w:val="000000" w:themeColor="text1"/>
          <w:sz w:val="20"/>
          <w:szCs w:val="20"/>
        </w:rPr>
        <w:t>Dados da pesquisa</w:t>
      </w:r>
      <w:r w:rsidR="00686C9F" w:rsidRPr="00596D1F">
        <w:rPr>
          <w:rFonts w:ascii="Times New Roman" w:hAnsi="Times New Roman"/>
          <w:color w:val="000000" w:themeColor="text1"/>
          <w:sz w:val="20"/>
          <w:szCs w:val="20"/>
        </w:rPr>
        <w:t>.</w:t>
      </w:r>
    </w:p>
    <w:p w14:paraId="11106660" w14:textId="77777777" w:rsidR="003E1703" w:rsidRDefault="003E1703" w:rsidP="000B6B45">
      <w:pPr>
        <w:spacing w:after="0" w:line="240" w:lineRule="auto"/>
        <w:ind w:firstLine="576"/>
        <w:jc w:val="both"/>
        <w:rPr>
          <w:rFonts w:ascii="Times New Roman" w:hAnsi="Times New Roman"/>
          <w:color w:val="000000" w:themeColor="text1"/>
          <w:sz w:val="24"/>
          <w:szCs w:val="24"/>
        </w:rPr>
      </w:pPr>
    </w:p>
    <w:p w14:paraId="4EF5322C" w14:textId="11C36BEF" w:rsidR="00867EF5" w:rsidRPr="00596D1F" w:rsidRDefault="00867EF5" w:rsidP="000B6B45">
      <w:pPr>
        <w:spacing w:after="0" w:line="240" w:lineRule="auto"/>
        <w:ind w:firstLine="576"/>
        <w:jc w:val="both"/>
        <w:rPr>
          <w:color w:val="000000" w:themeColor="text1"/>
        </w:rPr>
      </w:pPr>
      <w:r w:rsidRPr="00596D1F">
        <w:rPr>
          <w:rFonts w:ascii="Times New Roman" w:hAnsi="Times New Roman"/>
          <w:color w:val="000000" w:themeColor="text1"/>
          <w:sz w:val="24"/>
          <w:szCs w:val="24"/>
        </w:rPr>
        <w:t xml:space="preserve">Antes </w:t>
      </w:r>
      <w:r w:rsidR="00870A41">
        <w:rPr>
          <w:rFonts w:ascii="Times New Roman" w:hAnsi="Times New Roman"/>
          <w:color w:val="000000" w:themeColor="text1"/>
          <w:sz w:val="24"/>
          <w:szCs w:val="24"/>
        </w:rPr>
        <w:t>da apresentação dos</w:t>
      </w:r>
      <w:r w:rsidR="00B85F83" w:rsidRPr="00596D1F">
        <w:rPr>
          <w:rFonts w:ascii="Times New Roman" w:hAnsi="Times New Roman"/>
          <w:color w:val="000000" w:themeColor="text1"/>
          <w:sz w:val="24"/>
          <w:szCs w:val="24"/>
        </w:rPr>
        <w:t xml:space="preserve"> resultados </w:t>
      </w:r>
      <w:r w:rsidR="00CB1329" w:rsidRPr="00596D1F">
        <w:rPr>
          <w:rFonts w:ascii="Times New Roman" w:hAnsi="Times New Roman"/>
          <w:color w:val="000000" w:themeColor="text1"/>
          <w:sz w:val="24"/>
          <w:szCs w:val="24"/>
        </w:rPr>
        <w:t>sumarizados</w:t>
      </w:r>
      <w:r w:rsidR="00B85F83" w:rsidRPr="00596D1F">
        <w:rPr>
          <w:rFonts w:ascii="Times New Roman" w:hAnsi="Times New Roman"/>
          <w:color w:val="000000" w:themeColor="text1"/>
          <w:sz w:val="24"/>
          <w:szCs w:val="24"/>
        </w:rPr>
        <w:t xml:space="preserve"> na Tabela 3, é importante destacar que foram realizados dois procedimentos a fim de tratar </w:t>
      </w:r>
      <w:r w:rsidR="009B7E54">
        <w:rPr>
          <w:rFonts w:ascii="Times New Roman" w:hAnsi="Times New Roman"/>
          <w:color w:val="000000" w:themeColor="text1"/>
          <w:sz w:val="24"/>
          <w:szCs w:val="24"/>
        </w:rPr>
        <w:t xml:space="preserve">os </w:t>
      </w:r>
      <w:r w:rsidR="00B85F83" w:rsidRPr="00596D1F">
        <w:rPr>
          <w:rFonts w:ascii="Times New Roman" w:hAnsi="Times New Roman"/>
          <w:color w:val="000000" w:themeColor="text1"/>
          <w:sz w:val="24"/>
          <w:szCs w:val="24"/>
        </w:rPr>
        <w:t xml:space="preserve">problemas de </w:t>
      </w:r>
      <w:r w:rsidR="00B85F83" w:rsidRPr="00596D1F">
        <w:rPr>
          <w:rFonts w:ascii="Times New Roman" w:hAnsi="Times New Roman"/>
          <w:i/>
          <w:color w:val="000000" w:themeColor="text1"/>
          <w:sz w:val="24"/>
          <w:szCs w:val="24"/>
        </w:rPr>
        <w:t>outliers</w:t>
      </w:r>
      <w:r w:rsidR="00B85F83" w:rsidRPr="00596D1F">
        <w:rPr>
          <w:rFonts w:ascii="Times New Roman" w:hAnsi="Times New Roman"/>
          <w:color w:val="000000" w:themeColor="text1"/>
          <w:sz w:val="24"/>
          <w:szCs w:val="24"/>
        </w:rPr>
        <w:t xml:space="preserve"> detectados </w:t>
      </w:r>
      <w:r w:rsidR="00870A41">
        <w:rPr>
          <w:rFonts w:ascii="Times New Roman" w:hAnsi="Times New Roman"/>
          <w:color w:val="000000" w:themeColor="text1"/>
          <w:sz w:val="24"/>
          <w:szCs w:val="24"/>
        </w:rPr>
        <w:t>na</w:t>
      </w:r>
      <w:r w:rsidR="00B85F83" w:rsidRPr="00596D1F">
        <w:rPr>
          <w:rFonts w:ascii="Times New Roman" w:hAnsi="Times New Roman"/>
          <w:color w:val="000000" w:themeColor="text1"/>
          <w:sz w:val="24"/>
          <w:szCs w:val="24"/>
        </w:rPr>
        <w:t xml:space="preserve"> estatística descritiva. O primeiro foi </w:t>
      </w:r>
      <w:r w:rsidR="00E37AD7">
        <w:rPr>
          <w:rFonts w:ascii="Times New Roman" w:hAnsi="Times New Roman"/>
          <w:color w:val="000000" w:themeColor="text1"/>
          <w:sz w:val="24"/>
          <w:szCs w:val="24"/>
        </w:rPr>
        <w:t>a</w:t>
      </w:r>
      <w:r w:rsidR="00B85F83" w:rsidRPr="00596D1F">
        <w:rPr>
          <w:rFonts w:ascii="Times New Roman" w:hAnsi="Times New Roman"/>
          <w:color w:val="000000" w:themeColor="text1"/>
          <w:sz w:val="24"/>
          <w:szCs w:val="24"/>
        </w:rPr>
        <w:t xml:space="preserve"> aplicação do logaritmo natural </w:t>
      </w:r>
      <w:r w:rsidR="00870A41">
        <w:rPr>
          <w:rFonts w:ascii="Times New Roman" w:hAnsi="Times New Roman"/>
          <w:color w:val="000000" w:themeColor="text1"/>
          <w:sz w:val="24"/>
          <w:szCs w:val="24"/>
        </w:rPr>
        <w:t>às</w:t>
      </w:r>
      <w:r w:rsidR="00B85F83" w:rsidRPr="00596D1F">
        <w:rPr>
          <w:rFonts w:ascii="Times New Roman" w:hAnsi="Times New Roman"/>
          <w:color w:val="000000" w:themeColor="text1"/>
          <w:sz w:val="24"/>
          <w:szCs w:val="24"/>
        </w:rPr>
        <w:t xml:space="preserve"> variáveis valor líquido da sanção e RCL per capta, </w:t>
      </w:r>
      <w:r w:rsidR="00CB1329" w:rsidRPr="00596D1F">
        <w:rPr>
          <w:rFonts w:ascii="Times New Roman" w:hAnsi="Times New Roman"/>
          <w:color w:val="000000" w:themeColor="text1"/>
          <w:sz w:val="24"/>
          <w:szCs w:val="24"/>
        </w:rPr>
        <w:t>para</w:t>
      </w:r>
      <w:r w:rsidR="00B85F83" w:rsidRPr="00596D1F">
        <w:rPr>
          <w:rFonts w:ascii="Times New Roman" w:hAnsi="Times New Roman"/>
          <w:color w:val="000000" w:themeColor="text1"/>
          <w:sz w:val="24"/>
          <w:szCs w:val="24"/>
        </w:rPr>
        <w:t xml:space="preserve"> suavizar os dados sem prejudicar o valor informacional dos mesmos. Já o segundo procedimento foi a aplicação dos erros padrões robustos na estimação dos modelos, </w:t>
      </w:r>
      <w:r w:rsidR="00870A41">
        <w:rPr>
          <w:rFonts w:ascii="Times New Roman" w:hAnsi="Times New Roman"/>
          <w:color w:val="000000" w:themeColor="text1"/>
          <w:sz w:val="24"/>
          <w:szCs w:val="24"/>
        </w:rPr>
        <w:t>que possibilita</w:t>
      </w:r>
      <w:r w:rsidRPr="00596D1F">
        <w:rPr>
          <w:rFonts w:ascii="Times New Roman" w:hAnsi="Times New Roman"/>
          <w:color w:val="000000" w:themeColor="text1"/>
          <w:sz w:val="24"/>
          <w:szCs w:val="24"/>
        </w:rPr>
        <w:t xml:space="preserve"> </w:t>
      </w:r>
      <w:r w:rsidR="00870A41">
        <w:rPr>
          <w:rFonts w:ascii="Times New Roman" w:hAnsi="Times New Roman"/>
          <w:color w:val="000000" w:themeColor="text1"/>
          <w:sz w:val="24"/>
          <w:szCs w:val="24"/>
        </w:rPr>
        <w:t>reduzir</w:t>
      </w:r>
      <w:r w:rsidRPr="00596D1F">
        <w:rPr>
          <w:rFonts w:ascii="Times New Roman" w:hAnsi="Times New Roman"/>
          <w:color w:val="000000" w:themeColor="text1"/>
          <w:sz w:val="24"/>
          <w:szCs w:val="24"/>
        </w:rPr>
        <w:t xml:space="preserve"> problemas de heterocedasticidade, isto é, </w:t>
      </w:r>
      <w:r w:rsidR="00B85F83" w:rsidRPr="00596D1F">
        <w:rPr>
          <w:rFonts w:ascii="Times New Roman" w:hAnsi="Times New Roman"/>
          <w:color w:val="000000" w:themeColor="text1"/>
          <w:sz w:val="24"/>
          <w:szCs w:val="24"/>
        </w:rPr>
        <w:t xml:space="preserve">das </w:t>
      </w:r>
      <w:r w:rsidRPr="00596D1F">
        <w:rPr>
          <w:rFonts w:ascii="Times New Roman" w:hAnsi="Times New Roman"/>
          <w:color w:val="000000" w:themeColor="text1"/>
          <w:sz w:val="24"/>
          <w:szCs w:val="24"/>
        </w:rPr>
        <w:t>variâncias não constantes.</w:t>
      </w:r>
    </w:p>
    <w:p w14:paraId="2F929E13" w14:textId="646B43DA" w:rsidR="006B6124" w:rsidRPr="00596D1F" w:rsidRDefault="006B612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lastRenderedPageBreak/>
        <w:t xml:space="preserve"> </w:t>
      </w:r>
      <w:r w:rsidR="00CB1329" w:rsidRPr="00596D1F">
        <w:rPr>
          <w:rFonts w:ascii="Times New Roman" w:hAnsi="Times New Roman"/>
          <w:color w:val="000000" w:themeColor="text1"/>
          <w:sz w:val="24"/>
          <w:szCs w:val="24"/>
        </w:rPr>
        <w:t>A LAI</w:t>
      </w:r>
      <w:r w:rsidRPr="00596D1F">
        <w:rPr>
          <w:rFonts w:ascii="Times New Roman" w:hAnsi="Times New Roman"/>
          <w:color w:val="000000" w:themeColor="text1"/>
          <w:sz w:val="24"/>
          <w:szCs w:val="24"/>
        </w:rPr>
        <w:t xml:space="preserve"> indicou um efeito positivo e significante tanto no modelo de análise simultânea </w:t>
      </w:r>
      <w:r w:rsidR="00B0105D" w:rsidRPr="00596D1F">
        <w:rPr>
          <w:rFonts w:ascii="Times New Roman" w:hAnsi="Times New Roman"/>
          <w:color w:val="000000" w:themeColor="text1"/>
          <w:sz w:val="24"/>
          <w:szCs w:val="24"/>
        </w:rPr>
        <w:t>das punições</w:t>
      </w:r>
      <w:r w:rsidRPr="00596D1F">
        <w:rPr>
          <w:rFonts w:ascii="Times New Roman" w:hAnsi="Times New Roman"/>
          <w:color w:val="000000" w:themeColor="text1"/>
          <w:sz w:val="24"/>
          <w:szCs w:val="24"/>
        </w:rPr>
        <w:t xml:space="preserve"> (modelo 1), quanto na análise individual (modelo</w:t>
      </w:r>
      <w:r w:rsidR="000C15B5" w:rsidRPr="00596D1F">
        <w:rPr>
          <w:rFonts w:ascii="Times New Roman" w:hAnsi="Times New Roman"/>
          <w:color w:val="000000" w:themeColor="text1"/>
          <w:sz w:val="24"/>
          <w:szCs w:val="24"/>
        </w:rPr>
        <w:t xml:space="preserve"> 2 e </w:t>
      </w:r>
      <w:r w:rsidRPr="00596D1F">
        <w:rPr>
          <w:rFonts w:ascii="Times New Roman" w:hAnsi="Times New Roman"/>
          <w:color w:val="000000" w:themeColor="text1"/>
          <w:sz w:val="24"/>
          <w:szCs w:val="24"/>
        </w:rPr>
        <w:t>3). Assim,</w:t>
      </w:r>
      <w:r w:rsidR="00CB1329" w:rsidRPr="00596D1F">
        <w:rPr>
          <w:rFonts w:ascii="Times New Roman" w:hAnsi="Times New Roman"/>
          <w:color w:val="000000" w:themeColor="text1"/>
          <w:sz w:val="24"/>
          <w:szCs w:val="24"/>
        </w:rPr>
        <w:t xml:space="preserve"> infere-se que depois da nova regra,</w:t>
      </w:r>
      <w:r w:rsidRPr="00596D1F">
        <w:rPr>
          <w:rFonts w:ascii="Times New Roman" w:hAnsi="Times New Roman"/>
          <w:color w:val="000000" w:themeColor="text1"/>
          <w:sz w:val="24"/>
          <w:szCs w:val="24"/>
        </w:rPr>
        <w:t xml:space="preserve"> o valor do débito</w:t>
      </w:r>
      <w:r w:rsidR="000C15B5" w:rsidRPr="00596D1F">
        <w:rPr>
          <w:rFonts w:ascii="Times New Roman" w:hAnsi="Times New Roman"/>
          <w:color w:val="000000" w:themeColor="text1"/>
          <w:sz w:val="24"/>
          <w:szCs w:val="24"/>
        </w:rPr>
        <w:t xml:space="preserve"> e da multa</w:t>
      </w:r>
      <w:r w:rsidRPr="00596D1F">
        <w:rPr>
          <w:rFonts w:ascii="Times New Roman" w:hAnsi="Times New Roman"/>
          <w:color w:val="000000" w:themeColor="text1"/>
          <w:sz w:val="24"/>
          <w:szCs w:val="24"/>
        </w:rPr>
        <w:t xml:space="preserve"> imputad</w:t>
      </w:r>
      <w:r w:rsidR="000C15B5" w:rsidRPr="00596D1F">
        <w:rPr>
          <w:rFonts w:ascii="Times New Roman" w:hAnsi="Times New Roman"/>
          <w:color w:val="000000" w:themeColor="text1"/>
          <w:sz w:val="24"/>
          <w:szCs w:val="24"/>
        </w:rPr>
        <w:t>a</w:t>
      </w:r>
      <w:r w:rsidRPr="00596D1F">
        <w:rPr>
          <w:rFonts w:ascii="Times New Roman" w:hAnsi="Times New Roman"/>
          <w:color w:val="000000" w:themeColor="text1"/>
          <w:sz w:val="24"/>
          <w:szCs w:val="24"/>
        </w:rPr>
        <w:t xml:space="preserve"> aumentou.</w:t>
      </w:r>
      <w:r w:rsidR="000C15B5" w:rsidRPr="00596D1F">
        <w:rPr>
          <w:rFonts w:ascii="Times New Roman" w:hAnsi="Times New Roman"/>
          <w:color w:val="000000" w:themeColor="text1"/>
          <w:sz w:val="24"/>
          <w:szCs w:val="24"/>
        </w:rPr>
        <w:t xml:space="preserve"> Esse resultado converge com os testes de média realizados na estatística descritiva, comprovando, assim, que a </w:t>
      </w:r>
      <w:r w:rsidR="00CB1329" w:rsidRPr="00596D1F">
        <w:rPr>
          <w:rFonts w:ascii="Times New Roman" w:hAnsi="Times New Roman"/>
          <w:color w:val="000000" w:themeColor="text1"/>
          <w:sz w:val="24"/>
          <w:szCs w:val="24"/>
        </w:rPr>
        <w:t>LAI</w:t>
      </w:r>
      <w:r w:rsidR="000C15B5" w:rsidRPr="00596D1F">
        <w:rPr>
          <w:rFonts w:ascii="Times New Roman" w:hAnsi="Times New Roman"/>
          <w:color w:val="000000" w:themeColor="text1"/>
          <w:sz w:val="24"/>
          <w:szCs w:val="24"/>
        </w:rPr>
        <w:t xml:space="preserve"> modificou o comportamento dos agentes públicos quanto a imputação de sanções. </w:t>
      </w:r>
    </w:p>
    <w:p w14:paraId="26C6FB72" w14:textId="054F5FD5" w:rsidR="000C15B5" w:rsidRPr="00596D1F" w:rsidRDefault="00DF3C54"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 receita líquida </w:t>
      </w:r>
      <w:r w:rsidRPr="00E37AD7">
        <w:rPr>
          <w:rFonts w:ascii="Times New Roman" w:hAnsi="Times New Roman"/>
          <w:i/>
          <w:iCs/>
          <w:color w:val="000000" w:themeColor="text1"/>
          <w:sz w:val="24"/>
          <w:szCs w:val="24"/>
        </w:rPr>
        <w:t>per capita</w:t>
      </w:r>
      <w:r w:rsidRPr="00596D1F">
        <w:rPr>
          <w:rFonts w:ascii="Times New Roman" w:hAnsi="Times New Roman"/>
          <w:color w:val="000000" w:themeColor="text1"/>
          <w:sz w:val="24"/>
          <w:szCs w:val="24"/>
        </w:rPr>
        <w:t xml:space="preserve">, que representa o tamanho do efeito do município, foi significante e positiva </w:t>
      </w:r>
      <w:r w:rsidR="00CB1329" w:rsidRPr="00596D1F">
        <w:rPr>
          <w:rFonts w:ascii="Times New Roman" w:hAnsi="Times New Roman"/>
          <w:color w:val="000000" w:themeColor="text1"/>
          <w:sz w:val="24"/>
          <w:szCs w:val="24"/>
        </w:rPr>
        <w:t>nos três modelos utilizados, d</w:t>
      </w:r>
      <w:r w:rsidR="000C15B5" w:rsidRPr="00596D1F">
        <w:rPr>
          <w:rFonts w:ascii="Times New Roman" w:hAnsi="Times New Roman"/>
          <w:color w:val="000000" w:themeColor="text1"/>
          <w:sz w:val="24"/>
          <w:szCs w:val="24"/>
        </w:rPr>
        <w:t>estarte</w:t>
      </w:r>
      <w:r w:rsidRPr="00596D1F">
        <w:rPr>
          <w:rFonts w:ascii="Times New Roman" w:hAnsi="Times New Roman"/>
          <w:color w:val="000000" w:themeColor="text1"/>
          <w:sz w:val="24"/>
          <w:szCs w:val="24"/>
        </w:rPr>
        <w:t xml:space="preserve">, quanto maior o tamanho do município, maior o valor do débito. </w:t>
      </w:r>
    </w:p>
    <w:p w14:paraId="03A184CF" w14:textId="347F3E82" w:rsidR="008145DB" w:rsidRPr="00596D1F" w:rsidRDefault="00D00FB3"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A classificação dos interessados/autor em prefeituras indicou uma relação negativa e significante para os modelos 1 e </w:t>
      </w:r>
      <w:r w:rsidR="000C15B5" w:rsidRPr="00596D1F">
        <w:rPr>
          <w:rFonts w:ascii="Times New Roman" w:hAnsi="Times New Roman"/>
          <w:color w:val="000000" w:themeColor="text1"/>
          <w:sz w:val="24"/>
          <w:szCs w:val="24"/>
        </w:rPr>
        <w:t>2</w:t>
      </w:r>
      <w:r w:rsidR="00CB1329" w:rsidRPr="00596D1F">
        <w:rPr>
          <w:rFonts w:ascii="Times New Roman" w:hAnsi="Times New Roman"/>
          <w:color w:val="000000" w:themeColor="text1"/>
          <w:sz w:val="24"/>
          <w:szCs w:val="24"/>
        </w:rPr>
        <w:t>, em outras palavras,</w:t>
      </w:r>
      <w:r w:rsidRPr="00596D1F">
        <w:rPr>
          <w:rFonts w:ascii="Times New Roman" w:hAnsi="Times New Roman"/>
          <w:color w:val="000000" w:themeColor="text1"/>
          <w:sz w:val="24"/>
          <w:szCs w:val="24"/>
        </w:rPr>
        <w:t xml:space="preserve"> quando o </w:t>
      </w:r>
      <w:r w:rsidR="00CB1329" w:rsidRPr="00596D1F">
        <w:rPr>
          <w:rFonts w:ascii="Times New Roman" w:hAnsi="Times New Roman"/>
          <w:color w:val="000000" w:themeColor="text1"/>
          <w:sz w:val="24"/>
          <w:szCs w:val="24"/>
        </w:rPr>
        <w:t xml:space="preserve">jurisdicionado </w:t>
      </w:r>
      <w:r w:rsidRPr="00596D1F">
        <w:rPr>
          <w:rFonts w:ascii="Times New Roman" w:hAnsi="Times New Roman"/>
          <w:color w:val="000000" w:themeColor="text1"/>
          <w:sz w:val="24"/>
          <w:szCs w:val="24"/>
        </w:rPr>
        <w:t xml:space="preserve">é uma prefeitura o valor </w:t>
      </w:r>
      <w:r w:rsidR="000C15B5" w:rsidRPr="00596D1F">
        <w:rPr>
          <w:rFonts w:ascii="Times New Roman" w:hAnsi="Times New Roman"/>
          <w:color w:val="000000" w:themeColor="text1"/>
          <w:sz w:val="24"/>
          <w:szCs w:val="24"/>
        </w:rPr>
        <w:t>total da sanção</w:t>
      </w:r>
      <w:r w:rsidRPr="00596D1F">
        <w:rPr>
          <w:rFonts w:ascii="Times New Roman" w:hAnsi="Times New Roman"/>
          <w:color w:val="000000" w:themeColor="text1"/>
          <w:sz w:val="24"/>
          <w:szCs w:val="24"/>
        </w:rPr>
        <w:t xml:space="preserve"> ou da imputação de débito reduz</w:t>
      </w:r>
      <w:r w:rsidR="00CB1329" w:rsidRPr="00596D1F">
        <w:rPr>
          <w:rFonts w:ascii="Times New Roman" w:hAnsi="Times New Roman"/>
          <w:color w:val="000000" w:themeColor="text1"/>
          <w:sz w:val="24"/>
          <w:szCs w:val="24"/>
        </w:rPr>
        <w:t>-se</w:t>
      </w:r>
      <w:r w:rsidRPr="00596D1F">
        <w:rPr>
          <w:rFonts w:ascii="Times New Roman" w:hAnsi="Times New Roman"/>
          <w:color w:val="000000" w:themeColor="text1"/>
          <w:sz w:val="24"/>
          <w:szCs w:val="24"/>
        </w:rPr>
        <w:t xml:space="preserve">. Para o modelo </w:t>
      </w:r>
      <w:r w:rsidR="000C15B5" w:rsidRPr="00596D1F">
        <w:rPr>
          <w:rFonts w:ascii="Times New Roman" w:hAnsi="Times New Roman"/>
          <w:color w:val="000000" w:themeColor="text1"/>
          <w:sz w:val="24"/>
          <w:szCs w:val="24"/>
        </w:rPr>
        <w:t>3</w:t>
      </w:r>
      <w:r w:rsidRPr="00596D1F">
        <w:rPr>
          <w:rFonts w:ascii="Times New Roman" w:hAnsi="Times New Roman"/>
          <w:color w:val="000000" w:themeColor="text1"/>
          <w:sz w:val="24"/>
          <w:szCs w:val="24"/>
        </w:rPr>
        <w:t xml:space="preserve">, </w:t>
      </w:r>
      <w:r w:rsidR="00E34AFF" w:rsidRPr="00596D1F">
        <w:rPr>
          <w:rFonts w:ascii="Times New Roman" w:hAnsi="Times New Roman"/>
          <w:color w:val="000000" w:themeColor="text1"/>
          <w:sz w:val="24"/>
          <w:szCs w:val="24"/>
        </w:rPr>
        <w:t>q</w:t>
      </w:r>
      <w:r w:rsidR="000C15B5" w:rsidRPr="00596D1F">
        <w:rPr>
          <w:rFonts w:ascii="Times New Roman" w:hAnsi="Times New Roman"/>
          <w:color w:val="000000" w:themeColor="text1"/>
          <w:sz w:val="24"/>
          <w:szCs w:val="24"/>
        </w:rPr>
        <w:t>ue analisa apenas processos com imputação de multa, observou-se um efeito contrário</w:t>
      </w:r>
      <w:r w:rsidR="00CB1329" w:rsidRPr="00596D1F">
        <w:rPr>
          <w:rFonts w:ascii="Times New Roman" w:hAnsi="Times New Roman"/>
          <w:color w:val="000000" w:themeColor="text1"/>
          <w:sz w:val="24"/>
          <w:szCs w:val="24"/>
        </w:rPr>
        <w:t>, logo</w:t>
      </w:r>
      <w:r w:rsidR="00E34AFF" w:rsidRPr="00596D1F">
        <w:rPr>
          <w:rFonts w:ascii="Times New Roman" w:hAnsi="Times New Roman"/>
          <w:color w:val="000000" w:themeColor="text1"/>
          <w:sz w:val="24"/>
          <w:szCs w:val="24"/>
        </w:rPr>
        <w:t>, se o interessado é qualificado como uma prefeitura, o valor médio da multa será maior.</w:t>
      </w:r>
      <w:r w:rsidR="00A71A70">
        <w:rPr>
          <w:rFonts w:ascii="Times New Roman" w:hAnsi="Times New Roman"/>
          <w:color w:val="000000" w:themeColor="text1"/>
          <w:sz w:val="24"/>
          <w:szCs w:val="24"/>
        </w:rPr>
        <w:t xml:space="preserve"> </w:t>
      </w:r>
      <w:r w:rsidR="00E34AFF" w:rsidRPr="00596D1F">
        <w:rPr>
          <w:rFonts w:ascii="Times New Roman" w:hAnsi="Times New Roman"/>
          <w:color w:val="000000" w:themeColor="text1"/>
          <w:sz w:val="24"/>
          <w:szCs w:val="24"/>
        </w:rPr>
        <w:t xml:space="preserve">Para </w:t>
      </w:r>
      <w:r w:rsidR="00CB1329" w:rsidRPr="00596D1F">
        <w:rPr>
          <w:rFonts w:ascii="Times New Roman" w:hAnsi="Times New Roman"/>
          <w:color w:val="000000" w:themeColor="text1"/>
          <w:sz w:val="24"/>
          <w:szCs w:val="24"/>
        </w:rPr>
        <w:t>as</w:t>
      </w:r>
      <w:r w:rsidR="00E34AFF" w:rsidRPr="00596D1F">
        <w:rPr>
          <w:rFonts w:ascii="Times New Roman" w:hAnsi="Times New Roman"/>
          <w:color w:val="000000" w:themeColor="text1"/>
          <w:sz w:val="24"/>
          <w:szCs w:val="24"/>
        </w:rPr>
        <w:t xml:space="preserve"> autarquias, observou-se uma relação negativa e significante nos três modelos analisados. Assim, </w:t>
      </w:r>
      <w:r w:rsidR="008145DB" w:rsidRPr="00596D1F">
        <w:rPr>
          <w:rFonts w:ascii="Times New Roman" w:hAnsi="Times New Roman"/>
          <w:color w:val="000000" w:themeColor="text1"/>
          <w:sz w:val="24"/>
          <w:szCs w:val="24"/>
        </w:rPr>
        <w:t>em média</w:t>
      </w:r>
      <w:r w:rsidR="00E34AFF" w:rsidRPr="00596D1F">
        <w:rPr>
          <w:rFonts w:ascii="Times New Roman" w:hAnsi="Times New Roman"/>
          <w:color w:val="000000" w:themeColor="text1"/>
          <w:sz w:val="24"/>
          <w:szCs w:val="24"/>
        </w:rPr>
        <w:t>, os valores das sanções impostas a título de d</w:t>
      </w:r>
      <w:r w:rsidR="008145DB" w:rsidRPr="00596D1F">
        <w:rPr>
          <w:rFonts w:ascii="Times New Roman" w:hAnsi="Times New Roman"/>
          <w:color w:val="000000" w:themeColor="text1"/>
          <w:sz w:val="24"/>
          <w:szCs w:val="24"/>
        </w:rPr>
        <w:t>ébito e multa são reduzidos quanto o interessado é uma autarquia.</w:t>
      </w:r>
    </w:p>
    <w:p w14:paraId="6670A807" w14:textId="77777777" w:rsidR="00A50185" w:rsidRPr="00596D1F" w:rsidRDefault="00A50185"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O número de fases processuais apresentou significância estatística e relação negativa com o valor do débito, modelo 2. Logo, quanto maior o número de recursos processuais, menor o valor do débito. Para os modelos 1 e 3, o número de fases apresentou uma relação positiva e significante com o valor da multa e da imputação total de débito e multa. Assim, quanto maior o número de recursos processuais, maior o valor da multa.</w:t>
      </w:r>
      <w:r w:rsidR="00252962" w:rsidRPr="00596D1F">
        <w:rPr>
          <w:rFonts w:ascii="Times New Roman" w:hAnsi="Times New Roman"/>
          <w:color w:val="000000" w:themeColor="text1"/>
          <w:sz w:val="24"/>
          <w:szCs w:val="24"/>
        </w:rPr>
        <w:t xml:space="preserve"> Este resultado </w:t>
      </w:r>
      <w:r w:rsidRPr="00596D1F">
        <w:rPr>
          <w:rFonts w:ascii="Times New Roman" w:hAnsi="Times New Roman"/>
          <w:color w:val="000000" w:themeColor="text1"/>
          <w:sz w:val="24"/>
          <w:szCs w:val="24"/>
        </w:rPr>
        <w:t>pode indicar um efeito não desejado por parte do recorrente.</w:t>
      </w:r>
    </w:p>
    <w:p w14:paraId="0AEB028B" w14:textId="489E10D0" w:rsidR="00DF3C54" w:rsidRPr="00596D1F" w:rsidRDefault="00A50185" w:rsidP="000B6B45">
      <w:pPr>
        <w:autoSpaceDE w:val="0"/>
        <w:autoSpaceDN w:val="0"/>
        <w:adjustRightInd w:val="0"/>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 </w:t>
      </w:r>
      <w:r w:rsidR="00DF3C54" w:rsidRPr="00596D1F">
        <w:rPr>
          <w:rFonts w:ascii="Times New Roman" w:hAnsi="Times New Roman"/>
          <w:color w:val="000000" w:themeColor="text1"/>
          <w:sz w:val="24"/>
          <w:szCs w:val="24"/>
        </w:rPr>
        <w:t xml:space="preserve">A indicação de que o ano analisado </w:t>
      </w:r>
      <w:r w:rsidR="009B7E54">
        <w:rPr>
          <w:rFonts w:ascii="Times New Roman" w:hAnsi="Times New Roman"/>
          <w:color w:val="000000" w:themeColor="text1"/>
          <w:sz w:val="24"/>
          <w:szCs w:val="24"/>
        </w:rPr>
        <w:t>se tratava</w:t>
      </w:r>
      <w:r w:rsidR="00DF3C54" w:rsidRPr="00596D1F">
        <w:rPr>
          <w:rFonts w:ascii="Times New Roman" w:hAnsi="Times New Roman"/>
          <w:color w:val="000000" w:themeColor="text1"/>
          <w:sz w:val="24"/>
          <w:szCs w:val="24"/>
        </w:rPr>
        <w:t xml:space="preserve"> de ano eleitoral, apresentou significância estatística e relação negativa com o débito para os </w:t>
      </w:r>
      <w:r w:rsidR="008145DB" w:rsidRPr="00596D1F">
        <w:rPr>
          <w:rFonts w:ascii="Times New Roman" w:hAnsi="Times New Roman"/>
          <w:color w:val="000000" w:themeColor="text1"/>
          <w:sz w:val="24"/>
          <w:szCs w:val="24"/>
        </w:rPr>
        <w:t xml:space="preserve">modelos 1 e 2. </w:t>
      </w:r>
      <w:r w:rsidR="00DF3C54" w:rsidRPr="00596D1F">
        <w:rPr>
          <w:rFonts w:ascii="Times New Roman" w:hAnsi="Times New Roman"/>
          <w:color w:val="000000" w:themeColor="text1"/>
          <w:sz w:val="24"/>
          <w:szCs w:val="24"/>
        </w:rPr>
        <w:t>Portanto, a presença de ano com realização de eleições</w:t>
      </w:r>
      <w:r w:rsidR="008145DB" w:rsidRPr="00596D1F">
        <w:rPr>
          <w:rFonts w:ascii="Times New Roman" w:hAnsi="Times New Roman"/>
          <w:color w:val="000000" w:themeColor="text1"/>
          <w:sz w:val="24"/>
          <w:szCs w:val="24"/>
        </w:rPr>
        <w:t xml:space="preserve"> municipais</w:t>
      </w:r>
      <w:r w:rsidR="00DF3C54" w:rsidRPr="00596D1F">
        <w:rPr>
          <w:rFonts w:ascii="Times New Roman" w:hAnsi="Times New Roman"/>
          <w:color w:val="000000" w:themeColor="text1"/>
          <w:sz w:val="24"/>
          <w:szCs w:val="24"/>
        </w:rPr>
        <w:t xml:space="preserve"> diminui o valor do débito.</w:t>
      </w:r>
      <w:r w:rsidR="008145DB" w:rsidRPr="00596D1F">
        <w:rPr>
          <w:rFonts w:ascii="Times New Roman" w:hAnsi="Times New Roman"/>
          <w:color w:val="000000" w:themeColor="text1"/>
          <w:sz w:val="24"/>
          <w:szCs w:val="24"/>
        </w:rPr>
        <w:t xml:space="preserve"> Enquanto que, no modelo 3, foi encontrada uma relação positiva e significante, assim, a presença de ano com realização de </w:t>
      </w:r>
      <w:r w:rsidR="00252962" w:rsidRPr="00596D1F">
        <w:rPr>
          <w:rFonts w:ascii="Times New Roman" w:hAnsi="Times New Roman"/>
          <w:color w:val="000000" w:themeColor="text1"/>
          <w:sz w:val="24"/>
          <w:szCs w:val="24"/>
        </w:rPr>
        <w:t>eleições aumenta o valor da multa.</w:t>
      </w:r>
    </w:p>
    <w:p w14:paraId="74CD347B" w14:textId="77777777" w:rsidR="00016724" w:rsidRDefault="00016724" w:rsidP="000B6B45">
      <w:pPr>
        <w:spacing w:after="0" w:line="240" w:lineRule="auto"/>
        <w:jc w:val="both"/>
        <w:rPr>
          <w:rFonts w:ascii="Times New Roman" w:hAnsi="Times New Roman"/>
          <w:color w:val="000000" w:themeColor="text1"/>
          <w:sz w:val="24"/>
          <w:szCs w:val="24"/>
        </w:rPr>
      </w:pPr>
    </w:p>
    <w:p w14:paraId="3380DAE0" w14:textId="57A16DF2" w:rsidR="0074260A" w:rsidRPr="00596D1F" w:rsidRDefault="0074260A" w:rsidP="00A94D74">
      <w:pPr>
        <w:pStyle w:val="Ttulo1"/>
        <w:spacing w:after="120"/>
        <w:ind w:left="431" w:hanging="431"/>
        <w:rPr>
          <w:color w:val="000000" w:themeColor="text1"/>
        </w:rPr>
      </w:pPr>
      <w:r>
        <w:rPr>
          <w:color w:val="000000" w:themeColor="text1"/>
        </w:rPr>
        <w:t>Discussão do</w:t>
      </w:r>
      <w:r w:rsidR="00D22D49">
        <w:rPr>
          <w:color w:val="000000" w:themeColor="text1"/>
        </w:rPr>
        <w:t>s</w:t>
      </w:r>
      <w:r>
        <w:rPr>
          <w:color w:val="000000" w:themeColor="text1"/>
        </w:rPr>
        <w:t xml:space="preserve"> resultado</w:t>
      </w:r>
      <w:r w:rsidR="00D22D49">
        <w:rPr>
          <w:color w:val="000000" w:themeColor="text1"/>
        </w:rPr>
        <w:t>s</w:t>
      </w:r>
    </w:p>
    <w:p w14:paraId="412E359D" w14:textId="688ED6B6" w:rsidR="0074260A" w:rsidRPr="004C335F" w:rsidRDefault="00D67929" w:rsidP="0071700B">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O</w:t>
      </w:r>
      <w:r w:rsidR="00D22D49">
        <w:rPr>
          <w:rFonts w:ascii="Times New Roman" w:hAnsi="Times New Roman"/>
          <w:color w:val="000000" w:themeColor="text1"/>
          <w:sz w:val="24"/>
          <w:szCs w:val="24"/>
        </w:rPr>
        <w:t>s</w:t>
      </w:r>
      <w:r w:rsidRPr="004C335F">
        <w:rPr>
          <w:rFonts w:ascii="Times New Roman" w:hAnsi="Times New Roman"/>
          <w:color w:val="000000" w:themeColor="text1"/>
          <w:sz w:val="24"/>
          <w:szCs w:val="24"/>
        </w:rPr>
        <w:t xml:space="preserve"> resultado</w:t>
      </w:r>
      <w:r w:rsidR="00D22D49">
        <w:rPr>
          <w:rFonts w:ascii="Times New Roman" w:hAnsi="Times New Roman"/>
          <w:color w:val="000000" w:themeColor="text1"/>
          <w:sz w:val="24"/>
          <w:szCs w:val="24"/>
        </w:rPr>
        <w:t>s</w:t>
      </w:r>
      <w:r w:rsidR="006D5062" w:rsidRPr="004C335F">
        <w:rPr>
          <w:rFonts w:ascii="Times New Roman" w:hAnsi="Times New Roman"/>
          <w:color w:val="000000" w:themeColor="text1"/>
          <w:sz w:val="24"/>
          <w:szCs w:val="24"/>
        </w:rPr>
        <w:t xml:space="preserve"> descrito</w:t>
      </w:r>
      <w:r w:rsidR="00D22D49">
        <w:rPr>
          <w:rFonts w:ascii="Times New Roman" w:hAnsi="Times New Roman"/>
          <w:color w:val="000000" w:themeColor="text1"/>
          <w:sz w:val="24"/>
          <w:szCs w:val="24"/>
        </w:rPr>
        <w:t>s</w:t>
      </w:r>
      <w:r w:rsidR="006D5062" w:rsidRPr="004C335F">
        <w:rPr>
          <w:rFonts w:ascii="Times New Roman" w:hAnsi="Times New Roman"/>
          <w:color w:val="000000" w:themeColor="text1"/>
          <w:sz w:val="24"/>
          <w:szCs w:val="24"/>
        </w:rPr>
        <w:t xml:space="preserve"> </w:t>
      </w:r>
      <w:r w:rsidR="00D22D49">
        <w:rPr>
          <w:rFonts w:ascii="Times New Roman" w:hAnsi="Times New Roman"/>
          <w:color w:val="000000" w:themeColor="text1"/>
          <w:sz w:val="24"/>
          <w:szCs w:val="24"/>
        </w:rPr>
        <w:t>na seção</w:t>
      </w:r>
      <w:r w:rsidR="006D5062" w:rsidRPr="004C335F">
        <w:rPr>
          <w:rFonts w:ascii="Times New Roman" w:hAnsi="Times New Roman"/>
          <w:color w:val="000000" w:themeColor="text1"/>
          <w:sz w:val="24"/>
          <w:szCs w:val="24"/>
        </w:rPr>
        <w:t xml:space="preserve"> anterior</w:t>
      </w:r>
      <w:r w:rsidRPr="004C335F">
        <w:rPr>
          <w:rFonts w:ascii="Times New Roman" w:hAnsi="Times New Roman"/>
          <w:color w:val="000000" w:themeColor="text1"/>
          <w:sz w:val="24"/>
          <w:szCs w:val="24"/>
        </w:rPr>
        <w:t xml:space="preserve"> mostr</w:t>
      </w:r>
      <w:r w:rsidR="00D22D49">
        <w:rPr>
          <w:rFonts w:ascii="Times New Roman" w:hAnsi="Times New Roman"/>
          <w:color w:val="000000" w:themeColor="text1"/>
          <w:sz w:val="24"/>
          <w:szCs w:val="24"/>
        </w:rPr>
        <w:t>aram</w:t>
      </w:r>
      <w:r w:rsidRPr="004C335F">
        <w:rPr>
          <w:rFonts w:ascii="Times New Roman" w:hAnsi="Times New Roman"/>
          <w:color w:val="000000" w:themeColor="text1"/>
          <w:sz w:val="24"/>
          <w:szCs w:val="24"/>
        </w:rPr>
        <w:t xml:space="preserve"> que os processos com imputação de d</w:t>
      </w:r>
      <w:r w:rsidR="00870A41" w:rsidRPr="004C335F">
        <w:rPr>
          <w:rFonts w:ascii="Times New Roman" w:hAnsi="Times New Roman"/>
          <w:color w:val="000000" w:themeColor="text1"/>
          <w:sz w:val="24"/>
          <w:szCs w:val="24"/>
        </w:rPr>
        <w:t xml:space="preserve">ébito </w:t>
      </w:r>
      <w:r w:rsidR="006D5062" w:rsidRPr="004C335F">
        <w:rPr>
          <w:rFonts w:ascii="Times New Roman" w:hAnsi="Times New Roman"/>
          <w:color w:val="000000" w:themeColor="text1"/>
          <w:sz w:val="24"/>
          <w:szCs w:val="24"/>
        </w:rPr>
        <w:t>tiveram</w:t>
      </w:r>
      <w:r w:rsidR="00870A41" w:rsidRPr="004C335F">
        <w:rPr>
          <w:rFonts w:ascii="Times New Roman" w:hAnsi="Times New Roman"/>
          <w:color w:val="000000" w:themeColor="text1"/>
          <w:sz w:val="24"/>
          <w:szCs w:val="24"/>
        </w:rPr>
        <w:t xml:space="preserve"> </w:t>
      </w:r>
      <w:r w:rsidRPr="004C335F">
        <w:rPr>
          <w:rFonts w:ascii="Times New Roman" w:hAnsi="Times New Roman"/>
          <w:color w:val="000000" w:themeColor="text1"/>
          <w:sz w:val="24"/>
          <w:szCs w:val="24"/>
        </w:rPr>
        <w:t>aumento</w:t>
      </w:r>
      <w:r w:rsidR="00870A41" w:rsidRPr="004C335F">
        <w:rPr>
          <w:rFonts w:ascii="Times New Roman" w:hAnsi="Times New Roman"/>
          <w:color w:val="000000" w:themeColor="text1"/>
          <w:sz w:val="24"/>
          <w:szCs w:val="24"/>
        </w:rPr>
        <w:t xml:space="preserve"> dos valores médios após a vigência da lei</w:t>
      </w:r>
      <w:r w:rsidRPr="004C335F">
        <w:rPr>
          <w:rFonts w:ascii="Times New Roman" w:hAnsi="Times New Roman"/>
          <w:color w:val="000000" w:themeColor="text1"/>
          <w:sz w:val="24"/>
          <w:szCs w:val="24"/>
        </w:rPr>
        <w:t>, todavia, isso n</w:t>
      </w:r>
      <w:r w:rsidR="00A031B7">
        <w:rPr>
          <w:rFonts w:ascii="Times New Roman" w:hAnsi="Times New Roman"/>
          <w:color w:val="000000" w:themeColor="text1"/>
          <w:sz w:val="24"/>
          <w:szCs w:val="24"/>
        </w:rPr>
        <w:t>ão representou crescimento n</w:t>
      </w:r>
      <w:r w:rsidR="000E70F5" w:rsidRPr="004C335F">
        <w:rPr>
          <w:rFonts w:ascii="Times New Roman" w:hAnsi="Times New Roman"/>
          <w:color w:val="000000" w:themeColor="text1"/>
          <w:sz w:val="24"/>
          <w:szCs w:val="24"/>
        </w:rPr>
        <w:t>a</w:t>
      </w:r>
      <w:r w:rsidRPr="004C335F">
        <w:rPr>
          <w:rFonts w:ascii="Times New Roman" w:hAnsi="Times New Roman"/>
          <w:color w:val="000000" w:themeColor="text1"/>
          <w:sz w:val="24"/>
          <w:szCs w:val="24"/>
        </w:rPr>
        <w:t xml:space="preserve"> </w:t>
      </w:r>
      <w:r w:rsidR="006D5062" w:rsidRPr="004C335F">
        <w:rPr>
          <w:rFonts w:ascii="Times New Roman" w:hAnsi="Times New Roman"/>
          <w:color w:val="000000" w:themeColor="text1"/>
          <w:sz w:val="24"/>
          <w:szCs w:val="24"/>
        </w:rPr>
        <w:t>quantidade desses</w:t>
      </w:r>
      <w:r w:rsidRPr="004C335F">
        <w:rPr>
          <w:rFonts w:ascii="Times New Roman" w:hAnsi="Times New Roman"/>
          <w:color w:val="000000" w:themeColor="text1"/>
          <w:sz w:val="24"/>
          <w:szCs w:val="24"/>
        </w:rPr>
        <w:t xml:space="preserve"> processos. </w:t>
      </w:r>
      <w:r w:rsidR="00870A41" w:rsidRPr="004C335F">
        <w:rPr>
          <w:rFonts w:ascii="Times New Roman" w:hAnsi="Times New Roman"/>
          <w:color w:val="000000" w:themeColor="text1"/>
          <w:sz w:val="24"/>
          <w:szCs w:val="24"/>
        </w:rPr>
        <w:t xml:space="preserve">Uma possível explicação para o </w:t>
      </w:r>
      <w:r w:rsidR="00A031B7">
        <w:rPr>
          <w:rFonts w:ascii="Times New Roman" w:hAnsi="Times New Roman"/>
          <w:color w:val="000000" w:themeColor="text1"/>
          <w:sz w:val="24"/>
          <w:szCs w:val="24"/>
        </w:rPr>
        <w:t>fato</w:t>
      </w:r>
      <w:r w:rsidR="00870A41" w:rsidRPr="004C335F">
        <w:rPr>
          <w:rFonts w:ascii="Times New Roman" w:hAnsi="Times New Roman"/>
          <w:color w:val="000000" w:themeColor="text1"/>
          <w:sz w:val="24"/>
          <w:szCs w:val="24"/>
        </w:rPr>
        <w:t xml:space="preserve"> é que</w:t>
      </w:r>
      <w:r w:rsidR="00A031B7">
        <w:rPr>
          <w:rFonts w:ascii="Times New Roman" w:hAnsi="Times New Roman"/>
          <w:color w:val="000000" w:themeColor="text1"/>
          <w:sz w:val="24"/>
          <w:szCs w:val="24"/>
        </w:rPr>
        <w:t>,</w:t>
      </w:r>
      <w:r w:rsidR="00870A41" w:rsidRPr="004C335F">
        <w:rPr>
          <w:rFonts w:ascii="Times New Roman" w:hAnsi="Times New Roman"/>
          <w:color w:val="000000" w:themeColor="text1"/>
          <w:sz w:val="24"/>
          <w:szCs w:val="24"/>
        </w:rPr>
        <w:t xml:space="preserve"> embora o número de processos com imputação de </w:t>
      </w:r>
      <w:r w:rsidR="00A031B7">
        <w:rPr>
          <w:rFonts w:ascii="Times New Roman" w:hAnsi="Times New Roman"/>
          <w:color w:val="000000" w:themeColor="text1"/>
          <w:sz w:val="24"/>
          <w:szCs w:val="24"/>
        </w:rPr>
        <w:t>débito tenha reduzido com a LAI</w:t>
      </w:r>
      <w:r w:rsidR="00870A41" w:rsidRPr="004C335F">
        <w:rPr>
          <w:rFonts w:ascii="Times New Roman" w:hAnsi="Times New Roman"/>
          <w:color w:val="000000" w:themeColor="text1"/>
          <w:sz w:val="24"/>
          <w:szCs w:val="24"/>
        </w:rPr>
        <w:t xml:space="preserve"> a qualidade da informação prestada pelos gestores públicos propiciou uma melhor averiguação d</w:t>
      </w:r>
      <w:r w:rsidR="00A031B7">
        <w:rPr>
          <w:rFonts w:ascii="Times New Roman" w:hAnsi="Times New Roman"/>
          <w:color w:val="000000" w:themeColor="text1"/>
          <w:sz w:val="24"/>
          <w:szCs w:val="24"/>
        </w:rPr>
        <w:t>e</w:t>
      </w:r>
      <w:r w:rsidR="00870A41" w:rsidRPr="004C335F">
        <w:rPr>
          <w:rFonts w:ascii="Times New Roman" w:hAnsi="Times New Roman"/>
          <w:color w:val="000000" w:themeColor="text1"/>
          <w:sz w:val="24"/>
          <w:szCs w:val="24"/>
        </w:rPr>
        <w:t xml:space="preserve"> irregularidades </w:t>
      </w:r>
      <w:r w:rsidR="00A031B7">
        <w:rPr>
          <w:rFonts w:ascii="Times New Roman" w:hAnsi="Times New Roman"/>
          <w:color w:val="000000" w:themeColor="text1"/>
          <w:sz w:val="24"/>
          <w:szCs w:val="24"/>
        </w:rPr>
        <w:t>por parte dos</w:t>
      </w:r>
      <w:r w:rsidR="00870A41" w:rsidRPr="004C335F">
        <w:rPr>
          <w:rFonts w:ascii="Times New Roman" w:hAnsi="Times New Roman"/>
          <w:color w:val="000000" w:themeColor="text1"/>
          <w:sz w:val="24"/>
          <w:szCs w:val="24"/>
        </w:rPr>
        <w:t xml:space="preserve"> agentes públicos fiscalizadores do </w:t>
      </w:r>
      <w:r w:rsidR="00E06D68">
        <w:rPr>
          <w:rFonts w:ascii="Times New Roman" w:hAnsi="Times New Roman"/>
          <w:color w:val="000000" w:themeColor="text1"/>
          <w:sz w:val="24"/>
          <w:szCs w:val="24"/>
        </w:rPr>
        <w:t>t</w:t>
      </w:r>
      <w:r w:rsidR="00870A41" w:rsidRPr="004C335F">
        <w:rPr>
          <w:rFonts w:ascii="Times New Roman" w:hAnsi="Times New Roman"/>
          <w:color w:val="000000" w:themeColor="text1"/>
          <w:sz w:val="24"/>
          <w:szCs w:val="24"/>
        </w:rPr>
        <w:t xml:space="preserve">ribunal de </w:t>
      </w:r>
      <w:r w:rsidR="00E06D68">
        <w:rPr>
          <w:rFonts w:ascii="Times New Roman" w:hAnsi="Times New Roman"/>
          <w:color w:val="000000" w:themeColor="text1"/>
          <w:sz w:val="24"/>
          <w:szCs w:val="24"/>
        </w:rPr>
        <w:t>c</w:t>
      </w:r>
      <w:r w:rsidR="00870A41" w:rsidRPr="004C335F">
        <w:rPr>
          <w:rFonts w:ascii="Times New Roman" w:hAnsi="Times New Roman"/>
          <w:color w:val="000000" w:themeColor="text1"/>
          <w:sz w:val="24"/>
          <w:szCs w:val="24"/>
        </w:rPr>
        <w:t xml:space="preserve">ontas, </w:t>
      </w:r>
      <w:r w:rsidR="00E37AD7">
        <w:rPr>
          <w:rFonts w:ascii="Times New Roman" w:hAnsi="Times New Roman"/>
          <w:color w:val="000000" w:themeColor="text1"/>
          <w:sz w:val="24"/>
          <w:szCs w:val="24"/>
        </w:rPr>
        <w:t>que culmina</w:t>
      </w:r>
      <w:r w:rsidR="006D5062" w:rsidRPr="004C335F">
        <w:rPr>
          <w:rFonts w:ascii="Times New Roman" w:hAnsi="Times New Roman"/>
          <w:color w:val="000000" w:themeColor="text1"/>
          <w:sz w:val="24"/>
          <w:szCs w:val="24"/>
        </w:rPr>
        <w:t xml:space="preserve"> com imposição</w:t>
      </w:r>
      <w:r w:rsidR="00870A41" w:rsidRPr="004C335F">
        <w:rPr>
          <w:rFonts w:ascii="Times New Roman" w:hAnsi="Times New Roman"/>
          <w:color w:val="000000" w:themeColor="text1"/>
          <w:sz w:val="24"/>
          <w:szCs w:val="24"/>
        </w:rPr>
        <w:t xml:space="preserve"> de valores de débitos maiores.</w:t>
      </w:r>
      <w:r w:rsidR="00973382" w:rsidRPr="004C335F">
        <w:rPr>
          <w:rFonts w:ascii="Times New Roman" w:hAnsi="Times New Roman"/>
          <w:color w:val="000000" w:themeColor="text1"/>
          <w:sz w:val="24"/>
          <w:szCs w:val="24"/>
        </w:rPr>
        <w:t xml:space="preserve"> </w:t>
      </w:r>
    </w:p>
    <w:p w14:paraId="4907C7B5" w14:textId="4ACFDFD4" w:rsidR="006D2C9E" w:rsidRPr="004C335F" w:rsidRDefault="006D5062" w:rsidP="0071700B">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Este quadro</w:t>
      </w:r>
      <w:r w:rsidR="00D67929" w:rsidRPr="004C335F">
        <w:rPr>
          <w:rFonts w:ascii="Times New Roman" w:hAnsi="Times New Roman"/>
          <w:color w:val="000000" w:themeColor="text1"/>
          <w:sz w:val="24"/>
          <w:szCs w:val="24"/>
        </w:rPr>
        <w:t xml:space="preserve"> é confirmado quando se apurou que as sanções líquidas</w:t>
      </w:r>
      <w:r w:rsidR="002C4434" w:rsidRPr="004C335F">
        <w:rPr>
          <w:rFonts w:ascii="Times New Roman" w:hAnsi="Times New Roman"/>
          <w:color w:val="000000" w:themeColor="text1"/>
          <w:sz w:val="24"/>
          <w:szCs w:val="24"/>
        </w:rPr>
        <w:t>,</w:t>
      </w:r>
      <w:r w:rsidR="00D67929" w:rsidRPr="004C335F">
        <w:rPr>
          <w:rFonts w:ascii="Times New Roman" w:hAnsi="Times New Roman"/>
          <w:color w:val="000000" w:themeColor="text1"/>
          <w:sz w:val="24"/>
          <w:szCs w:val="24"/>
        </w:rPr>
        <w:t xml:space="preserve"> após descontados os valores anulados por interposição e julgamento de recursos favoráveis aos jurisdicionados, tiveram médias estatisticamente diferentes. </w:t>
      </w:r>
      <w:r w:rsidR="002C4434" w:rsidRPr="004C335F">
        <w:rPr>
          <w:rFonts w:ascii="Times New Roman" w:hAnsi="Times New Roman"/>
          <w:color w:val="000000" w:themeColor="text1"/>
          <w:sz w:val="24"/>
          <w:szCs w:val="24"/>
        </w:rPr>
        <w:t>Depois</w:t>
      </w:r>
      <w:r w:rsidR="00D67929" w:rsidRPr="004C335F">
        <w:rPr>
          <w:rFonts w:ascii="Times New Roman" w:hAnsi="Times New Roman"/>
          <w:color w:val="000000" w:themeColor="text1"/>
          <w:sz w:val="24"/>
          <w:szCs w:val="24"/>
        </w:rPr>
        <w:t xml:space="preserve"> da LAI</w:t>
      </w:r>
      <w:r w:rsidRPr="004C335F">
        <w:rPr>
          <w:rFonts w:ascii="Times New Roman" w:hAnsi="Times New Roman"/>
          <w:color w:val="000000" w:themeColor="text1"/>
          <w:sz w:val="24"/>
          <w:szCs w:val="24"/>
        </w:rPr>
        <w:t>,</w:t>
      </w:r>
      <w:r w:rsidR="00D67929" w:rsidRPr="004C335F">
        <w:rPr>
          <w:rFonts w:ascii="Times New Roman" w:hAnsi="Times New Roman"/>
          <w:color w:val="000000" w:themeColor="text1"/>
          <w:sz w:val="24"/>
          <w:szCs w:val="24"/>
        </w:rPr>
        <w:t xml:space="preserve"> o número de imputa</w:t>
      </w:r>
      <w:r w:rsidR="00CB1459" w:rsidRPr="004C335F">
        <w:rPr>
          <w:rFonts w:ascii="Times New Roman" w:hAnsi="Times New Roman"/>
          <w:color w:val="000000" w:themeColor="text1"/>
          <w:sz w:val="24"/>
          <w:szCs w:val="24"/>
        </w:rPr>
        <w:t>ção de débito e multa diminuiu aproximadamente 19% (de 32.044 para 25.957 processos)</w:t>
      </w:r>
      <w:r w:rsidR="002C4434" w:rsidRPr="004C335F">
        <w:rPr>
          <w:rFonts w:ascii="Times New Roman" w:hAnsi="Times New Roman"/>
          <w:color w:val="000000" w:themeColor="text1"/>
          <w:sz w:val="24"/>
          <w:szCs w:val="24"/>
        </w:rPr>
        <w:t xml:space="preserve"> e o valor </w:t>
      </w:r>
      <w:r w:rsidR="00CB1459" w:rsidRPr="004C335F">
        <w:rPr>
          <w:rFonts w:ascii="Times New Roman" w:hAnsi="Times New Roman"/>
          <w:color w:val="000000" w:themeColor="text1"/>
          <w:sz w:val="24"/>
          <w:szCs w:val="24"/>
        </w:rPr>
        <w:t>médio da</w:t>
      </w:r>
      <w:r w:rsidR="00500917" w:rsidRPr="004C335F">
        <w:rPr>
          <w:rFonts w:ascii="Times New Roman" w:hAnsi="Times New Roman"/>
          <w:color w:val="000000" w:themeColor="text1"/>
          <w:sz w:val="24"/>
          <w:szCs w:val="24"/>
        </w:rPr>
        <w:t>s</w:t>
      </w:r>
      <w:r w:rsidR="00CB1459" w:rsidRPr="004C335F">
        <w:rPr>
          <w:rFonts w:ascii="Times New Roman" w:hAnsi="Times New Roman"/>
          <w:color w:val="000000" w:themeColor="text1"/>
          <w:sz w:val="24"/>
          <w:szCs w:val="24"/>
        </w:rPr>
        <w:t xml:space="preserve"> penalidade</w:t>
      </w:r>
      <w:r w:rsidR="00500917" w:rsidRPr="004C335F">
        <w:rPr>
          <w:rFonts w:ascii="Times New Roman" w:hAnsi="Times New Roman"/>
          <w:color w:val="000000" w:themeColor="text1"/>
          <w:sz w:val="24"/>
          <w:szCs w:val="24"/>
        </w:rPr>
        <w:t xml:space="preserve">s </w:t>
      </w:r>
      <w:r w:rsidRPr="004C335F">
        <w:rPr>
          <w:rFonts w:ascii="Times New Roman" w:hAnsi="Times New Roman"/>
          <w:color w:val="000000" w:themeColor="text1"/>
          <w:sz w:val="24"/>
          <w:szCs w:val="24"/>
        </w:rPr>
        <w:t>quase duplicou</w:t>
      </w:r>
      <w:r w:rsidR="00CB1459" w:rsidRPr="004C335F">
        <w:rPr>
          <w:rFonts w:ascii="Times New Roman" w:hAnsi="Times New Roman"/>
          <w:color w:val="000000" w:themeColor="text1"/>
          <w:sz w:val="24"/>
          <w:szCs w:val="24"/>
        </w:rPr>
        <w:t xml:space="preserve"> (de R</w:t>
      </w:r>
      <w:r w:rsidR="00500917" w:rsidRPr="004C335F">
        <w:rPr>
          <w:rFonts w:ascii="Times New Roman" w:hAnsi="Times New Roman"/>
          <w:color w:val="000000" w:themeColor="text1"/>
          <w:sz w:val="24"/>
          <w:szCs w:val="24"/>
        </w:rPr>
        <w:t xml:space="preserve">$ 34.407,26, para R$ 68.736,30). Este dado vai ao encontro do que disseram </w:t>
      </w:r>
      <w:r w:rsidR="006D2C9E" w:rsidRPr="004C335F">
        <w:rPr>
          <w:rFonts w:ascii="Times New Roman" w:hAnsi="Times New Roman"/>
          <w:color w:val="000000" w:themeColor="text1"/>
          <w:sz w:val="24"/>
          <w:szCs w:val="24"/>
        </w:rPr>
        <w:t xml:space="preserve">Medeiros, Magalhães e Pereira (2014), para os quais a transparência </w:t>
      </w:r>
      <w:r w:rsidR="00A031B7">
        <w:rPr>
          <w:rFonts w:ascii="Times New Roman" w:hAnsi="Times New Roman"/>
          <w:color w:val="000000" w:themeColor="text1"/>
          <w:sz w:val="24"/>
          <w:szCs w:val="24"/>
        </w:rPr>
        <w:t>propicia</w:t>
      </w:r>
      <w:r w:rsidR="006D2C9E" w:rsidRPr="004C335F">
        <w:rPr>
          <w:rFonts w:ascii="Times New Roman" w:hAnsi="Times New Roman"/>
          <w:color w:val="000000" w:themeColor="text1"/>
          <w:sz w:val="24"/>
          <w:szCs w:val="24"/>
        </w:rPr>
        <w:t xml:space="preserve"> </w:t>
      </w:r>
      <w:r w:rsidR="00500917" w:rsidRPr="004C335F">
        <w:rPr>
          <w:rFonts w:ascii="Times New Roman" w:hAnsi="Times New Roman"/>
          <w:color w:val="000000" w:themeColor="text1"/>
          <w:sz w:val="24"/>
          <w:szCs w:val="24"/>
        </w:rPr>
        <w:t>uma melhor prestação de contas e</w:t>
      </w:r>
      <w:r w:rsidR="00A031B7">
        <w:rPr>
          <w:rFonts w:ascii="Times New Roman" w:hAnsi="Times New Roman"/>
          <w:color w:val="000000" w:themeColor="text1"/>
          <w:sz w:val="24"/>
          <w:szCs w:val="24"/>
        </w:rPr>
        <w:t>,</w:t>
      </w:r>
      <w:r w:rsidR="00500917" w:rsidRPr="004C335F">
        <w:rPr>
          <w:rFonts w:ascii="Times New Roman" w:hAnsi="Times New Roman"/>
          <w:color w:val="000000" w:themeColor="text1"/>
          <w:sz w:val="24"/>
          <w:szCs w:val="24"/>
        </w:rPr>
        <w:t xml:space="preserve"> com isto, </w:t>
      </w:r>
      <w:r w:rsidR="006D2C9E" w:rsidRPr="004C335F">
        <w:rPr>
          <w:rFonts w:ascii="Times New Roman" w:hAnsi="Times New Roman"/>
          <w:color w:val="000000" w:themeColor="text1"/>
          <w:sz w:val="24"/>
          <w:szCs w:val="24"/>
        </w:rPr>
        <w:t xml:space="preserve">os órgãos fiscalizadores aumentam sua eficiência na </w:t>
      </w:r>
      <w:r w:rsidR="00A031B7">
        <w:rPr>
          <w:rFonts w:ascii="Times New Roman" w:hAnsi="Times New Roman"/>
          <w:color w:val="000000" w:themeColor="text1"/>
          <w:sz w:val="24"/>
          <w:szCs w:val="24"/>
        </w:rPr>
        <w:t>apuração</w:t>
      </w:r>
      <w:r w:rsidR="006D2C9E" w:rsidRPr="004C335F">
        <w:rPr>
          <w:rFonts w:ascii="Times New Roman" w:hAnsi="Times New Roman"/>
          <w:color w:val="000000" w:themeColor="text1"/>
          <w:sz w:val="24"/>
          <w:szCs w:val="24"/>
        </w:rPr>
        <w:t xml:space="preserve"> de ilícitos que resultam em </w:t>
      </w:r>
      <w:r w:rsidRPr="004C335F">
        <w:rPr>
          <w:rFonts w:ascii="Times New Roman" w:hAnsi="Times New Roman"/>
          <w:color w:val="000000" w:themeColor="text1"/>
          <w:sz w:val="24"/>
          <w:szCs w:val="24"/>
        </w:rPr>
        <w:t>montantes maiores</w:t>
      </w:r>
      <w:r w:rsidR="006D2C9E" w:rsidRPr="004C335F">
        <w:rPr>
          <w:rFonts w:ascii="Times New Roman" w:hAnsi="Times New Roman"/>
          <w:color w:val="000000" w:themeColor="text1"/>
          <w:sz w:val="24"/>
          <w:szCs w:val="24"/>
        </w:rPr>
        <w:t xml:space="preserve"> a serem restituídos à sociedade, na forma de valores de débitos e multas impostas. </w:t>
      </w:r>
    </w:p>
    <w:p w14:paraId="02E61984" w14:textId="77777777" w:rsidR="00E37AD7" w:rsidRDefault="00BF6600" w:rsidP="00BF6600">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 xml:space="preserve">A nova </w:t>
      </w:r>
      <w:r w:rsidR="006D5062" w:rsidRPr="004C335F">
        <w:rPr>
          <w:rFonts w:ascii="Times New Roman" w:hAnsi="Times New Roman"/>
          <w:color w:val="000000" w:themeColor="text1"/>
          <w:sz w:val="24"/>
          <w:szCs w:val="24"/>
        </w:rPr>
        <w:t xml:space="preserve">regulação </w:t>
      </w:r>
      <w:r w:rsidR="00A031B7">
        <w:rPr>
          <w:rFonts w:ascii="Times New Roman" w:hAnsi="Times New Roman"/>
          <w:color w:val="000000" w:themeColor="text1"/>
          <w:sz w:val="24"/>
          <w:szCs w:val="24"/>
        </w:rPr>
        <w:t>do</w:t>
      </w:r>
      <w:r w:rsidR="006D5062" w:rsidRPr="004C335F">
        <w:rPr>
          <w:rFonts w:ascii="Times New Roman" w:hAnsi="Times New Roman"/>
          <w:color w:val="000000" w:themeColor="text1"/>
          <w:sz w:val="24"/>
          <w:szCs w:val="24"/>
        </w:rPr>
        <w:t xml:space="preserve"> acesso </w:t>
      </w:r>
      <w:r w:rsidR="00A031B7" w:rsidRPr="004C335F">
        <w:rPr>
          <w:rFonts w:ascii="Times New Roman" w:hAnsi="Times New Roman"/>
          <w:color w:val="000000" w:themeColor="text1"/>
          <w:sz w:val="24"/>
          <w:szCs w:val="24"/>
        </w:rPr>
        <w:t>à</w:t>
      </w:r>
      <w:r w:rsidR="006D5062" w:rsidRPr="004C335F">
        <w:rPr>
          <w:rFonts w:ascii="Times New Roman" w:hAnsi="Times New Roman"/>
          <w:color w:val="000000" w:themeColor="text1"/>
          <w:sz w:val="24"/>
          <w:szCs w:val="24"/>
        </w:rPr>
        <w:t xml:space="preserve"> informação parece ter alterado a forma de as pessoas sujeitas a ela, como</w:t>
      </w:r>
      <w:r w:rsidR="000E70F5" w:rsidRPr="004C335F">
        <w:rPr>
          <w:rFonts w:ascii="Times New Roman" w:hAnsi="Times New Roman"/>
          <w:color w:val="000000" w:themeColor="text1"/>
          <w:sz w:val="24"/>
          <w:szCs w:val="24"/>
        </w:rPr>
        <w:t>,</w:t>
      </w:r>
      <w:r w:rsidR="006D5062" w:rsidRPr="004C335F">
        <w:rPr>
          <w:rFonts w:ascii="Times New Roman" w:hAnsi="Times New Roman"/>
          <w:color w:val="000000" w:themeColor="text1"/>
          <w:sz w:val="24"/>
          <w:szCs w:val="24"/>
        </w:rPr>
        <w:t xml:space="preserve"> por exemplo</w:t>
      </w:r>
      <w:r w:rsidR="000E70F5" w:rsidRPr="004C335F">
        <w:rPr>
          <w:rFonts w:ascii="Times New Roman" w:hAnsi="Times New Roman"/>
          <w:color w:val="000000" w:themeColor="text1"/>
          <w:sz w:val="24"/>
          <w:szCs w:val="24"/>
        </w:rPr>
        <w:t>,</w:t>
      </w:r>
      <w:r w:rsidR="006D5062" w:rsidRPr="004C335F">
        <w:rPr>
          <w:rFonts w:ascii="Times New Roman" w:hAnsi="Times New Roman"/>
          <w:color w:val="000000" w:themeColor="text1"/>
          <w:sz w:val="24"/>
          <w:szCs w:val="24"/>
        </w:rPr>
        <w:t xml:space="preserve"> os administradores de recursos públicos e, especialmente, os agentes públicos d</w:t>
      </w:r>
      <w:r w:rsidR="00A031B7">
        <w:rPr>
          <w:rFonts w:ascii="Times New Roman" w:hAnsi="Times New Roman"/>
          <w:color w:val="000000" w:themeColor="text1"/>
          <w:sz w:val="24"/>
          <w:szCs w:val="24"/>
        </w:rPr>
        <w:t>o</w:t>
      </w:r>
      <w:r w:rsidR="006D5062" w:rsidRPr="004C335F">
        <w:rPr>
          <w:rFonts w:ascii="Times New Roman" w:hAnsi="Times New Roman"/>
          <w:color w:val="000000" w:themeColor="text1"/>
          <w:sz w:val="24"/>
          <w:szCs w:val="24"/>
        </w:rPr>
        <w:t xml:space="preserve"> </w:t>
      </w:r>
      <w:r w:rsidR="00E06D68">
        <w:rPr>
          <w:rFonts w:ascii="Times New Roman" w:hAnsi="Times New Roman"/>
          <w:color w:val="000000" w:themeColor="text1"/>
          <w:sz w:val="24"/>
          <w:szCs w:val="24"/>
        </w:rPr>
        <w:t>TCM-GO</w:t>
      </w:r>
      <w:r w:rsidR="006D5062" w:rsidRPr="004C335F">
        <w:rPr>
          <w:rFonts w:ascii="Times New Roman" w:hAnsi="Times New Roman"/>
          <w:color w:val="000000" w:themeColor="text1"/>
          <w:sz w:val="24"/>
          <w:szCs w:val="24"/>
        </w:rPr>
        <w:t xml:space="preserve"> comportarem-se. Como foi visto, ao testar a LAI como variável preditora para a aplicação de punição por parte dos agentes públicos, nos três modelos</w:t>
      </w:r>
      <w:r w:rsidR="00A031B7">
        <w:rPr>
          <w:rFonts w:ascii="Times New Roman" w:hAnsi="Times New Roman"/>
          <w:color w:val="000000" w:themeColor="text1"/>
          <w:sz w:val="24"/>
          <w:szCs w:val="24"/>
        </w:rPr>
        <w:t>,</w:t>
      </w:r>
      <w:r w:rsidR="006D5062" w:rsidRPr="004C335F">
        <w:rPr>
          <w:rFonts w:ascii="Times New Roman" w:hAnsi="Times New Roman"/>
          <w:color w:val="000000" w:themeColor="text1"/>
          <w:sz w:val="24"/>
          <w:szCs w:val="24"/>
        </w:rPr>
        <w:t xml:space="preserve"> foi possível constatar sua influência</w:t>
      </w:r>
      <w:r w:rsidR="00A031B7">
        <w:rPr>
          <w:rFonts w:ascii="Times New Roman" w:hAnsi="Times New Roman"/>
          <w:color w:val="000000" w:themeColor="text1"/>
          <w:sz w:val="24"/>
          <w:szCs w:val="24"/>
        </w:rPr>
        <w:t xml:space="preserve"> relevante,</w:t>
      </w:r>
      <w:r w:rsidR="006D5062" w:rsidRPr="004C335F">
        <w:rPr>
          <w:rFonts w:ascii="Times New Roman" w:hAnsi="Times New Roman"/>
          <w:color w:val="000000" w:themeColor="text1"/>
          <w:sz w:val="24"/>
          <w:szCs w:val="24"/>
        </w:rPr>
        <w:t xml:space="preserve"> estatisticamente</w:t>
      </w:r>
      <w:r w:rsidR="00A031B7">
        <w:rPr>
          <w:rFonts w:ascii="Times New Roman" w:hAnsi="Times New Roman"/>
          <w:color w:val="000000" w:themeColor="text1"/>
          <w:sz w:val="24"/>
          <w:szCs w:val="24"/>
        </w:rPr>
        <w:t>,</w:t>
      </w:r>
      <w:r w:rsidR="006D5062" w:rsidRPr="004C335F">
        <w:rPr>
          <w:rFonts w:ascii="Times New Roman" w:hAnsi="Times New Roman"/>
          <w:color w:val="000000" w:themeColor="text1"/>
          <w:sz w:val="24"/>
          <w:szCs w:val="24"/>
        </w:rPr>
        <w:t xml:space="preserve"> para explicar a alteração ocorrida.</w:t>
      </w:r>
    </w:p>
    <w:p w14:paraId="79D99204" w14:textId="0E17415D" w:rsidR="00500917" w:rsidRPr="004C335F" w:rsidRDefault="006D5062" w:rsidP="00BF6600">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lastRenderedPageBreak/>
        <w:t>Ressalt</w:t>
      </w:r>
      <w:r w:rsidR="00E06D68">
        <w:rPr>
          <w:rFonts w:ascii="Times New Roman" w:hAnsi="Times New Roman"/>
          <w:color w:val="000000" w:themeColor="text1"/>
          <w:sz w:val="24"/>
          <w:szCs w:val="24"/>
        </w:rPr>
        <w:t>e</w:t>
      </w:r>
      <w:r w:rsidRPr="004C335F">
        <w:rPr>
          <w:rFonts w:ascii="Times New Roman" w:hAnsi="Times New Roman"/>
          <w:color w:val="000000" w:themeColor="text1"/>
          <w:sz w:val="24"/>
          <w:szCs w:val="24"/>
        </w:rPr>
        <w:t xml:space="preserve">-se que a lei não </w:t>
      </w:r>
      <w:r w:rsidR="00A031B7">
        <w:rPr>
          <w:rFonts w:ascii="Times New Roman" w:hAnsi="Times New Roman"/>
          <w:color w:val="000000" w:themeColor="text1"/>
          <w:sz w:val="24"/>
          <w:szCs w:val="24"/>
        </w:rPr>
        <w:t>é</w:t>
      </w:r>
      <w:r w:rsidRPr="004C335F">
        <w:rPr>
          <w:rFonts w:ascii="Times New Roman" w:hAnsi="Times New Roman"/>
          <w:color w:val="000000" w:themeColor="text1"/>
          <w:sz w:val="24"/>
          <w:szCs w:val="24"/>
        </w:rPr>
        <w:t xml:space="preserve"> o único determinante</w:t>
      </w:r>
      <w:r w:rsidR="00A031B7">
        <w:rPr>
          <w:rFonts w:ascii="Times New Roman" w:hAnsi="Times New Roman"/>
          <w:color w:val="000000" w:themeColor="text1"/>
          <w:sz w:val="24"/>
          <w:szCs w:val="24"/>
        </w:rPr>
        <w:t>, podendo existir outras variáveis como maior aparelhamento da fiscalização em termos materiais, tecnológicos e humanos</w:t>
      </w:r>
      <w:r w:rsidR="00E06D68">
        <w:rPr>
          <w:rFonts w:ascii="Times New Roman" w:hAnsi="Times New Roman"/>
          <w:color w:val="000000" w:themeColor="text1"/>
          <w:sz w:val="24"/>
          <w:szCs w:val="24"/>
        </w:rPr>
        <w:t>,</w:t>
      </w:r>
      <w:r w:rsidR="00A031B7">
        <w:rPr>
          <w:rFonts w:ascii="Times New Roman" w:hAnsi="Times New Roman"/>
          <w:color w:val="000000" w:themeColor="text1"/>
          <w:sz w:val="24"/>
          <w:szCs w:val="24"/>
        </w:rPr>
        <w:t xml:space="preserve"> dentre outras</w:t>
      </w:r>
      <w:r w:rsidR="00E37AD7">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porém, é possível dizer que a sua promulgação alterou as ações de fiscalização </w:t>
      </w:r>
      <w:r w:rsidR="00A031B7">
        <w:rPr>
          <w:rFonts w:ascii="Times New Roman" w:hAnsi="Times New Roman"/>
          <w:color w:val="000000" w:themeColor="text1"/>
          <w:sz w:val="24"/>
          <w:szCs w:val="24"/>
        </w:rPr>
        <w:t>e de aplicação de</w:t>
      </w:r>
      <w:r w:rsidRPr="004C335F">
        <w:rPr>
          <w:rFonts w:ascii="Times New Roman" w:hAnsi="Times New Roman"/>
          <w:color w:val="000000" w:themeColor="text1"/>
          <w:sz w:val="24"/>
          <w:szCs w:val="24"/>
        </w:rPr>
        <w:t xml:space="preserve"> punição, </w:t>
      </w:r>
      <w:r w:rsidR="00A031B7">
        <w:rPr>
          <w:rFonts w:ascii="Times New Roman" w:hAnsi="Times New Roman"/>
          <w:color w:val="000000" w:themeColor="text1"/>
          <w:sz w:val="24"/>
          <w:szCs w:val="24"/>
        </w:rPr>
        <w:t>ao aumentar</w:t>
      </w:r>
      <w:r w:rsidRPr="004C335F">
        <w:rPr>
          <w:rFonts w:ascii="Times New Roman" w:hAnsi="Times New Roman"/>
          <w:color w:val="000000" w:themeColor="text1"/>
          <w:sz w:val="24"/>
          <w:szCs w:val="24"/>
        </w:rPr>
        <w:t xml:space="preserve"> os valores de condenação, mesmo que reduzindo o número de processos auditados. </w:t>
      </w:r>
    </w:p>
    <w:p w14:paraId="2415266B" w14:textId="77777777" w:rsidR="00E37AD7" w:rsidRDefault="00E06D68" w:rsidP="000E70F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Acrescenta-se</w:t>
      </w:r>
      <w:r w:rsidR="000E70F5" w:rsidRPr="004C335F">
        <w:rPr>
          <w:rFonts w:ascii="Times New Roman" w:hAnsi="Times New Roman"/>
          <w:color w:val="000000" w:themeColor="text1"/>
          <w:sz w:val="24"/>
          <w:szCs w:val="24"/>
        </w:rPr>
        <w:t xml:space="preserve"> que</w:t>
      </w:r>
      <w:r>
        <w:rPr>
          <w:rFonts w:ascii="Times New Roman" w:hAnsi="Times New Roman"/>
          <w:color w:val="000000" w:themeColor="text1"/>
          <w:sz w:val="24"/>
          <w:szCs w:val="24"/>
        </w:rPr>
        <w:t>,</w:t>
      </w:r>
      <w:r w:rsidR="000E70F5" w:rsidRPr="004C335F">
        <w:rPr>
          <w:rFonts w:ascii="Times New Roman" w:hAnsi="Times New Roman"/>
          <w:color w:val="000000" w:themeColor="text1"/>
          <w:sz w:val="24"/>
          <w:szCs w:val="24"/>
        </w:rPr>
        <w:t xml:space="preserve"> o comportamento dos profissionais </w:t>
      </w:r>
      <w:r w:rsidR="00A031B7">
        <w:rPr>
          <w:rFonts w:ascii="Times New Roman" w:hAnsi="Times New Roman"/>
          <w:color w:val="000000" w:themeColor="text1"/>
          <w:sz w:val="24"/>
          <w:szCs w:val="24"/>
        </w:rPr>
        <w:t>da Cort</w:t>
      </w:r>
      <w:r>
        <w:rPr>
          <w:rFonts w:ascii="Times New Roman" w:hAnsi="Times New Roman"/>
          <w:color w:val="000000" w:themeColor="text1"/>
          <w:sz w:val="24"/>
          <w:szCs w:val="24"/>
        </w:rPr>
        <w:t>e</w:t>
      </w:r>
      <w:r w:rsidR="00A031B7">
        <w:rPr>
          <w:rFonts w:ascii="Times New Roman" w:hAnsi="Times New Roman"/>
          <w:color w:val="000000" w:themeColor="text1"/>
          <w:sz w:val="24"/>
          <w:szCs w:val="24"/>
        </w:rPr>
        <w:t xml:space="preserve"> de Contas</w:t>
      </w:r>
      <w:r w:rsidR="000E70F5" w:rsidRPr="004C335F">
        <w:rPr>
          <w:rFonts w:ascii="Times New Roman" w:hAnsi="Times New Roman"/>
          <w:color w:val="000000" w:themeColor="text1"/>
          <w:sz w:val="24"/>
          <w:szCs w:val="24"/>
        </w:rPr>
        <w:t xml:space="preserve"> está sob o controle </w:t>
      </w:r>
      <w:r w:rsidR="00A031B7">
        <w:rPr>
          <w:rFonts w:ascii="Times New Roman" w:hAnsi="Times New Roman"/>
          <w:color w:val="000000" w:themeColor="text1"/>
          <w:sz w:val="24"/>
          <w:szCs w:val="24"/>
        </w:rPr>
        <w:t>dessa nova</w:t>
      </w:r>
      <w:r w:rsidR="000E70F5" w:rsidRPr="004C335F">
        <w:rPr>
          <w:rFonts w:ascii="Times New Roman" w:hAnsi="Times New Roman"/>
          <w:color w:val="000000" w:themeColor="text1"/>
          <w:sz w:val="24"/>
          <w:szCs w:val="24"/>
        </w:rPr>
        <w:t xml:space="preserve"> regra,</w:t>
      </w:r>
      <w:r w:rsidR="00A031B7">
        <w:rPr>
          <w:rFonts w:ascii="Times New Roman" w:hAnsi="Times New Roman"/>
          <w:color w:val="000000" w:themeColor="text1"/>
          <w:sz w:val="24"/>
          <w:szCs w:val="24"/>
        </w:rPr>
        <w:t xml:space="preserve"> que especifica</w:t>
      </w:r>
      <w:r>
        <w:rPr>
          <w:rFonts w:ascii="Times New Roman" w:hAnsi="Times New Roman"/>
          <w:color w:val="000000" w:themeColor="text1"/>
          <w:sz w:val="24"/>
          <w:szCs w:val="24"/>
        </w:rPr>
        <w:t xml:space="preserve"> os</w:t>
      </w:r>
      <w:r w:rsidR="00A031B7">
        <w:rPr>
          <w:rFonts w:ascii="Times New Roman" w:hAnsi="Times New Roman"/>
          <w:color w:val="000000" w:themeColor="text1"/>
          <w:sz w:val="24"/>
          <w:szCs w:val="24"/>
        </w:rPr>
        <w:t xml:space="preserve"> antecedentes para se ter dos organismos públicos mais transparência de seus atos,</w:t>
      </w:r>
      <w:r w:rsidR="000E70F5" w:rsidRPr="004C335F">
        <w:rPr>
          <w:rFonts w:ascii="Times New Roman" w:hAnsi="Times New Roman"/>
          <w:color w:val="000000" w:themeColor="text1"/>
          <w:sz w:val="24"/>
          <w:szCs w:val="24"/>
        </w:rPr>
        <w:t xml:space="preserve"> tendo em vista que a mesma </w:t>
      </w:r>
      <w:r>
        <w:rPr>
          <w:rFonts w:ascii="Times New Roman" w:hAnsi="Times New Roman"/>
          <w:color w:val="000000" w:themeColor="text1"/>
          <w:sz w:val="24"/>
          <w:szCs w:val="24"/>
        </w:rPr>
        <w:t>impactou</w:t>
      </w:r>
      <w:r w:rsidR="000E70F5" w:rsidRPr="004C335F">
        <w:rPr>
          <w:rFonts w:ascii="Times New Roman" w:hAnsi="Times New Roman"/>
          <w:color w:val="000000" w:themeColor="text1"/>
          <w:sz w:val="24"/>
          <w:szCs w:val="24"/>
        </w:rPr>
        <w:t xml:space="preserve"> na principal forma de eles</w:t>
      </w:r>
      <w:r w:rsidR="00A031B7">
        <w:rPr>
          <w:rFonts w:ascii="Times New Roman" w:hAnsi="Times New Roman"/>
          <w:color w:val="000000" w:themeColor="text1"/>
          <w:sz w:val="24"/>
          <w:szCs w:val="24"/>
        </w:rPr>
        <w:t xml:space="preserve"> se</w:t>
      </w:r>
      <w:r w:rsidR="000E70F5" w:rsidRPr="004C335F">
        <w:rPr>
          <w:rFonts w:ascii="Times New Roman" w:hAnsi="Times New Roman"/>
          <w:color w:val="000000" w:themeColor="text1"/>
          <w:sz w:val="24"/>
          <w:szCs w:val="24"/>
        </w:rPr>
        <w:t xml:space="preserve"> comportarem: fiscaliza</w:t>
      </w:r>
      <w:r w:rsidR="00A031B7">
        <w:rPr>
          <w:rFonts w:ascii="Times New Roman" w:hAnsi="Times New Roman"/>
          <w:color w:val="000000" w:themeColor="text1"/>
          <w:sz w:val="24"/>
          <w:szCs w:val="24"/>
        </w:rPr>
        <w:t>r ou auditar</w:t>
      </w:r>
      <w:r w:rsidR="000E70F5" w:rsidRPr="004C335F">
        <w:rPr>
          <w:rFonts w:ascii="Times New Roman" w:hAnsi="Times New Roman"/>
          <w:color w:val="000000" w:themeColor="text1"/>
          <w:sz w:val="24"/>
          <w:szCs w:val="24"/>
        </w:rPr>
        <w:t xml:space="preserve"> e julga</w:t>
      </w:r>
      <w:r w:rsidR="00A031B7">
        <w:rPr>
          <w:rFonts w:ascii="Times New Roman" w:hAnsi="Times New Roman"/>
          <w:color w:val="000000" w:themeColor="text1"/>
          <w:sz w:val="24"/>
          <w:szCs w:val="24"/>
        </w:rPr>
        <w:t>r</w:t>
      </w:r>
      <w:r w:rsidR="000E70F5" w:rsidRPr="004C335F">
        <w:rPr>
          <w:rFonts w:ascii="Times New Roman" w:hAnsi="Times New Roman"/>
          <w:color w:val="000000" w:themeColor="text1"/>
          <w:sz w:val="24"/>
          <w:szCs w:val="24"/>
        </w:rPr>
        <w:t xml:space="preserve"> processos, com aplicação de punição aos jurisdicionados que agiram contrariamente aos dispositivos legais de prestação de contas p</w:t>
      </w:r>
      <w:r w:rsidR="00A031B7">
        <w:rPr>
          <w:rFonts w:ascii="Times New Roman" w:hAnsi="Times New Roman"/>
          <w:color w:val="000000" w:themeColor="text1"/>
          <w:sz w:val="24"/>
          <w:szCs w:val="24"/>
        </w:rPr>
        <w:t>úblicas</w:t>
      </w:r>
      <w:r w:rsidR="000E70F5" w:rsidRPr="004C335F">
        <w:rPr>
          <w:rFonts w:ascii="Times New Roman" w:hAnsi="Times New Roman"/>
          <w:color w:val="000000" w:themeColor="text1"/>
          <w:sz w:val="24"/>
          <w:szCs w:val="24"/>
        </w:rPr>
        <w:t xml:space="preserve"> de seus atos de gestão.</w:t>
      </w:r>
    </w:p>
    <w:p w14:paraId="55C09CF8" w14:textId="5A6F8C38" w:rsidR="000E70F5" w:rsidRPr="004C335F" w:rsidRDefault="00A031B7" w:rsidP="000E70F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w:t>
      </w:r>
      <w:proofErr w:type="spellStart"/>
      <w:r w:rsidR="000E70F5" w:rsidRPr="004C335F">
        <w:rPr>
          <w:rFonts w:ascii="Times New Roman" w:hAnsi="Times New Roman"/>
          <w:color w:val="000000" w:themeColor="text1"/>
          <w:sz w:val="24"/>
          <w:szCs w:val="24"/>
        </w:rPr>
        <w:t>Baum</w:t>
      </w:r>
      <w:proofErr w:type="spellEnd"/>
      <w:r w:rsidR="000E70F5" w:rsidRPr="004C335F">
        <w:rPr>
          <w:rFonts w:ascii="Times New Roman" w:hAnsi="Times New Roman"/>
          <w:color w:val="000000" w:themeColor="text1"/>
          <w:sz w:val="24"/>
          <w:szCs w:val="24"/>
        </w:rPr>
        <w:t xml:space="preserve"> (2006) na ocasião em que o comportamento controlado por regras é modelado por reforço e punição e, </w:t>
      </w:r>
      <w:r w:rsidRPr="004C335F">
        <w:rPr>
          <w:rFonts w:ascii="Times New Roman" w:hAnsi="Times New Roman"/>
          <w:color w:val="000000" w:themeColor="text1"/>
          <w:sz w:val="24"/>
          <w:szCs w:val="24"/>
        </w:rPr>
        <w:t>à</w:t>
      </w:r>
      <w:r w:rsidR="000E70F5" w:rsidRPr="004C335F">
        <w:rPr>
          <w:rFonts w:ascii="Times New Roman" w:hAnsi="Times New Roman"/>
          <w:color w:val="000000" w:themeColor="text1"/>
          <w:sz w:val="24"/>
          <w:szCs w:val="24"/>
        </w:rPr>
        <w:t xml:space="preserve"> medida que os sujeitos não </w:t>
      </w:r>
      <w:r w:rsidRPr="004C335F">
        <w:rPr>
          <w:rFonts w:ascii="Times New Roman" w:hAnsi="Times New Roman"/>
          <w:color w:val="000000" w:themeColor="text1"/>
          <w:sz w:val="24"/>
          <w:szCs w:val="24"/>
        </w:rPr>
        <w:t>às</w:t>
      </w:r>
      <w:r w:rsidR="000E70F5" w:rsidRPr="004C335F">
        <w:rPr>
          <w:rFonts w:ascii="Times New Roman" w:hAnsi="Times New Roman"/>
          <w:color w:val="000000" w:themeColor="text1"/>
          <w:sz w:val="24"/>
          <w:szCs w:val="24"/>
        </w:rPr>
        <w:t xml:space="preserve"> seguem, os dispositivos implicam em sanções variadas como multas e outras sanções dadas por organismos públicos.</w:t>
      </w:r>
      <w:r>
        <w:rPr>
          <w:rFonts w:ascii="Times New Roman" w:hAnsi="Times New Roman"/>
          <w:color w:val="000000" w:themeColor="text1"/>
          <w:sz w:val="24"/>
          <w:szCs w:val="24"/>
        </w:rPr>
        <w:t xml:space="preserve"> Com o resultado das ações de aplicação de penalidades sujeitas a maior controle da sociedade em geral,</w:t>
      </w:r>
      <w:r w:rsidR="00E222F0">
        <w:rPr>
          <w:rFonts w:ascii="Times New Roman" w:hAnsi="Times New Roman"/>
          <w:color w:val="000000" w:themeColor="text1"/>
          <w:sz w:val="24"/>
          <w:szCs w:val="24"/>
        </w:rPr>
        <w:t xml:space="preserve"> a partir da LAI, tem-se um reforço evidente no sentido de que os profissionais responsáveis pelos processos ajam de maneira mais efetiva nas suas atribuições, evitando-se riscos de imagem por exemplo.</w:t>
      </w:r>
    </w:p>
    <w:p w14:paraId="507C3B67" w14:textId="23CAAE72" w:rsidR="00E37AD7" w:rsidRDefault="000E70F5" w:rsidP="00933A1A">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É possível perceber que a LAI</w:t>
      </w:r>
      <w:r w:rsidR="00E06D68">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num primeiro momento</w:t>
      </w:r>
      <w:r w:rsidR="00E06D68">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teve mais repercussão no comportamento dos agentes aplicado</w:t>
      </w:r>
      <w:r w:rsidR="00E06D68">
        <w:rPr>
          <w:rFonts w:ascii="Times New Roman" w:hAnsi="Times New Roman"/>
          <w:color w:val="000000" w:themeColor="text1"/>
          <w:sz w:val="24"/>
          <w:szCs w:val="24"/>
        </w:rPr>
        <w:t>re</w:t>
      </w:r>
      <w:r w:rsidRPr="004C335F">
        <w:rPr>
          <w:rFonts w:ascii="Times New Roman" w:hAnsi="Times New Roman"/>
          <w:color w:val="000000" w:themeColor="text1"/>
          <w:sz w:val="24"/>
          <w:szCs w:val="24"/>
        </w:rPr>
        <w:t xml:space="preserve">s da Lei e não para aqueles </w:t>
      </w:r>
      <w:r w:rsidR="00362F08" w:rsidRPr="004C335F">
        <w:rPr>
          <w:rFonts w:ascii="Times New Roman" w:hAnsi="Times New Roman"/>
          <w:color w:val="000000" w:themeColor="text1"/>
          <w:sz w:val="24"/>
          <w:szCs w:val="24"/>
        </w:rPr>
        <w:t xml:space="preserve">que fazem a gestão de recursos públicos em âmbito municipal (prefeituras, câmaras e autarquias). Com ela, houve relevante alteração na aplicação das punições pelos agentes públicos, </w:t>
      </w:r>
      <w:r w:rsidR="00E37AD7">
        <w:rPr>
          <w:rFonts w:ascii="Times New Roman" w:hAnsi="Times New Roman"/>
          <w:color w:val="000000" w:themeColor="text1"/>
          <w:sz w:val="24"/>
          <w:szCs w:val="24"/>
        </w:rPr>
        <w:t>ao mostrar</w:t>
      </w:r>
      <w:r w:rsidR="00362F08" w:rsidRPr="004C335F">
        <w:rPr>
          <w:rFonts w:ascii="Times New Roman" w:hAnsi="Times New Roman"/>
          <w:color w:val="000000" w:themeColor="text1"/>
          <w:sz w:val="24"/>
          <w:szCs w:val="24"/>
        </w:rPr>
        <w:t xml:space="preserve"> que esses, por também terem o resultado de seu</w:t>
      </w:r>
      <w:r w:rsidR="00E06D68">
        <w:rPr>
          <w:rFonts w:ascii="Times New Roman" w:hAnsi="Times New Roman"/>
          <w:color w:val="000000" w:themeColor="text1"/>
          <w:sz w:val="24"/>
          <w:szCs w:val="24"/>
        </w:rPr>
        <w:t>s</w:t>
      </w:r>
      <w:r w:rsidR="00362F08" w:rsidRPr="004C335F">
        <w:rPr>
          <w:rFonts w:ascii="Times New Roman" w:hAnsi="Times New Roman"/>
          <w:color w:val="000000" w:themeColor="text1"/>
          <w:sz w:val="24"/>
          <w:szCs w:val="24"/>
        </w:rPr>
        <w:t xml:space="preserve"> trabalho</w:t>
      </w:r>
      <w:r w:rsidR="00E06D68">
        <w:rPr>
          <w:rFonts w:ascii="Times New Roman" w:hAnsi="Times New Roman"/>
          <w:color w:val="000000" w:themeColor="text1"/>
          <w:sz w:val="24"/>
          <w:szCs w:val="24"/>
        </w:rPr>
        <w:t>s</w:t>
      </w:r>
      <w:r w:rsidR="00362F08" w:rsidRPr="004C335F">
        <w:rPr>
          <w:rFonts w:ascii="Times New Roman" w:hAnsi="Times New Roman"/>
          <w:color w:val="000000" w:themeColor="text1"/>
          <w:sz w:val="24"/>
          <w:szCs w:val="24"/>
        </w:rPr>
        <w:t xml:space="preserve"> sujeito </w:t>
      </w:r>
      <w:r w:rsidR="00E06D68">
        <w:rPr>
          <w:rFonts w:ascii="Times New Roman" w:hAnsi="Times New Roman"/>
          <w:color w:val="000000" w:themeColor="text1"/>
          <w:sz w:val="24"/>
          <w:szCs w:val="24"/>
        </w:rPr>
        <w:t>à</w:t>
      </w:r>
      <w:r w:rsidR="00E06D68" w:rsidRPr="004C335F">
        <w:rPr>
          <w:rFonts w:ascii="Times New Roman" w:hAnsi="Times New Roman"/>
          <w:color w:val="000000" w:themeColor="text1"/>
          <w:sz w:val="24"/>
          <w:szCs w:val="24"/>
        </w:rPr>
        <w:t xml:space="preserve"> </w:t>
      </w:r>
      <w:r w:rsidR="00362F08" w:rsidRPr="004C335F">
        <w:rPr>
          <w:rFonts w:ascii="Times New Roman" w:hAnsi="Times New Roman"/>
          <w:color w:val="000000" w:themeColor="text1"/>
          <w:sz w:val="24"/>
          <w:szCs w:val="24"/>
        </w:rPr>
        <w:t>divulgação ativa (nos sítio</w:t>
      </w:r>
      <w:r w:rsidR="00E22578">
        <w:rPr>
          <w:rFonts w:ascii="Times New Roman" w:hAnsi="Times New Roman"/>
          <w:color w:val="000000" w:themeColor="text1"/>
          <w:sz w:val="24"/>
          <w:szCs w:val="24"/>
        </w:rPr>
        <w:t>s</w:t>
      </w:r>
      <w:r w:rsidR="00362F08" w:rsidRPr="004C335F">
        <w:rPr>
          <w:rFonts w:ascii="Times New Roman" w:hAnsi="Times New Roman"/>
          <w:color w:val="000000" w:themeColor="text1"/>
          <w:sz w:val="24"/>
          <w:szCs w:val="24"/>
        </w:rPr>
        <w:t>) e passiva (mediante solicitação de terceiros) fez-se</w:t>
      </w:r>
      <w:r w:rsidR="00747FDC">
        <w:rPr>
          <w:rFonts w:ascii="Times New Roman" w:hAnsi="Times New Roman"/>
          <w:color w:val="000000" w:themeColor="text1"/>
          <w:sz w:val="24"/>
          <w:szCs w:val="24"/>
        </w:rPr>
        <w:t xml:space="preserve"> com</w:t>
      </w:r>
      <w:r w:rsidR="00362F08" w:rsidRPr="004C335F">
        <w:rPr>
          <w:rFonts w:ascii="Times New Roman" w:hAnsi="Times New Roman"/>
          <w:color w:val="000000" w:themeColor="text1"/>
          <w:sz w:val="24"/>
          <w:szCs w:val="24"/>
        </w:rPr>
        <w:t xml:space="preserve"> que aumentasse a punição. Isto é mais flagrante</w:t>
      </w:r>
      <w:r w:rsidR="00747FDC">
        <w:rPr>
          <w:rFonts w:ascii="Times New Roman" w:hAnsi="Times New Roman"/>
          <w:color w:val="000000" w:themeColor="text1"/>
          <w:sz w:val="24"/>
          <w:szCs w:val="24"/>
        </w:rPr>
        <w:t xml:space="preserve"> ao</w:t>
      </w:r>
      <w:r w:rsidR="00362F08" w:rsidRPr="004C335F">
        <w:rPr>
          <w:rFonts w:ascii="Times New Roman" w:hAnsi="Times New Roman"/>
          <w:color w:val="000000" w:themeColor="text1"/>
          <w:sz w:val="24"/>
          <w:szCs w:val="24"/>
        </w:rPr>
        <w:t xml:space="preserve"> se levar em conta que em 2015, portanto, dois anos após a LAI do Estado de Goiás, os percentuais de multas aplicadas pelo </w:t>
      </w:r>
      <w:r w:rsidR="00747FDC">
        <w:rPr>
          <w:rFonts w:ascii="Times New Roman" w:hAnsi="Times New Roman"/>
          <w:color w:val="000000" w:themeColor="text1"/>
          <w:sz w:val="24"/>
          <w:szCs w:val="24"/>
        </w:rPr>
        <w:t>TCM-GO</w:t>
      </w:r>
      <w:r w:rsidR="00362F08" w:rsidRPr="004C335F">
        <w:rPr>
          <w:rFonts w:ascii="Times New Roman" w:hAnsi="Times New Roman"/>
          <w:color w:val="000000" w:themeColor="text1"/>
          <w:sz w:val="24"/>
          <w:szCs w:val="24"/>
        </w:rPr>
        <w:t xml:space="preserve"> foram reduzidos significativamente e, mesmo assim,</w:t>
      </w:r>
      <w:r w:rsidR="00747FDC">
        <w:rPr>
          <w:rFonts w:ascii="Times New Roman" w:hAnsi="Times New Roman"/>
          <w:color w:val="000000" w:themeColor="text1"/>
          <w:sz w:val="24"/>
          <w:szCs w:val="24"/>
        </w:rPr>
        <w:t xml:space="preserve"> o valor</w:t>
      </w:r>
      <w:r w:rsidR="00362F08" w:rsidRPr="004C335F">
        <w:rPr>
          <w:rFonts w:ascii="Times New Roman" w:hAnsi="Times New Roman"/>
          <w:color w:val="000000" w:themeColor="text1"/>
          <w:sz w:val="24"/>
          <w:szCs w:val="24"/>
        </w:rPr>
        <w:t xml:space="preserve"> aumentou. </w:t>
      </w:r>
      <w:r w:rsidR="00747FDC">
        <w:rPr>
          <w:rFonts w:ascii="Times New Roman" w:hAnsi="Times New Roman"/>
          <w:color w:val="000000" w:themeColor="text1"/>
          <w:sz w:val="24"/>
          <w:szCs w:val="24"/>
        </w:rPr>
        <w:t xml:space="preserve">Para </w:t>
      </w:r>
      <w:r w:rsidR="00362F08" w:rsidRPr="004C335F">
        <w:rPr>
          <w:rFonts w:ascii="Times New Roman" w:hAnsi="Times New Roman"/>
          <w:color w:val="000000" w:themeColor="text1"/>
          <w:sz w:val="24"/>
          <w:szCs w:val="24"/>
        </w:rPr>
        <w:t>Skinner (2003)</w:t>
      </w:r>
      <w:r w:rsidR="00747FDC">
        <w:rPr>
          <w:rFonts w:ascii="Times New Roman" w:hAnsi="Times New Roman"/>
          <w:color w:val="000000" w:themeColor="text1"/>
          <w:sz w:val="24"/>
          <w:szCs w:val="24"/>
        </w:rPr>
        <w:t xml:space="preserve"> </w:t>
      </w:r>
      <w:r w:rsidR="00362F08" w:rsidRPr="004C335F">
        <w:rPr>
          <w:rFonts w:ascii="Times New Roman" w:hAnsi="Times New Roman"/>
          <w:color w:val="000000" w:themeColor="text1"/>
          <w:sz w:val="24"/>
          <w:szCs w:val="24"/>
        </w:rPr>
        <w:t>o comportamento ilegal, aqui adaptado para leniente, gera estímulos aversivos que fazem o indivíduo (no caso o aplicador da sanção) sentir-se culpado e que provem o reforço positivo automático de seguir segundo a legislação.</w:t>
      </w:r>
      <w:r w:rsidR="00933A1A" w:rsidRPr="004C335F">
        <w:rPr>
          <w:rFonts w:ascii="Times New Roman" w:hAnsi="Times New Roman"/>
          <w:color w:val="000000" w:themeColor="text1"/>
          <w:sz w:val="24"/>
          <w:szCs w:val="24"/>
        </w:rPr>
        <w:t xml:space="preserve"> Isto é uma forma de controle governamental. </w:t>
      </w:r>
      <w:r w:rsidR="00362F08" w:rsidRPr="004C335F">
        <w:rPr>
          <w:rFonts w:ascii="Times New Roman" w:hAnsi="Times New Roman"/>
          <w:color w:val="000000" w:themeColor="text1"/>
          <w:sz w:val="24"/>
          <w:szCs w:val="24"/>
        </w:rPr>
        <w:t xml:space="preserve"> </w:t>
      </w:r>
    </w:p>
    <w:p w14:paraId="404F57D8" w14:textId="46DABC72" w:rsidR="00973382" w:rsidRPr="004C335F" w:rsidRDefault="00933A1A" w:rsidP="00933A1A">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Os dados mostram que</w:t>
      </w:r>
      <w:r w:rsidR="00747FDC">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a simples implantação da LAI, mesmo que outras pesquisas sobre a sua aplicação em diferentes organismos públicos </w:t>
      </w:r>
      <w:r w:rsidR="00747FDC">
        <w:rPr>
          <w:rFonts w:ascii="Times New Roman" w:hAnsi="Times New Roman"/>
          <w:color w:val="000000" w:themeColor="text1"/>
          <w:sz w:val="24"/>
          <w:szCs w:val="24"/>
        </w:rPr>
        <w:t xml:space="preserve">asseverem </w:t>
      </w:r>
      <w:r w:rsidR="00EF03AB">
        <w:rPr>
          <w:rFonts w:ascii="Times New Roman" w:hAnsi="Times New Roman"/>
          <w:color w:val="000000" w:themeColor="text1"/>
          <w:sz w:val="24"/>
          <w:szCs w:val="24"/>
        </w:rPr>
        <w:t>que sua aplicação precisa ser aperfeiçoada e acompanhada</w:t>
      </w:r>
      <w:r w:rsidRPr="004C335F">
        <w:rPr>
          <w:rFonts w:ascii="Times New Roman" w:hAnsi="Times New Roman"/>
          <w:color w:val="000000" w:themeColor="text1"/>
          <w:sz w:val="24"/>
          <w:szCs w:val="24"/>
        </w:rPr>
        <w:t xml:space="preserve">, no caso em análise, </w:t>
      </w:r>
      <w:r w:rsidR="00747FDC">
        <w:rPr>
          <w:rFonts w:ascii="Times New Roman" w:hAnsi="Times New Roman"/>
          <w:color w:val="000000" w:themeColor="text1"/>
          <w:sz w:val="24"/>
          <w:szCs w:val="24"/>
        </w:rPr>
        <w:t>impactou</w:t>
      </w:r>
      <w:r w:rsidR="00747FDC" w:rsidRPr="004C335F">
        <w:rPr>
          <w:rFonts w:ascii="Times New Roman" w:hAnsi="Times New Roman"/>
          <w:color w:val="000000" w:themeColor="text1"/>
          <w:sz w:val="24"/>
          <w:szCs w:val="24"/>
        </w:rPr>
        <w:t xml:space="preserve"> </w:t>
      </w:r>
      <w:r w:rsidRPr="004C335F">
        <w:rPr>
          <w:rFonts w:ascii="Times New Roman" w:hAnsi="Times New Roman"/>
          <w:color w:val="000000" w:themeColor="text1"/>
          <w:sz w:val="24"/>
          <w:szCs w:val="24"/>
        </w:rPr>
        <w:t>nas ações dos técnicos do órgão</w:t>
      </w:r>
      <w:r w:rsidR="00747FDC">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no cumprimento de suas atribuições. Tal fato </w:t>
      </w:r>
      <w:r w:rsidR="00EF03AB">
        <w:rPr>
          <w:rFonts w:ascii="Times New Roman" w:hAnsi="Times New Roman"/>
          <w:color w:val="000000" w:themeColor="text1"/>
          <w:sz w:val="24"/>
          <w:szCs w:val="24"/>
        </w:rPr>
        <w:t xml:space="preserve">confirma </w:t>
      </w:r>
      <w:r w:rsidRPr="004C335F">
        <w:rPr>
          <w:rFonts w:ascii="Times New Roman" w:eastAsia="Times New Roman" w:hAnsi="Times New Roman"/>
          <w:color w:val="000000" w:themeColor="text1"/>
          <w:sz w:val="24"/>
          <w:szCs w:val="24"/>
          <w:lang w:eastAsia="pt-BR"/>
        </w:rPr>
        <w:t>Meyer</w:t>
      </w:r>
      <w:r w:rsidR="00EF03AB">
        <w:rPr>
          <w:rFonts w:ascii="Times New Roman" w:eastAsia="Times New Roman" w:hAnsi="Times New Roman"/>
          <w:color w:val="000000" w:themeColor="text1"/>
          <w:sz w:val="24"/>
          <w:szCs w:val="24"/>
          <w:lang w:eastAsia="pt-BR"/>
        </w:rPr>
        <w:t xml:space="preserve"> (</w:t>
      </w:r>
      <w:r w:rsidRPr="004C335F">
        <w:rPr>
          <w:rFonts w:ascii="Times New Roman" w:eastAsia="Times New Roman" w:hAnsi="Times New Roman"/>
          <w:color w:val="000000" w:themeColor="text1"/>
          <w:sz w:val="24"/>
          <w:szCs w:val="24"/>
          <w:lang w:eastAsia="pt-BR"/>
        </w:rPr>
        <w:t>2007</w:t>
      </w:r>
      <w:r w:rsidR="00EF03AB">
        <w:rPr>
          <w:rFonts w:ascii="Times New Roman" w:eastAsia="Times New Roman" w:hAnsi="Times New Roman"/>
          <w:color w:val="000000" w:themeColor="text1"/>
          <w:sz w:val="24"/>
          <w:szCs w:val="24"/>
          <w:lang w:eastAsia="pt-BR"/>
        </w:rPr>
        <w:t xml:space="preserve">), </w:t>
      </w:r>
      <w:r w:rsidRPr="004C335F">
        <w:rPr>
          <w:rFonts w:ascii="Times New Roman" w:eastAsia="Times New Roman" w:hAnsi="Times New Roman"/>
          <w:color w:val="000000" w:themeColor="text1"/>
          <w:sz w:val="24"/>
          <w:szCs w:val="24"/>
          <w:lang w:eastAsia="pt-BR"/>
        </w:rPr>
        <w:t>Matos</w:t>
      </w:r>
      <w:r w:rsidR="00EF03AB">
        <w:rPr>
          <w:rFonts w:ascii="Times New Roman" w:eastAsia="Times New Roman" w:hAnsi="Times New Roman"/>
          <w:color w:val="000000" w:themeColor="text1"/>
          <w:sz w:val="24"/>
          <w:szCs w:val="24"/>
          <w:lang w:eastAsia="pt-BR"/>
        </w:rPr>
        <w:t xml:space="preserve"> (</w:t>
      </w:r>
      <w:r w:rsidRPr="004C335F">
        <w:rPr>
          <w:rFonts w:ascii="Times New Roman" w:eastAsia="Times New Roman" w:hAnsi="Times New Roman"/>
          <w:color w:val="000000" w:themeColor="text1"/>
          <w:sz w:val="24"/>
          <w:szCs w:val="24"/>
          <w:lang w:eastAsia="pt-BR"/>
        </w:rPr>
        <w:t>2001)</w:t>
      </w:r>
      <w:r w:rsidR="00EF03AB">
        <w:rPr>
          <w:rFonts w:ascii="Times New Roman" w:eastAsia="Times New Roman" w:hAnsi="Times New Roman"/>
          <w:color w:val="000000" w:themeColor="text1"/>
          <w:sz w:val="24"/>
          <w:szCs w:val="24"/>
          <w:lang w:eastAsia="pt-BR"/>
        </w:rPr>
        <w:t xml:space="preserve">, </w:t>
      </w:r>
      <w:proofErr w:type="spellStart"/>
      <w:r w:rsidR="00EF03AB" w:rsidRPr="004C335F">
        <w:rPr>
          <w:rFonts w:ascii="Times New Roman" w:hAnsi="Times New Roman"/>
          <w:color w:val="000000" w:themeColor="text1"/>
          <w:sz w:val="24"/>
          <w:szCs w:val="24"/>
        </w:rPr>
        <w:t>Cerutti</w:t>
      </w:r>
      <w:proofErr w:type="spellEnd"/>
      <w:r w:rsidR="00EF03AB">
        <w:rPr>
          <w:rFonts w:ascii="Times New Roman" w:hAnsi="Times New Roman"/>
          <w:color w:val="000000" w:themeColor="text1"/>
          <w:sz w:val="24"/>
          <w:szCs w:val="24"/>
        </w:rPr>
        <w:t xml:space="preserve"> (</w:t>
      </w:r>
      <w:r w:rsidR="00EF03AB" w:rsidRPr="004C335F">
        <w:rPr>
          <w:rFonts w:ascii="Times New Roman" w:hAnsi="Times New Roman"/>
          <w:color w:val="000000" w:themeColor="text1"/>
          <w:sz w:val="24"/>
          <w:szCs w:val="24"/>
        </w:rPr>
        <w:t>1989</w:t>
      </w:r>
      <w:r w:rsidR="00EF03AB">
        <w:rPr>
          <w:rFonts w:ascii="Times New Roman" w:hAnsi="Times New Roman"/>
          <w:color w:val="000000" w:themeColor="text1"/>
          <w:sz w:val="24"/>
          <w:szCs w:val="24"/>
        </w:rPr>
        <w:t xml:space="preserve">) e </w:t>
      </w:r>
      <w:r w:rsidR="00EF03AB" w:rsidRPr="004C335F">
        <w:rPr>
          <w:rFonts w:ascii="Times New Roman" w:hAnsi="Times New Roman"/>
          <w:color w:val="000000" w:themeColor="text1"/>
          <w:sz w:val="24"/>
          <w:szCs w:val="24"/>
        </w:rPr>
        <w:t>Catania</w:t>
      </w:r>
      <w:r w:rsidR="00EF03AB">
        <w:rPr>
          <w:rFonts w:ascii="Times New Roman" w:hAnsi="Times New Roman"/>
          <w:color w:val="000000" w:themeColor="text1"/>
          <w:sz w:val="24"/>
          <w:szCs w:val="24"/>
        </w:rPr>
        <w:t xml:space="preserve"> (</w:t>
      </w:r>
      <w:r w:rsidR="00EF03AB" w:rsidRPr="004C335F">
        <w:rPr>
          <w:rFonts w:ascii="Times New Roman" w:hAnsi="Times New Roman"/>
          <w:color w:val="000000" w:themeColor="text1"/>
          <w:sz w:val="24"/>
          <w:szCs w:val="24"/>
        </w:rPr>
        <w:t>1999</w:t>
      </w:r>
      <w:r w:rsidR="00EF03AB">
        <w:rPr>
          <w:rFonts w:ascii="Times New Roman" w:hAnsi="Times New Roman"/>
          <w:color w:val="000000" w:themeColor="text1"/>
          <w:sz w:val="24"/>
          <w:szCs w:val="24"/>
        </w:rPr>
        <w:t>)</w:t>
      </w:r>
      <w:r w:rsidR="00747FDC">
        <w:rPr>
          <w:rFonts w:ascii="Times New Roman" w:hAnsi="Times New Roman"/>
          <w:color w:val="000000" w:themeColor="text1"/>
          <w:sz w:val="24"/>
          <w:szCs w:val="24"/>
        </w:rPr>
        <w:t>, segundo os quais</w:t>
      </w:r>
      <w:r w:rsidRPr="004C335F">
        <w:rPr>
          <w:rFonts w:ascii="Times New Roman" w:eastAsia="Times New Roman" w:hAnsi="Times New Roman"/>
          <w:color w:val="000000" w:themeColor="text1"/>
          <w:sz w:val="24"/>
          <w:szCs w:val="24"/>
          <w:lang w:eastAsia="pt-BR"/>
        </w:rPr>
        <w:t xml:space="preserve"> para afetar um comportamento controlado por regras, pode ser necessário, primeiro, mudar essa regra, ou seja, alterar seus antecedentes, suas consequências ou ambos</w:t>
      </w:r>
      <w:r w:rsidRPr="004C335F">
        <w:rPr>
          <w:rFonts w:ascii="Times New Roman" w:hAnsi="Times New Roman"/>
          <w:color w:val="000000" w:themeColor="text1"/>
          <w:sz w:val="24"/>
          <w:szCs w:val="24"/>
        </w:rPr>
        <w:t>.</w:t>
      </w:r>
    </w:p>
    <w:p w14:paraId="2B2CC0BA" w14:textId="4BA1750E" w:rsidR="00230515" w:rsidRPr="004C335F" w:rsidRDefault="006F0A3A" w:rsidP="006F0A3A">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 xml:space="preserve">A rapidez da aprendizagem de uma nova regra é uma das principais vantagens do comportamento </w:t>
      </w:r>
      <w:r w:rsidR="00EF03AB">
        <w:rPr>
          <w:rFonts w:ascii="Times New Roman" w:hAnsi="Times New Roman"/>
          <w:color w:val="000000" w:themeColor="text1"/>
          <w:sz w:val="24"/>
          <w:szCs w:val="24"/>
        </w:rPr>
        <w:t>governando</w:t>
      </w:r>
      <w:r w:rsidRPr="004C335F">
        <w:rPr>
          <w:rFonts w:ascii="Times New Roman" w:hAnsi="Times New Roman"/>
          <w:color w:val="000000" w:themeColor="text1"/>
          <w:sz w:val="24"/>
          <w:szCs w:val="24"/>
        </w:rPr>
        <w:t xml:space="preserve"> por regras </w:t>
      </w:r>
      <w:r w:rsidR="00DB5FB2" w:rsidRPr="004C335F">
        <w:rPr>
          <w:rFonts w:ascii="Times New Roman" w:hAnsi="Times New Roman"/>
          <w:color w:val="000000" w:themeColor="text1"/>
          <w:sz w:val="24"/>
          <w:szCs w:val="24"/>
        </w:rPr>
        <w:t>(MEYER</w:t>
      </w:r>
      <w:r w:rsidRPr="004C335F">
        <w:rPr>
          <w:rFonts w:ascii="Times New Roman" w:hAnsi="Times New Roman"/>
          <w:color w:val="000000" w:themeColor="text1"/>
          <w:sz w:val="24"/>
          <w:szCs w:val="24"/>
        </w:rPr>
        <w:t>, 2007). Segundo Matos (2001)</w:t>
      </w:r>
      <w:r w:rsidR="004C335F" w:rsidRPr="004C335F">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quanto mais específicas </w:t>
      </w:r>
      <w:r w:rsidR="004C335F" w:rsidRPr="004C335F">
        <w:rPr>
          <w:rFonts w:ascii="Times New Roman" w:hAnsi="Times New Roman"/>
          <w:color w:val="000000" w:themeColor="text1"/>
          <w:sz w:val="24"/>
          <w:szCs w:val="24"/>
        </w:rPr>
        <w:t>às</w:t>
      </w:r>
      <w:r w:rsidRPr="004C335F">
        <w:rPr>
          <w:rFonts w:ascii="Times New Roman" w:hAnsi="Times New Roman"/>
          <w:color w:val="000000" w:themeColor="text1"/>
          <w:sz w:val="24"/>
          <w:szCs w:val="24"/>
        </w:rPr>
        <w:t xml:space="preserve"> instruções</w:t>
      </w:r>
      <w:r w:rsidR="004C335F" w:rsidRPr="004C335F">
        <w:rPr>
          <w:rFonts w:ascii="Times New Roman" w:hAnsi="Times New Roman"/>
          <w:color w:val="000000" w:themeColor="text1"/>
          <w:sz w:val="24"/>
          <w:szCs w:val="24"/>
        </w:rPr>
        <w:t>,</w:t>
      </w:r>
      <w:r w:rsidRPr="004C335F">
        <w:rPr>
          <w:rFonts w:ascii="Times New Roman" w:hAnsi="Times New Roman"/>
          <w:color w:val="000000" w:themeColor="text1"/>
          <w:sz w:val="24"/>
          <w:szCs w:val="24"/>
        </w:rPr>
        <w:t xml:space="preserve"> maior </w:t>
      </w:r>
      <w:r w:rsidR="004C335F" w:rsidRPr="004C335F">
        <w:rPr>
          <w:rFonts w:ascii="Times New Roman" w:hAnsi="Times New Roman"/>
          <w:color w:val="000000" w:themeColor="text1"/>
          <w:sz w:val="24"/>
          <w:szCs w:val="24"/>
        </w:rPr>
        <w:t xml:space="preserve">é a </w:t>
      </w:r>
      <w:r w:rsidRPr="004C335F">
        <w:rPr>
          <w:rFonts w:ascii="Times New Roman" w:hAnsi="Times New Roman"/>
          <w:color w:val="000000" w:themeColor="text1"/>
          <w:sz w:val="24"/>
          <w:szCs w:val="24"/>
        </w:rPr>
        <w:t>aderência à regra e mais preciso o seu cumprimento.</w:t>
      </w:r>
      <w:r w:rsidR="00EF03AB">
        <w:rPr>
          <w:rFonts w:ascii="Times New Roman" w:hAnsi="Times New Roman"/>
          <w:color w:val="000000" w:themeColor="text1"/>
          <w:sz w:val="24"/>
          <w:szCs w:val="24"/>
        </w:rPr>
        <w:t xml:space="preserve"> O comportamento mantido por regras, pode ser dividido em dois grupos, refletindo dois níveis de controle discriminativo</w:t>
      </w:r>
      <w:r w:rsidR="00230515" w:rsidRPr="004C335F">
        <w:rPr>
          <w:rFonts w:ascii="Times New Roman" w:hAnsi="Times New Roman"/>
          <w:color w:val="000000" w:themeColor="text1"/>
          <w:sz w:val="24"/>
          <w:szCs w:val="24"/>
        </w:rPr>
        <w:t>: aquiescência (em inglês, “</w:t>
      </w:r>
      <w:proofErr w:type="spellStart"/>
      <w:r w:rsidR="00230515" w:rsidRPr="00D15A99">
        <w:rPr>
          <w:rFonts w:ascii="Times New Roman" w:hAnsi="Times New Roman"/>
          <w:i/>
          <w:iCs/>
          <w:color w:val="000000" w:themeColor="text1"/>
          <w:sz w:val="24"/>
          <w:szCs w:val="24"/>
        </w:rPr>
        <w:t>pliance</w:t>
      </w:r>
      <w:proofErr w:type="spellEnd"/>
      <w:r w:rsidR="00230515" w:rsidRPr="004C335F">
        <w:rPr>
          <w:rFonts w:ascii="Times New Roman" w:hAnsi="Times New Roman"/>
          <w:color w:val="000000" w:themeColor="text1"/>
          <w:sz w:val="24"/>
          <w:szCs w:val="24"/>
        </w:rPr>
        <w:t>”) e rastreamento (em inglês “</w:t>
      </w:r>
      <w:r w:rsidR="00230515" w:rsidRPr="00D15A99">
        <w:rPr>
          <w:rFonts w:ascii="Times New Roman" w:hAnsi="Times New Roman"/>
          <w:i/>
          <w:iCs/>
          <w:color w:val="000000" w:themeColor="text1"/>
          <w:sz w:val="24"/>
          <w:szCs w:val="24"/>
        </w:rPr>
        <w:t>tracking</w:t>
      </w:r>
      <w:r w:rsidR="00230515" w:rsidRPr="004C335F">
        <w:rPr>
          <w:rFonts w:ascii="Times New Roman" w:hAnsi="Times New Roman"/>
          <w:color w:val="000000" w:themeColor="text1"/>
          <w:sz w:val="24"/>
          <w:szCs w:val="24"/>
        </w:rPr>
        <w:t>”).</w:t>
      </w:r>
    </w:p>
    <w:p w14:paraId="239C920B" w14:textId="062F1BF8" w:rsidR="00230515" w:rsidRPr="004C335F" w:rsidRDefault="004C335F" w:rsidP="004C335F">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Um comportamento aquiescente (uma lei</w:t>
      </w:r>
      <w:r w:rsidR="00EF03AB">
        <w:rPr>
          <w:rFonts w:ascii="Times New Roman" w:hAnsi="Times New Roman"/>
          <w:color w:val="000000" w:themeColor="text1"/>
          <w:sz w:val="24"/>
          <w:szCs w:val="24"/>
        </w:rPr>
        <w:t xml:space="preserve"> como a aqui estudada</w:t>
      </w:r>
      <w:r w:rsidRPr="004C335F">
        <w:rPr>
          <w:rFonts w:ascii="Times New Roman" w:hAnsi="Times New Roman"/>
          <w:color w:val="000000" w:themeColor="text1"/>
          <w:sz w:val="24"/>
          <w:szCs w:val="24"/>
        </w:rPr>
        <w:t xml:space="preserve"> controla este tipo de comportamento)</w:t>
      </w:r>
      <w:r w:rsidR="00747FDC">
        <w:rPr>
          <w:rFonts w:ascii="Times New Roman" w:hAnsi="Times New Roman"/>
          <w:color w:val="000000" w:themeColor="text1"/>
          <w:sz w:val="24"/>
          <w:szCs w:val="24"/>
        </w:rPr>
        <w:t>,</w:t>
      </w:r>
      <w:r w:rsidR="00230515" w:rsidRPr="004C335F">
        <w:rPr>
          <w:rFonts w:ascii="Times New Roman" w:hAnsi="Times New Roman"/>
          <w:color w:val="000000" w:themeColor="text1"/>
          <w:sz w:val="24"/>
          <w:szCs w:val="24"/>
        </w:rPr>
        <w:t xml:space="preserve"> segundo Mattos (2001)</w:t>
      </w:r>
      <w:r w:rsidR="00747FDC">
        <w:rPr>
          <w:rFonts w:ascii="Times New Roman" w:hAnsi="Times New Roman"/>
          <w:color w:val="000000" w:themeColor="text1"/>
          <w:sz w:val="24"/>
          <w:szCs w:val="24"/>
        </w:rPr>
        <w:t>,</w:t>
      </w:r>
      <w:r w:rsidR="00230515" w:rsidRPr="004C335F">
        <w:rPr>
          <w:rFonts w:ascii="Times New Roman" w:hAnsi="Times New Roman"/>
          <w:color w:val="000000" w:themeColor="text1"/>
          <w:sz w:val="24"/>
          <w:szCs w:val="24"/>
        </w:rPr>
        <w:t xml:space="preserve"> concerne naquele que essencialmente dep</w:t>
      </w:r>
      <w:r w:rsidR="00E22578">
        <w:rPr>
          <w:rFonts w:ascii="Times New Roman" w:hAnsi="Times New Roman"/>
          <w:color w:val="000000" w:themeColor="text1"/>
          <w:sz w:val="24"/>
          <w:szCs w:val="24"/>
        </w:rPr>
        <w:t>ende de contingências sociais (</w:t>
      </w:r>
      <w:r w:rsidR="00230515" w:rsidRPr="004C335F">
        <w:rPr>
          <w:rFonts w:ascii="Times New Roman" w:hAnsi="Times New Roman"/>
          <w:color w:val="000000" w:themeColor="text1"/>
          <w:sz w:val="24"/>
          <w:szCs w:val="24"/>
        </w:rPr>
        <w:t xml:space="preserve">o </w:t>
      </w:r>
      <w:r w:rsidR="00747FDC" w:rsidRPr="004C335F">
        <w:rPr>
          <w:rFonts w:ascii="Times New Roman" w:hAnsi="Times New Roman"/>
          <w:color w:val="000000" w:themeColor="text1"/>
          <w:sz w:val="24"/>
          <w:szCs w:val="24"/>
        </w:rPr>
        <w:t>indivíduo</w:t>
      </w:r>
      <w:r w:rsidR="00230515" w:rsidRPr="004C335F">
        <w:rPr>
          <w:rFonts w:ascii="Times New Roman" w:hAnsi="Times New Roman"/>
          <w:color w:val="000000" w:themeColor="text1"/>
          <w:sz w:val="24"/>
          <w:szCs w:val="24"/>
        </w:rPr>
        <w:t xml:space="preserve"> é reforçado diretamente por seguir, por se conformar com a própria regra). Já o outro tipo, comportamento de rastreamento, depende essencialmente de correspondências entre o comportamento verbal e eventos ambientais.</w:t>
      </w:r>
    </w:p>
    <w:p w14:paraId="1629E3B1" w14:textId="31930A81" w:rsidR="00E37AD7" w:rsidRDefault="00230515" w:rsidP="00A71060">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No comportamento aquiescente as consequências reforçadoras são mediadas pelo falante (emissor da regra)</w:t>
      </w:r>
      <w:r w:rsidR="004C335F" w:rsidRPr="004C335F">
        <w:rPr>
          <w:rFonts w:ascii="Times New Roman" w:hAnsi="Times New Roman"/>
          <w:color w:val="000000" w:themeColor="text1"/>
          <w:sz w:val="24"/>
          <w:szCs w:val="24"/>
        </w:rPr>
        <w:t xml:space="preserve"> e a</w:t>
      </w:r>
      <w:r w:rsidRPr="004C335F">
        <w:rPr>
          <w:rFonts w:ascii="Times New Roman" w:hAnsi="Times New Roman"/>
          <w:color w:val="000000" w:themeColor="text1"/>
          <w:sz w:val="24"/>
          <w:szCs w:val="24"/>
        </w:rPr>
        <w:t xml:space="preserve"> força do controle sobre esse comportamento depende </w:t>
      </w:r>
      <w:r w:rsidRPr="004C335F">
        <w:rPr>
          <w:rFonts w:ascii="Times New Roman" w:hAnsi="Times New Roman"/>
          <w:color w:val="000000" w:themeColor="text1"/>
          <w:sz w:val="24"/>
          <w:szCs w:val="24"/>
        </w:rPr>
        <w:lastRenderedPageBreak/>
        <w:t>essencialmente de característica do falante</w:t>
      </w:r>
      <w:r w:rsidR="00FB4B0B" w:rsidRPr="004C335F">
        <w:rPr>
          <w:rFonts w:ascii="Times New Roman" w:hAnsi="Times New Roman"/>
          <w:color w:val="000000" w:themeColor="text1"/>
          <w:sz w:val="24"/>
          <w:szCs w:val="24"/>
        </w:rPr>
        <w:t xml:space="preserve"> (</w:t>
      </w:r>
      <w:r w:rsidR="00DB5FB2" w:rsidRPr="004C335F">
        <w:rPr>
          <w:rFonts w:ascii="Times New Roman" w:hAnsi="Times New Roman"/>
          <w:color w:val="000000" w:themeColor="text1"/>
          <w:sz w:val="24"/>
          <w:szCs w:val="24"/>
        </w:rPr>
        <w:t>MATTOS</w:t>
      </w:r>
      <w:r w:rsidR="00FB4B0B" w:rsidRPr="004C335F">
        <w:rPr>
          <w:rFonts w:ascii="Times New Roman" w:hAnsi="Times New Roman"/>
          <w:color w:val="000000" w:themeColor="text1"/>
          <w:sz w:val="24"/>
          <w:szCs w:val="24"/>
        </w:rPr>
        <w:t xml:space="preserve">, 2001). </w:t>
      </w:r>
      <w:r w:rsidR="00EF03AB">
        <w:rPr>
          <w:rFonts w:ascii="Times New Roman" w:hAnsi="Times New Roman"/>
          <w:color w:val="000000" w:themeColor="text1"/>
          <w:sz w:val="24"/>
          <w:szCs w:val="24"/>
        </w:rPr>
        <w:t>Trata-se de</w:t>
      </w:r>
      <w:r w:rsidR="004C335F" w:rsidRPr="004C335F">
        <w:rPr>
          <w:rFonts w:ascii="Times New Roman" w:hAnsi="Times New Roman"/>
          <w:color w:val="000000" w:themeColor="text1"/>
          <w:sz w:val="24"/>
          <w:szCs w:val="24"/>
        </w:rPr>
        <w:t xml:space="preserve"> comportamento governado por regra principalmente sob o controle de consequências aparentes mediadas por falantes para uma correspondência entre a regra e o comportamento relevante (</w:t>
      </w:r>
      <w:r w:rsidR="00DB5FB2" w:rsidRPr="004C335F">
        <w:rPr>
          <w:rFonts w:ascii="Times New Roman" w:hAnsi="Times New Roman"/>
          <w:color w:val="000000" w:themeColor="text1"/>
          <w:sz w:val="24"/>
          <w:szCs w:val="24"/>
        </w:rPr>
        <w:t>ZETTLE</w:t>
      </w:r>
      <w:r w:rsidR="00DB5FB2">
        <w:rPr>
          <w:rFonts w:ascii="Times New Roman" w:hAnsi="Times New Roman"/>
          <w:color w:val="000000" w:themeColor="text1"/>
          <w:sz w:val="24"/>
          <w:szCs w:val="24"/>
        </w:rPr>
        <w:t>; HAYES, 198</w:t>
      </w:r>
      <w:r w:rsidR="007D7548">
        <w:rPr>
          <w:rFonts w:ascii="Times New Roman" w:hAnsi="Times New Roman"/>
          <w:color w:val="000000" w:themeColor="text1"/>
          <w:sz w:val="24"/>
          <w:szCs w:val="24"/>
        </w:rPr>
        <w:t xml:space="preserve">2). </w:t>
      </w:r>
    </w:p>
    <w:p w14:paraId="725C2876" w14:textId="7106CE74" w:rsidR="00F50D5B" w:rsidRPr="004C335F" w:rsidRDefault="007D7548" w:rsidP="00A71060">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É considerado “</w:t>
      </w:r>
      <w:proofErr w:type="spellStart"/>
      <w:r w:rsidRPr="00D15A99">
        <w:rPr>
          <w:rFonts w:ascii="Times New Roman" w:hAnsi="Times New Roman"/>
          <w:i/>
          <w:iCs/>
          <w:color w:val="000000" w:themeColor="text1"/>
          <w:sz w:val="24"/>
          <w:szCs w:val="24"/>
        </w:rPr>
        <w:t>p</w:t>
      </w:r>
      <w:r w:rsidR="004C335F" w:rsidRPr="00D15A99">
        <w:rPr>
          <w:rFonts w:ascii="Times New Roman" w:hAnsi="Times New Roman"/>
          <w:i/>
          <w:iCs/>
          <w:color w:val="000000" w:themeColor="text1"/>
          <w:sz w:val="24"/>
          <w:szCs w:val="24"/>
        </w:rPr>
        <w:t>liance</w:t>
      </w:r>
      <w:proofErr w:type="spellEnd"/>
      <w:r w:rsidR="004C335F" w:rsidRPr="004C335F">
        <w:rPr>
          <w:rFonts w:ascii="Times New Roman" w:hAnsi="Times New Roman"/>
          <w:color w:val="000000" w:themeColor="text1"/>
          <w:sz w:val="24"/>
          <w:szCs w:val="24"/>
        </w:rPr>
        <w:t>” apenas se o ouvinte estiver sob o controle da aparente consequência mediada pelo falante para seguir a regra.</w:t>
      </w:r>
      <w:r w:rsidR="00EF03AB">
        <w:rPr>
          <w:rFonts w:ascii="Times New Roman" w:hAnsi="Times New Roman"/>
          <w:color w:val="000000" w:themeColor="text1"/>
          <w:sz w:val="24"/>
          <w:szCs w:val="24"/>
        </w:rPr>
        <w:t xml:space="preserve"> Como se pode constatar na descrição dos resultados, o comportamento dos agentes públicos parece estar regido por esse tipo de estímulo, haja vista que a exigência de maior transparência dos atos por eles praticados, mesmo </w:t>
      </w:r>
      <w:r w:rsidR="00A71060">
        <w:rPr>
          <w:rFonts w:ascii="Times New Roman" w:hAnsi="Times New Roman"/>
          <w:color w:val="000000" w:themeColor="text1"/>
          <w:sz w:val="24"/>
          <w:szCs w:val="24"/>
        </w:rPr>
        <w:t xml:space="preserve">ocorrendo como não deveria, impulsionou as ações de penalidades aplicadas aos jurisdicionados. Assim, pode-se dizer que esse tipo de estímulo </w:t>
      </w:r>
      <w:r w:rsidR="00F50D5B" w:rsidRPr="004C335F">
        <w:rPr>
          <w:rFonts w:ascii="Times New Roman" w:hAnsi="Times New Roman"/>
          <w:color w:val="000000" w:themeColor="text1"/>
          <w:sz w:val="24"/>
          <w:szCs w:val="24"/>
        </w:rPr>
        <w:t>envolve consequência por seguimento de regra per si mediada pela comunidade verbal.  (</w:t>
      </w:r>
      <w:r w:rsidR="00DB5FB2" w:rsidRPr="004C335F">
        <w:rPr>
          <w:rFonts w:ascii="Times New Roman" w:hAnsi="Times New Roman"/>
          <w:color w:val="000000" w:themeColor="text1"/>
          <w:sz w:val="24"/>
          <w:szCs w:val="24"/>
        </w:rPr>
        <w:t>HAYES</w:t>
      </w:r>
      <w:r w:rsidR="00DB5FB2">
        <w:rPr>
          <w:rFonts w:ascii="Times New Roman" w:hAnsi="Times New Roman"/>
          <w:color w:val="000000" w:themeColor="text1"/>
          <w:sz w:val="24"/>
          <w:szCs w:val="24"/>
        </w:rPr>
        <w:t>;</w:t>
      </w:r>
      <w:r w:rsidR="00DB5FB2" w:rsidRPr="004C335F">
        <w:rPr>
          <w:rFonts w:ascii="Times New Roman" w:hAnsi="Times New Roman"/>
          <w:color w:val="000000" w:themeColor="text1"/>
          <w:sz w:val="24"/>
          <w:szCs w:val="24"/>
        </w:rPr>
        <w:t xml:space="preserve"> ZETTLE</w:t>
      </w:r>
      <w:r w:rsidR="00DB5FB2">
        <w:rPr>
          <w:rFonts w:ascii="Times New Roman" w:hAnsi="Times New Roman"/>
          <w:color w:val="000000" w:themeColor="text1"/>
          <w:sz w:val="24"/>
          <w:szCs w:val="24"/>
        </w:rPr>
        <w:t xml:space="preserve">; </w:t>
      </w:r>
      <w:r w:rsidR="00DB5FB2" w:rsidRPr="004C335F">
        <w:rPr>
          <w:rFonts w:ascii="Times New Roman" w:hAnsi="Times New Roman"/>
          <w:color w:val="000000" w:themeColor="text1"/>
          <w:sz w:val="24"/>
          <w:szCs w:val="24"/>
        </w:rPr>
        <w:t>ROSENFARB</w:t>
      </w:r>
      <w:r w:rsidR="00F50D5B" w:rsidRPr="004C335F">
        <w:rPr>
          <w:rFonts w:ascii="Times New Roman" w:hAnsi="Times New Roman"/>
          <w:color w:val="000000" w:themeColor="text1"/>
          <w:sz w:val="24"/>
          <w:szCs w:val="24"/>
        </w:rPr>
        <w:t>, 1989). Se o ouvinte, receptor da regra, comporta-se de modo a ficar claro que está sob sua contingência, então, temos o tipo de comportamento citado.</w:t>
      </w:r>
    </w:p>
    <w:p w14:paraId="73DDF1C1" w14:textId="5DA4ED79" w:rsidR="001F4839" w:rsidRDefault="001F4839" w:rsidP="00A71060">
      <w:pPr>
        <w:spacing w:after="0" w:line="240" w:lineRule="auto"/>
        <w:ind w:firstLine="708"/>
        <w:jc w:val="both"/>
        <w:rPr>
          <w:rFonts w:ascii="Times New Roman" w:hAnsi="Times New Roman"/>
          <w:color w:val="000000" w:themeColor="text1"/>
          <w:sz w:val="24"/>
          <w:szCs w:val="24"/>
        </w:rPr>
      </w:pPr>
      <w:r w:rsidRPr="004C335F">
        <w:rPr>
          <w:rFonts w:ascii="Times New Roman" w:hAnsi="Times New Roman"/>
          <w:color w:val="000000" w:themeColor="text1"/>
          <w:sz w:val="24"/>
          <w:szCs w:val="24"/>
        </w:rPr>
        <w:t>O termo aquiescência tem sido sugerido para denominar o seguimento de instruções que depende de contingências sociais (</w:t>
      </w:r>
      <w:r w:rsidR="00DB5FB2" w:rsidRPr="004C335F">
        <w:rPr>
          <w:rFonts w:ascii="Times New Roman" w:hAnsi="Times New Roman"/>
          <w:color w:val="000000" w:themeColor="text1"/>
          <w:sz w:val="24"/>
          <w:szCs w:val="24"/>
        </w:rPr>
        <w:t>CATANIA,</w:t>
      </w:r>
      <w:r w:rsidRPr="004C335F">
        <w:rPr>
          <w:rFonts w:ascii="Times New Roman" w:hAnsi="Times New Roman"/>
          <w:color w:val="000000" w:themeColor="text1"/>
          <w:sz w:val="24"/>
          <w:szCs w:val="24"/>
        </w:rPr>
        <w:t xml:space="preserve"> 1999, p. 276, citando </w:t>
      </w:r>
      <w:r w:rsidR="00DB5FB2" w:rsidRPr="004C335F">
        <w:rPr>
          <w:rFonts w:ascii="Times New Roman" w:hAnsi="Times New Roman"/>
          <w:color w:val="000000" w:themeColor="text1"/>
          <w:sz w:val="24"/>
          <w:szCs w:val="24"/>
        </w:rPr>
        <w:t>ZETTLE</w:t>
      </w:r>
      <w:r w:rsidR="00DB5FB2">
        <w:rPr>
          <w:rFonts w:ascii="Times New Roman" w:hAnsi="Times New Roman"/>
          <w:color w:val="000000" w:themeColor="text1"/>
          <w:sz w:val="24"/>
          <w:szCs w:val="24"/>
        </w:rPr>
        <w:t>;</w:t>
      </w:r>
      <w:r w:rsidR="00DB5FB2" w:rsidRPr="004C335F">
        <w:rPr>
          <w:rFonts w:ascii="Times New Roman" w:hAnsi="Times New Roman"/>
          <w:color w:val="000000" w:themeColor="text1"/>
          <w:sz w:val="24"/>
          <w:szCs w:val="24"/>
        </w:rPr>
        <w:t xml:space="preserve"> HAYES</w:t>
      </w:r>
      <w:r w:rsidRPr="004C335F">
        <w:rPr>
          <w:rFonts w:ascii="Times New Roman" w:hAnsi="Times New Roman"/>
          <w:color w:val="000000" w:themeColor="text1"/>
          <w:sz w:val="24"/>
          <w:szCs w:val="24"/>
        </w:rPr>
        <w:t>, 1982).</w:t>
      </w:r>
      <w:r w:rsidR="00A71060">
        <w:rPr>
          <w:rFonts w:ascii="Times New Roman" w:hAnsi="Times New Roman"/>
          <w:color w:val="000000" w:themeColor="text1"/>
          <w:sz w:val="24"/>
          <w:szCs w:val="24"/>
        </w:rPr>
        <w:t xml:space="preserve"> Ao considerar que todo</w:t>
      </w:r>
      <w:r w:rsidR="00830399">
        <w:rPr>
          <w:rFonts w:ascii="Times New Roman" w:hAnsi="Times New Roman"/>
          <w:color w:val="000000" w:themeColor="text1"/>
          <w:sz w:val="24"/>
          <w:szCs w:val="24"/>
        </w:rPr>
        <w:t xml:space="preserve"> comportamento governado por regra tem contato com dois tipos de contingências</w:t>
      </w:r>
      <w:r w:rsidR="00987A31">
        <w:rPr>
          <w:rFonts w:ascii="Times New Roman" w:hAnsi="Times New Roman"/>
          <w:color w:val="000000" w:themeColor="text1"/>
          <w:sz w:val="24"/>
          <w:szCs w:val="24"/>
        </w:rPr>
        <w:t>,</w:t>
      </w:r>
      <w:r w:rsidR="00830399">
        <w:rPr>
          <w:rFonts w:ascii="Times New Roman" w:hAnsi="Times New Roman"/>
          <w:color w:val="000000" w:themeColor="text1"/>
          <w:sz w:val="24"/>
          <w:szCs w:val="24"/>
        </w:rPr>
        <w:t xml:space="preserve"> as contingências naturais e aquelas estabelecidas pela regra e </w:t>
      </w:r>
      <w:r w:rsidR="00F55686">
        <w:rPr>
          <w:rFonts w:ascii="Times New Roman" w:hAnsi="Times New Roman"/>
          <w:color w:val="000000" w:themeColor="text1"/>
          <w:sz w:val="24"/>
          <w:szCs w:val="24"/>
        </w:rPr>
        <w:t>pelo histórico passado com regras (</w:t>
      </w:r>
      <w:r w:rsidR="00DB5FB2">
        <w:rPr>
          <w:rFonts w:ascii="Times New Roman" w:hAnsi="Times New Roman"/>
          <w:color w:val="000000" w:themeColor="text1"/>
          <w:sz w:val="24"/>
          <w:szCs w:val="24"/>
        </w:rPr>
        <w:t>HAYES; ZETTLE; ROSENFARB</w:t>
      </w:r>
      <w:r w:rsidR="00A71060">
        <w:rPr>
          <w:rFonts w:ascii="Times New Roman" w:hAnsi="Times New Roman"/>
          <w:color w:val="000000" w:themeColor="text1"/>
          <w:sz w:val="24"/>
          <w:szCs w:val="24"/>
        </w:rPr>
        <w:t>, 1989), pode-se concluir que a LAI, de fato, pode</w:t>
      </w:r>
      <w:r w:rsidR="00987A31">
        <w:rPr>
          <w:rFonts w:ascii="Times New Roman" w:hAnsi="Times New Roman"/>
          <w:color w:val="000000" w:themeColor="text1"/>
          <w:sz w:val="24"/>
          <w:szCs w:val="24"/>
        </w:rPr>
        <w:t>,</w:t>
      </w:r>
      <w:r w:rsidR="00A71060">
        <w:rPr>
          <w:rFonts w:ascii="Times New Roman" w:hAnsi="Times New Roman"/>
          <w:color w:val="000000" w:themeColor="text1"/>
          <w:sz w:val="24"/>
          <w:szCs w:val="24"/>
        </w:rPr>
        <w:t xml:space="preserve"> num futuro próximo, especialmente com maior rigor em fazer com ela seja cumprida fielmente, </w:t>
      </w:r>
      <w:r w:rsidR="00987A31">
        <w:rPr>
          <w:rFonts w:ascii="Times New Roman" w:hAnsi="Times New Roman"/>
          <w:color w:val="000000" w:themeColor="text1"/>
          <w:sz w:val="24"/>
          <w:szCs w:val="24"/>
        </w:rPr>
        <w:t xml:space="preserve">tornar-se um </w:t>
      </w:r>
      <w:r w:rsidR="00A71060">
        <w:rPr>
          <w:rFonts w:ascii="Times New Roman" w:hAnsi="Times New Roman"/>
          <w:color w:val="000000" w:themeColor="text1"/>
          <w:sz w:val="24"/>
          <w:szCs w:val="24"/>
        </w:rPr>
        <w:t xml:space="preserve">importante instrumento no combate a corrupção e na gestão ética dos recursos públicos por partes dos administradores, </w:t>
      </w:r>
      <w:r w:rsidR="00987A31">
        <w:rPr>
          <w:rFonts w:ascii="Times New Roman" w:hAnsi="Times New Roman"/>
          <w:color w:val="000000" w:themeColor="text1"/>
          <w:sz w:val="24"/>
          <w:szCs w:val="24"/>
        </w:rPr>
        <w:t xml:space="preserve">como </w:t>
      </w:r>
      <w:r w:rsidR="00A71060">
        <w:rPr>
          <w:rFonts w:ascii="Times New Roman" w:hAnsi="Times New Roman"/>
          <w:color w:val="000000" w:themeColor="text1"/>
          <w:sz w:val="24"/>
          <w:szCs w:val="24"/>
        </w:rPr>
        <w:t xml:space="preserve">asseveram </w:t>
      </w:r>
      <w:r w:rsidR="00A71060" w:rsidRPr="00596D1F">
        <w:rPr>
          <w:rFonts w:ascii="Times New Roman" w:hAnsi="Times New Roman"/>
          <w:color w:val="000000" w:themeColor="text1"/>
          <w:sz w:val="24"/>
          <w:szCs w:val="24"/>
        </w:rPr>
        <w:t xml:space="preserve">Klein, Klein </w:t>
      </w:r>
      <w:r w:rsidR="00987A31">
        <w:rPr>
          <w:rFonts w:ascii="Times New Roman" w:hAnsi="Times New Roman"/>
          <w:color w:val="000000" w:themeColor="text1"/>
          <w:sz w:val="24"/>
          <w:szCs w:val="24"/>
        </w:rPr>
        <w:t>e</w:t>
      </w:r>
      <w:r w:rsidR="00987A31" w:rsidRPr="00596D1F">
        <w:rPr>
          <w:rFonts w:ascii="Times New Roman" w:hAnsi="Times New Roman"/>
          <w:color w:val="000000" w:themeColor="text1"/>
          <w:sz w:val="24"/>
          <w:szCs w:val="24"/>
        </w:rPr>
        <w:t xml:space="preserve"> </w:t>
      </w:r>
      <w:r w:rsidR="00A71060" w:rsidRPr="00596D1F">
        <w:rPr>
          <w:rFonts w:ascii="Times New Roman" w:hAnsi="Times New Roman"/>
          <w:color w:val="000000" w:themeColor="text1"/>
          <w:sz w:val="24"/>
          <w:szCs w:val="24"/>
        </w:rPr>
        <w:t>Luciano</w:t>
      </w:r>
      <w:r w:rsidR="00A71060">
        <w:rPr>
          <w:rFonts w:ascii="Times New Roman" w:hAnsi="Times New Roman"/>
          <w:color w:val="000000" w:themeColor="text1"/>
          <w:sz w:val="24"/>
          <w:szCs w:val="24"/>
        </w:rPr>
        <w:t xml:space="preserve"> (</w:t>
      </w:r>
      <w:r w:rsidR="00A71060" w:rsidRPr="00596D1F">
        <w:rPr>
          <w:rFonts w:ascii="Times New Roman" w:hAnsi="Times New Roman"/>
          <w:color w:val="000000" w:themeColor="text1"/>
          <w:sz w:val="24"/>
          <w:szCs w:val="24"/>
        </w:rPr>
        <w:t>2018</w:t>
      </w:r>
      <w:r w:rsidR="00B1105B">
        <w:rPr>
          <w:rFonts w:ascii="Times New Roman" w:hAnsi="Times New Roman"/>
          <w:color w:val="000000" w:themeColor="text1"/>
          <w:sz w:val="24"/>
          <w:szCs w:val="24"/>
        </w:rPr>
        <w:t>b</w:t>
      </w:r>
      <w:r w:rsidR="00A71060">
        <w:rPr>
          <w:rFonts w:ascii="Times New Roman" w:hAnsi="Times New Roman"/>
          <w:color w:val="000000" w:themeColor="text1"/>
          <w:sz w:val="24"/>
          <w:szCs w:val="24"/>
        </w:rPr>
        <w:t>),</w:t>
      </w:r>
      <w:r w:rsidR="00A71060" w:rsidRPr="00596D1F">
        <w:rPr>
          <w:rFonts w:ascii="Times New Roman" w:hAnsi="Times New Roman"/>
          <w:color w:val="000000" w:themeColor="text1"/>
          <w:sz w:val="24"/>
          <w:szCs w:val="24"/>
        </w:rPr>
        <w:t xml:space="preserve"> </w:t>
      </w:r>
      <w:proofErr w:type="spellStart"/>
      <w:r w:rsidR="00A71060" w:rsidRPr="00596D1F">
        <w:rPr>
          <w:rFonts w:ascii="Times New Roman" w:hAnsi="Times New Roman"/>
          <w:color w:val="000000" w:themeColor="text1"/>
          <w:sz w:val="24"/>
          <w:szCs w:val="24"/>
        </w:rPr>
        <w:t>Hoffner</w:t>
      </w:r>
      <w:proofErr w:type="spellEnd"/>
      <w:r w:rsidR="00A71060" w:rsidRPr="00596D1F">
        <w:rPr>
          <w:rFonts w:ascii="Times New Roman" w:hAnsi="Times New Roman"/>
          <w:color w:val="000000" w:themeColor="text1"/>
          <w:sz w:val="24"/>
          <w:szCs w:val="24"/>
        </w:rPr>
        <w:t xml:space="preserve">, Martins </w:t>
      </w:r>
      <w:r w:rsidR="00987A31">
        <w:rPr>
          <w:rFonts w:ascii="Times New Roman" w:hAnsi="Times New Roman"/>
          <w:color w:val="000000" w:themeColor="text1"/>
          <w:sz w:val="24"/>
          <w:szCs w:val="24"/>
        </w:rPr>
        <w:t xml:space="preserve">e </w:t>
      </w:r>
      <w:r w:rsidR="00A71060" w:rsidRPr="00596D1F">
        <w:rPr>
          <w:rFonts w:ascii="Times New Roman" w:hAnsi="Times New Roman"/>
          <w:color w:val="000000" w:themeColor="text1"/>
          <w:sz w:val="24"/>
          <w:szCs w:val="24"/>
        </w:rPr>
        <w:t>Lehman</w:t>
      </w:r>
      <w:r w:rsidR="00A71060">
        <w:rPr>
          <w:rFonts w:ascii="Times New Roman" w:hAnsi="Times New Roman"/>
          <w:color w:val="000000" w:themeColor="text1"/>
          <w:sz w:val="24"/>
          <w:szCs w:val="24"/>
        </w:rPr>
        <w:t xml:space="preserve"> (</w:t>
      </w:r>
      <w:r w:rsidR="00A71060" w:rsidRPr="00596D1F">
        <w:rPr>
          <w:rFonts w:ascii="Times New Roman" w:hAnsi="Times New Roman"/>
          <w:color w:val="000000" w:themeColor="text1"/>
          <w:sz w:val="24"/>
          <w:szCs w:val="24"/>
        </w:rPr>
        <w:t>2016</w:t>
      </w:r>
      <w:r w:rsidR="00A71060">
        <w:rPr>
          <w:rFonts w:ascii="Times New Roman" w:hAnsi="Times New Roman"/>
          <w:color w:val="000000" w:themeColor="text1"/>
          <w:sz w:val="24"/>
          <w:szCs w:val="24"/>
        </w:rPr>
        <w:t>),</w:t>
      </w:r>
      <w:r w:rsidR="00A71060" w:rsidRPr="00596D1F">
        <w:rPr>
          <w:rFonts w:ascii="Times New Roman" w:hAnsi="Times New Roman"/>
          <w:color w:val="000000" w:themeColor="text1"/>
          <w:sz w:val="24"/>
          <w:szCs w:val="24"/>
        </w:rPr>
        <w:t xml:space="preserve"> Sol</w:t>
      </w:r>
      <w:r w:rsidR="00A71060">
        <w:rPr>
          <w:rFonts w:ascii="Times New Roman" w:hAnsi="Times New Roman"/>
          <w:color w:val="000000" w:themeColor="text1"/>
          <w:sz w:val="24"/>
          <w:szCs w:val="24"/>
        </w:rPr>
        <w:t xml:space="preserve"> (</w:t>
      </w:r>
      <w:r w:rsidR="00A71060" w:rsidRPr="00596D1F">
        <w:rPr>
          <w:rFonts w:ascii="Times New Roman" w:hAnsi="Times New Roman"/>
          <w:color w:val="000000" w:themeColor="text1"/>
          <w:sz w:val="24"/>
          <w:szCs w:val="24"/>
        </w:rPr>
        <w:t>2013</w:t>
      </w:r>
      <w:r w:rsidR="00A71060">
        <w:rPr>
          <w:rFonts w:ascii="Times New Roman" w:hAnsi="Times New Roman"/>
          <w:color w:val="000000" w:themeColor="text1"/>
          <w:sz w:val="24"/>
          <w:szCs w:val="24"/>
        </w:rPr>
        <w:t>).</w:t>
      </w:r>
    </w:p>
    <w:p w14:paraId="3D931F74" w14:textId="77777777" w:rsidR="00973382" w:rsidRPr="00596D1F" w:rsidRDefault="00973382" w:rsidP="000B6B45">
      <w:pPr>
        <w:spacing w:after="0" w:line="240" w:lineRule="auto"/>
        <w:jc w:val="both"/>
        <w:rPr>
          <w:rFonts w:ascii="Times New Roman" w:hAnsi="Times New Roman"/>
          <w:color w:val="000000" w:themeColor="text1"/>
          <w:sz w:val="24"/>
          <w:szCs w:val="24"/>
        </w:rPr>
      </w:pPr>
    </w:p>
    <w:p w14:paraId="7F635667" w14:textId="134DC832" w:rsidR="00016724" w:rsidRPr="00596D1F" w:rsidRDefault="002A3917" w:rsidP="00A94D74">
      <w:pPr>
        <w:pStyle w:val="Ttulo1"/>
        <w:spacing w:after="120"/>
        <w:ind w:left="431" w:hanging="431"/>
        <w:rPr>
          <w:color w:val="000000" w:themeColor="text1"/>
        </w:rPr>
      </w:pPr>
      <w:r w:rsidRPr="00596D1F">
        <w:rPr>
          <w:color w:val="000000" w:themeColor="text1"/>
        </w:rPr>
        <w:t>Considerações finais</w:t>
      </w:r>
    </w:p>
    <w:p w14:paraId="20F6BA36" w14:textId="3D5B6236" w:rsidR="00B63CC9" w:rsidRPr="00596D1F" w:rsidRDefault="00385E27" w:rsidP="000B6B45">
      <w:pPr>
        <w:spacing w:after="0" w:line="240" w:lineRule="auto"/>
        <w:ind w:firstLine="708"/>
        <w:jc w:val="both"/>
        <w:rPr>
          <w:rFonts w:ascii="Times New Roman" w:hAnsi="Times New Roman"/>
          <w:color w:val="000000" w:themeColor="text1"/>
          <w:sz w:val="24"/>
          <w:szCs w:val="24"/>
        </w:rPr>
      </w:pPr>
      <w:r w:rsidRPr="00596D1F">
        <w:rPr>
          <w:rFonts w:ascii="Times New Roman" w:eastAsia="Times New Roman" w:hAnsi="Times New Roman"/>
          <w:color w:val="000000" w:themeColor="text1"/>
          <w:sz w:val="24"/>
          <w:szCs w:val="24"/>
          <w:lang w:eastAsia="pt-BR"/>
        </w:rPr>
        <w:t>O objetivo principal d</w:t>
      </w:r>
      <w:r w:rsidR="001E7F94" w:rsidRPr="00596D1F">
        <w:rPr>
          <w:rFonts w:ascii="Times New Roman" w:eastAsia="Times New Roman" w:hAnsi="Times New Roman"/>
          <w:color w:val="000000" w:themeColor="text1"/>
          <w:sz w:val="24"/>
          <w:szCs w:val="24"/>
          <w:lang w:eastAsia="pt-BR"/>
        </w:rPr>
        <w:t xml:space="preserve">este </w:t>
      </w:r>
      <w:r w:rsidRPr="00596D1F">
        <w:rPr>
          <w:rFonts w:ascii="Times New Roman" w:eastAsia="Times New Roman" w:hAnsi="Times New Roman"/>
          <w:color w:val="000000" w:themeColor="text1"/>
          <w:sz w:val="24"/>
          <w:szCs w:val="24"/>
          <w:lang w:eastAsia="pt-BR"/>
        </w:rPr>
        <w:t xml:space="preserve">estudo </w:t>
      </w:r>
      <w:r w:rsidR="00F44554" w:rsidRPr="00596D1F">
        <w:rPr>
          <w:rFonts w:ascii="Times New Roman" w:eastAsia="Times New Roman" w:hAnsi="Times New Roman"/>
          <w:color w:val="000000" w:themeColor="text1"/>
          <w:sz w:val="24"/>
          <w:szCs w:val="24"/>
          <w:lang w:eastAsia="pt-BR"/>
        </w:rPr>
        <w:t xml:space="preserve">foi </w:t>
      </w:r>
      <w:r w:rsidR="001E7F94" w:rsidRPr="00596D1F">
        <w:rPr>
          <w:rFonts w:ascii="Times New Roman" w:eastAsia="Times New Roman" w:hAnsi="Times New Roman"/>
          <w:color w:val="000000" w:themeColor="text1"/>
          <w:sz w:val="24"/>
          <w:szCs w:val="24"/>
          <w:lang w:eastAsia="pt-BR"/>
        </w:rPr>
        <w:t>investigar</w:t>
      </w:r>
      <w:r w:rsidRPr="00596D1F">
        <w:rPr>
          <w:rFonts w:ascii="Times New Roman" w:eastAsia="Times New Roman" w:hAnsi="Times New Roman"/>
          <w:color w:val="000000" w:themeColor="text1"/>
          <w:sz w:val="24"/>
          <w:szCs w:val="24"/>
          <w:lang w:eastAsia="pt-BR"/>
        </w:rPr>
        <w:t xml:space="preserve"> o impacto da LAI no comportamento dos agentes públicos de um tribunal de contas do Brasil, responsáveis por fiscalizar e punir administradores de recursos públicos em âmbito municipal. </w:t>
      </w:r>
      <w:r w:rsidR="00E37AD7">
        <w:rPr>
          <w:rFonts w:ascii="Times New Roman" w:eastAsia="Times New Roman" w:hAnsi="Times New Roman"/>
          <w:color w:val="000000" w:themeColor="text1"/>
          <w:sz w:val="24"/>
          <w:szCs w:val="24"/>
          <w:lang w:eastAsia="pt-BR"/>
        </w:rPr>
        <w:t>Ao se considerar</w:t>
      </w:r>
      <w:r w:rsidR="00B63CC9" w:rsidRPr="00596D1F">
        <w:rPr>
          <w:rFonts w:ascii="Times New Roman" w:eastAsia="Times New Roman" w:hAnsi="Times New Roman"/>
          <w:color w:val="000000" w:themeColor="text1"/>
          <w:sz w:val="24"/>
          <w:szCs w:val="24"/>
          <w:lang w:eastAsia="pt-BR"/>
        </w:rPr>
        <w:t xml:space="preserve"> que lei é um estímulo discriminativo que descreve contingências e funciona como uma variável de contexto para explicar modificação de comportamentos</w:t>
      </w:r>
      <w:r w:rsidR="005E08D7" w:rsidRPr="00596D1F">
        <w:rPr>
          <w:rFonts w:ascii="Times New Roman" w:eastAsia="Times New Roman" w:hAnsi="Times New Roman"/>
          <w:color w:val="000000" w:themeColor="text1"/>
          <w:sz w:val="24"/>
          <w:szCs w:val="24"/>
          <w:lang w:eastAsia="pt-BR"/>
        </w:rPr>
        <w:t xml:space="preserve">, foi estabelecida a seguinte hipótese de pesquisa: </w:t>
      </w:r>
      <w:r w:rsidR="00B63CC9" w:rsidRPr="00596D1F">
        <w:rPr>
          <w:rFonts w:ascii="Times New Roman" w:hAnsi="Times New Roman"/>
          <w:color w:val="000000" w:themeColor="text1"/>
          <w:sz w:val="24"/>
          <w:szCs w:val="24"/>
        </w:rPr>
        <w:t xml:space="preserve">existe uma relação positiva e relevante entre </w:t>
      </w:r>
      <w:r w:rsidR="00ED1B8E" w:rsidRPr="00596D1F">
        <w:rPr>
          <w:rFonts w:ascii="Times New Roman" w:hAnsi="Times New Roman"/>
          <w:color w:val="000000" w:themeColor="text1"/>
          <w:sz w:val="24"/>
          <w:szCs w:val="24"/>
        </w:rPr>
        <w:t>a lei</w:t>
      </w:r>
      <w:r w:rsidR="00B63CC9" w:rsidRPr="00596D1F">
        <w:rPr>
          <w:rFonts w:ascii="Times New Roman" w:hAnsi="Times New Roman"/>
          <w:color w:val="000000" w:themeColor="text1"/>
          <w:sz w:val="24"/>
          <w:szCs w:val="24"/>
        </w:rPr>
        <w:t xml:space="preserve"> e as punições impostas pelos agentes públicos do TCM-GO.</w:t>
      </w:r>
    </w:p>
    <w:p w14:paraId="12ABA16C" w14:textId="2D2B1EF2" w:rsidR="00E37AD7" w:rsidRDefault="005E08D7"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Os resultados da estatística descritiva</w:t>
      </w:r>
      <w:r w:rsidR="007B56D1" w:rsidRPr="00596D1F">
        <w:rPr>
          <w:rFonts w:ascii="Times New Roman" w:hAnsi="Times New Roman"/>
          <w:color w:val="000000" w:themeColor="text1"/>
          <w:sz w:val="24"/>
          <w:szCs w:val="24"/>
        </w:rPr>
        <w:t>,</w:t>
      </w:r>
      <w:r w:rsidR="00ED1B8E" w:rsidRPr="00596D1F">
        <w:rPr>
          <w:rFonts w:ascii="Times New Roman" w:hAnsi="Times New Roman"/>
          <w:color w:val="000000" w:themeColor="text1"/>
          <w:sz w:val="24"/>
          <w:szCs w:val="24"/>
        </w:rPr>
        <w:t xml:space="preserve"> dos</w:t>
      </w:r>
      <w:r w:rsidR="007B56D1" w:rsidRPr="00596D1F">
        <w:rPr>
          <w:rFonts w:ascii="Times New Roman" w:hAnsi="Times New Roman"/>
          <w:color w:val="000000" w:themeColor="text1"/>
          <w:sz w:val="24"/>
          <w:szCs w:val="24"/>
        </w:rPr>
        <w:t xml:space="preserve"> teste</w:t>
      </w:r>
      <w:r w:rsidR="00ED1B8E" w:rsidRPr="00596D1F">
        <w:rPr>
          <w:rFonts w:ascii="Times New Roman" w:hAnsi="Times New Roman"/>
          <w:color w:val="000000" w:themeColor="text1"/>
          <w:sz w:val="24"/>
          <w:szCs w:val="24"/>
        </w:rPr>
        <w:t>s</w:t>
      </w:r>
      <w:r w:rsidR="007B56D1" w:rsidRPr="00596D1F">
        <w:rPr>
          <w:rFonts w:ascii="Times New Roman" w:hAnsi="Times New Roman"/>
          <w:color w:val="000000" w:themeColor="text1"/>
          <w:sz w:val="24"/>
          <w:szCs w:val="24"/>
        </w:rPr>
        <w:t xml:space="preserve"> de média</w:t>
      </w:r>
      <w:r w:rsidRPr="00596D1F">
        <w:rPr>
          <w:rFonts w:ascii="Times New Roman" w:hAnsi="Times New Roman"/>
          <w:color w:val="000000" w:themeColor="text1"/>
          <w:sz w:val="24"/>
          <w:szCs w:val="24"/>
        </w:rPr>
        <w:t xml:space="preserve"> e</w:t>
      </w:r>
      <w:r w:rsidR="00ED1B8E"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também</w:t>
      </w:r>
      <w:r w:rsidR="00ED1B8E"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dos modelos econométricos</w:t>
      </w:r>
      <w:r w:rsidR="00ED1B8E"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mostrar</w:t>
      </w:r>
      <w:r w:rsidR="00FD3745" w:rsidRPr="00596D1F">
        <w:rPr>
          <w:rFonts w:ascii="Times New Roman" w:hAnsi="Times New Roman"/>
          <w:color w:val="000000" w:themeColor="text1"/>
          <w:sz w:val="24"/>
          <w:szCs w:val="24"/>
        </w:rPr>
        <w:t>am</w:t>
      </w:r>
      <w:r w:rsidRPr="00596D1F">
        <w:rPr>
          <w:rFonts w:ascii="Times New Roman" w:hAnsi="Times New Roman"/>
          <w:color w:val="000000" w:themeColor="text1"/>
          <w:sz w:val="24"/>
          <w:szCs w:val="24"/>
        </w:rPr>
        <w:t xml:space="preserve"> que a LAI proporcionou modificação no comportamento dos agentes do </w:t>
      </w:r>
      <w:r w:rsidR="006F1515">
        <w:rPr>
          <w:rFonts w:ascii="Times New Roman" w:hAnsi="Times New Roman"/>
          <w:color w:val="000000" w:themeColor="text1"/>
          <w:sz w:val="24"/>
          <w:szCs w:val="24"/>
        </w:rPr>
        <w:t>tribunal</w:t>
      </w:r>
      <w:r w:rsidRPr="00596D1F">
        <w:rPr>
          <w:rFonts w:ascii="Times New Roman" w:hAnsi="Times New Roman"/>
          <w:color w:val="000000" w:themeColor="text1"/>
          <w:sz w:val="24"/>
          <w:szCs w:val="24"/>
        </w:rPr>
        <w:t xml:space="preserve">. </w:t>
      </w:r>
      <w:r w:rsidR="001E7F94" w:rsidRPr="00596D1F">
        <w:rPr>
          <w:rFonts w:ascii="Times New Roman" w:hAnsi="Times New Roman"/>
          <w:color w:val="000000" w:themeColor="text1"/>
          <w:sz w:val="24"/>
          <w:szCs w:val="24"/>
        </w:rPr>
        <w:t>Os resulta</w:t>
      </w:r>
      <w:r w:rsidR="007B56D1" w:rsidRPr="00596D1F">
        <w:rPr>
          <w:rFonts w:ascii="Times New Roman" w:hAnsi="Times New Roman"/>
          <w:color w:val="000000" w:themeColor="text1"/>
          <w:sz w:val="24"/>
          <w:szCs w:val="24"/>
        </w:rPr>
        <w:t>dos evidenciam</w:t>
      </w:r>
      <w:r w:rsidR="00ED1B8E" w:rsidRPr="00596D1F">
        <w:rPr>
          <w:rFonts w:ascii="Times New Roman" w:hAnsi="Times New Roman"/>
          <w:color w:val="000000" w:themeColor="text1"/>
          <w:sz w:val="24"/>
          <w:szCs w:val="24"/>
        </w:rPr>
        <w:t xml:space="preserve"> que depois da l</w:t>
      </w:r>
      <w:r w:rsidRPr="00596D1F">
        <w:rPr>
          <w:rFonts w:ascii="Times New Roman" w:hAnsi="Times New Roman"/>
          <w:color w:val="000000" w:themeColor="text1"/>
          <w:sz w:val="24"/>
          <w:szCs w:val="24"/>
        </w:rPr>
        <w:t xml:space="preserve">ei </w:t>
      </w:r>
      <w:r w:rsidR="00F44554" w:rsidRPr="00596D1F">
        <w:rPr>
          <w:rFonts w:ascii="Times New Roman" w:hAnsi="Times New Roman"/>
          <w:color w:val="000000" w:themeColor="text1"/>
          <w:sz w:val="24"/>
          <w:szCs w:val="24"/>
        </w:rPr>
        <w:t>reduziu-se o número de processos</w:t>
      </w:r>
      <w:r w:rsidRPr="00596D1F">
        <w:rPr>
          <w:rFonts w:ascii="Times New Roman" w:hAnsi="Times New Roman"/>
          <w:color w:val="000000" w:themeColor="text1"/>
          <w:sz w:val="24"/>
          <w:szCs w:val="24"/>
        </w:rPr>
        <w:t xml:space="preserve">, </w:t>
      </w:r>
      <w:r w:rsidR="001E7F94" w:rsidRPr="00596D1F">
        <w:rPr>
          <w:rFonts w:ascii="Times New Roman" w:hAnsi="Times New Roman"/>
          <w:color w:val="000000" w:themeColor="text1"/>
          <w:sz w:val="24"/>
          <w:szCs w:val="24"/>
        </w:rPr>
        <w:t>todavia</w:t>
      </w:r>
      <w:r w:rsidRPr="00596D1F">
        <w:rPr>
          <w:rFonts w:ascii="Times New Roman" w:hAnsi="Times New Roman"/>
          <w:color w:val="000000" w:themeColor="text1"/>
          <w:sz w:val="24"/>
          <w:szCs w:val="24"/>
        </w:rPr>
        <w:t xml:space="preserve">, as punições foram maiores, tanto </w:t>
      </w:r>
      <w:r w:rsidR="00F44554" w:rsidRPr="00596D1F">
        <w:rPr>
          <w:rFonts w:ascii="Times New Roman" w:hAnsi="Times New Roman"/>
          <w:color w:val="000000" w:themeColor="text1"/>
          <w:sz w:val="24"/>
          <w:szCs w:val="24"/>
        </w:rPr>
        <w:t>de</w:t>
      </w:r>
      <w:r w:rsidRPr="00596D1F">
        <w:rPr>
          <w:rFonts w:ascii="Times New Roman" w:hAnsi="Times New Roman"/>
          <w:color w:val="000000" w:themeColor="text1"/>
          <w:sz w:val="24"/>
          <w:szCs w:val="24"/>
        </w:rPr>
        <w:t xml:space="preserve"> multas como </w:t>
      </w:r>
      <w:r w:rsidR="00F44554" w:rsidRPr="00596D1F">
        <w:rPr>
          <w:rFonts w:ascii="Times New Roman" w:hAnsi="Times New Roman"/>
          <w:color w:val="000000" w:themeColor="text1"/>
          <w:sz w:val="24"/>
          <w:szCs w:val="24"/>
        </w:rPr>
        <w:t xml:space="preserve">de </w:t>
      </w:r>
      <w:r w:rsidRPr="00596D1F">
        <w:rPr>
          <w:rFonts w:ascii="Times New Roman" w:hAnsi="Times New Roman"/>
          <w:color w:val="000000" w:themeColor="text1"/>
          <w:sz w:val="24"/>
          <w:szCs w:val="24"/>
        </w:rPr>
        <w:t xml:space="preserve">imputações de débitos. </w:t>
      </w:r>
      <w:r w:rsidR="00F44554" w:rsidRPr="00596D1F">
        <w:rPr>
          <w:rFonts w:ascii="Times New Roman" w:hAnsi="Times New Roman"/>
          <w:color w:val="000000" w:themeColor="text1"/>
          <w:sz w:val="24"/>
          <w:szCs w:val="24"/>
        </w:rPr>
        <w:t>Tal fato</w:t>
      </w:r>
      <w:r w:rsidR="001E7F94" w:rsidRPr="00596D1F">
        <w:rPr>
          <w:rFonts w:ascii="Times New Roman" w:hAnsi="Times New Roman"/>
          <w:color w:val="000000" w:themeColor="text1"/>
          <w:sz w:val="24"/>
          <w:szCs w:val="24"/>
        </w:rPr>
        <w:t xml:space="preserve"> torna-se mais significativo</w:t>
      </w:r>
      <w:r w:rsidR="005208F1" w:rsidRPr="00596D1F">
        <w:rPr>
          <w:rFonts w:ascii="Times New Roman" w:hAnsi="Times New Roman"/>
          <w:color w:val="000000" w:themeColor="text1"/>
          <w:sz w:val="24"/>
          <w:szCs w:val="24"/>
        </w:rPr>
        <w:t>, ao levar em conta que no</w:t>
      </w:r>
      <w:r w:rsidR="001E7F94" w:rsidRPr="00596D1F">
        <w:rPr>
          <w:rFonts w:ascii="Times New Roman" w:hAnsi="Times New Roman"/>
          <w:color w:val="000000" w:themeColor="text1"/>
          <w:sz w:val="24"/>
          <w:szCs w:val="24"/>
        </w:rPr>
        <w:t xml:space="preserve"> período de vigência da LAI, </w:t>
      </w:r>
      <w:r w:rsidR="00ED1B8E" w:rsidRPr="00596D1F">
        <w:rPr>
          <w:rFonts w:ascii="Times New Roman" w:hAnsi="Times New Roman"/>
          <w:color w:val="000000" w:themeColor="text1"/>
          <w:sz w:val="24"/>
          <w:szCs w:val="24"/>
        </w:rPr>
        <w:t>em</w:t>
      </w:r>
      <w:r w:rsidR="007B56D1" w:rsidRPr="00596D1F">
        <w:rPr>
          <w:rFonts w:ascii="Times New Roman" w:hAnsi="Times New Roman"/>
          <w:color w:val="000000" w:themeColor="text1"/>
          <w:sz w:val="24"/>
          <w:szCs w:val="24"/>
        </w:rPr>
        <w:t xml:space="preserve"> 2015</w:t>
      </w:r>
      <w:r w:rsidR="00ED1B8E" w:rsidRPr="00596D1F">
        <w:rPr>
          <w:rFonts w:ascii="Times New Roman" w:hAnsi="Times New Roman"/>
          <w:color w:val="000000" w:themeColor="text1"/>
          <w:sz w:val="24"/>
          <w:szCs w:val="24"/>
        </w:rPr>
        <w:t>,</w:t>
      </w:r>
      <w:r w:rsidR="001E7F94" w:rsidRPr="00596D1F">
        <w:rPr>
          <w:rFonts w:ascii="Times New Roman" w:hAnsi="Times New Roman"/>
          <w:color w:val="000000" w:themeColor="text1"/>
          <w:sz w:val="24"/>
          <w:szCs w:val="24"/>
        </w:rPr>
        <w:t xml:space="preserve"> ocorreu modificação na legislação do </w:t>
      </w:r>
      <w:r w:rsidR="006F1515">
        <w:rPr>
          <w:rFonts w:ascii="Times New Roman" w:hAnsi="Times New Roman"/>
          <w:color w:val="000000" w:themeColor="text1"/>
          <w:sz w:val="24"/>
          <w:szCs w:val="24"/>
        </w:rPr>
        <w:t>t</w:t>
      </w:r>
      <w:r w:rsidR="001E7F94" w:rsidRPr="00596D1F">
        <w:rPr>
          <w:rFonts w:ascii="Times New Roman" w:hAnsi="Times New Roman"/>
          <w:color w:val="000000" w:themeColor="text1"/>
          <w:sz w:val="24"/>
          <w:szCs w:val="24"/>
        </w:rPr>
        <w:t xml:space="preserve">ribunal reduzindo o percentual </w:t>
      </w:r>
      <w:r w:rsidR="005208F1" w:rsidRPr="00596D1F">
        <w:rPr>
          <w:rFonts w:ascii="Times New Roman" w:hAnsi="Times New Roman"/>
          <w:color w:val="000000" w:themeColor="text1"/>
          <w:sz w:val="24"/>
          <w:szCs w:val="24"/>
        </w:rPr>
        <w:t>das penalidades</w:t>
      </w:r>
      <w:r w:rsidR="001E7F94" w:rsidRPr="00596D1F">
        <w:rPr>
          <w:rFonts w:ascii="Times New Roman" w:hAnsi="Times New Roman"/>
          <w:color w:val="000000" w:themeColor="text1"/>
          <w:sz w:val="24"/>
          <w:szCs w:val="24"/>
        </w:rPr>
        <w:t xml:space="preserve"> </w:t>
      </w:r>
      <w:r w:rsidR="005208F1" w:rsidRPr="00596D1F">
        <w:rPr>
          <w:rFonts w:ascii="Times New Roman" w:hAnsi="Times New Roman"/>
          <w:color w:val="000000" w:themeColor="text1"/>
          <w:sz w:val="24"/>
          <w:szCs w:val="24"/>
        </w:rPr>
        <w:t>praticadas</w:t>
      </w:r>
      <w:r w:rsidR="00F44554" w:rsidRPr="00596D1F">
        <w:rPr>
          <w:rFonts w:ascii="Times New Roman" w:hAnsi="Times New Roman"/>
          <w:color w:val="000000" w:themeColor="text1"/>
          <w:sz w:val="24"/>
          <w:szCs w:val="24"/>
        </w:rPr>
        <w:t>.</w:t>
      </w:r>
      <w:r w:rsidR="005208F1" w:rsidRPr="00596D1F">
        <w:rPr>
          <w:rFonts w:ascii="Times New Roman" w:hAnsi="Times New Roman"/>
          <w:color w:val="000000" w:themeColor="text1"/>
          <w:sz w:val="24"/>
          <w:szCs w:val="24"/>
        </w:rPr>
        <w:t xml:space="preserve"> Assim, mesmo </w:t>
      </w:r>
      <w:r w:rsidR="006F1515">
        <w:rPr>
          <w:rFonts w:ascii="Times New Roman" w:hAnsi="Times New Roman"/>
          <w:color w:val="000000" w:themeColor="text1"/>
          <w:sz w:val="24"/>
          <w:szCs w:val="24"/>
        </w:rPr>
        <w:t>com a redução dos</w:t>
      </w:r>
      <w:r w:rsidR="005208F1" w:rsidRPr="00596D1F">
        <w:rPr>
          <w:rFonts w:ascii="Times New Roman" w:hAnsi="Times New Roman"/>
          <w:color w:val="000000" w:themeColor="text1"/>
          <w:sz w:val="24"/>
          <w:szCs w:val="24"/>
        </w:rPr>
        <w:t xml:space="preserve"> percentuais de penalidades, os valores cresceram depois da LAI.</w:t>
      </w:r>
      <w:r w:rsidR="00F44554" w:rsidRPr="00596D1F">
        <w:rPr>
          <w:rFonts w:ascii="Times New Roman" w:hAnsi="Times New Roman"/>
          <w:color w:val="000000" w:themeColor="text1"/>
          <w:sz w:val="24"/>
          <w:szCs w:val="24"/>
        </w:rPr>
        <w:t xml:space="preserve"> </w:t>
      </w:r>
    </w:p>
    <w:p w14:paraId="5D6DC81B" w14:textId="13DCA4D1" w:rsidR="00CA7CD5" w:rsidRPr="00596D1F" w:rsidRDefault="00CA7CD5"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 obrigatoriedade</w:t>
      </w:r>
      <w:r w:rsidR="0010699B" w:rsidRPr="00596D1F">
        <w:rPr>
          <w:rFonts w:ascii="Times New Roman" w:hAnsi="Times New Roman"/>
          <w:color w:val="000000" w:themeColor="text1"/>
          <w:sz w:val="24"/>
          <w:szCs w:val="24"/>
        </w:rPr>
        <w:t xml:space="preserve"> </w:t>
      </w:r>
      <w:r w:rsidR="00ED1B8E" w:rsidRPr="00596D1F">
        <w:rPr>
          <w:rFonts w:ascii="Times New Roman" w:hAnsi="Times New Roman"/>
          <w:color w:val="000000" w:themeColor="text1"/>
          <w:sz w:val="24"/>
          <w:szCs w:val="24"/>
        </w:rPr>
        <w:t>de maior prestação de contas públicas e transparência</w:t>
      </w:r>
      <w:r w:rsidRPr="00596D1F">
        <w:rPr>
          <w:rFonts w:ascii="Times New Roman" w:hAnsi="Times New Roman"/>
          <w:color w:val="000000" w:themeColor="text1"/>
          <w:sz w:val="24"/>
          <w:szCs w:val="24"/>
        </w:rPr>
        <w:t xml:space="preserve">, inclusive </w:t>
      </w:r>
      <w:r w:rsidR="00ED1B8E" w:rsidRPr="00596D1F">
        <w:rPr>
          <w:rFonts w:ascii="Times New Roman" w:hAnsi="Times New Roman"/>
          <w:color w:val="000000" w:themeColor="text1"/>
          <w:sz w:val="24"/>
          <w:szCs w:val="24"/>
        </w:rPr>
        <w:t xml:space="preserve">para os </w:t>
      </w:r>
      <w:r w:rsidR="006F1515">
        <w:rPr>
          <w:rFonts w:ascii="Times New Roman" w:hAnsi="Times New Roman"/>
          <w:color w:val="000000" w:themeColor="text1"/>
          <w:sz w:val="24"/>
          <w:szCs w:val="24"/>
        </w:rPr>
        <w:t>t</w:t>
      </w:r>
      <w:r w:rsidRPr="00596D1F">
        <w:rPr>
          <w:rFonts w:ascii="Times New Roman" w:hAnsi="Times New Roman"/>
          <w:color w:val="000000" w:themeColor="text1"/>
          <w:sz w:val="24"/>
          <w:szCs w:val="24"/>
        </w:rPr>
        <w:t xml:space="preserve">ribunais, </w:t>
      </w:r>
      <w:r w:rsidR="007B56D1" w:rsidRPr="00596D1F">
        <w:rPr>
          <w:rFonts w:ascii="Times New Roman" w:hAnsi="Times New Roman"/>
          <w:color w:val="000000" w:themeColor="text1"/>
          <w:sz w:val="24"/>
          <w:szCs w:val="24"/>
        </w:rPr>
        <w:t>fez</w:t>
      </w:r>
      <w:r w:rsidR="00ED1B8E" w:rsidRPr="00596D1F">
        <w:rPr>
          <w:rFonts w:ascii="Times New Roman" w:hAnsi="Times New Roman"/>
          <w:color w:val="000000" w:themeColor="text1"/>
          <w:sz w:val="24"/>
          <w:szCs w:val="24"/>
        </w:rPr>
        <w:t xml:space="preserve"> com</w:t>
      </w:r>
      <w:r w:rsidR="0010699B" w:rsidRPr="00596D1F">
        <w:rPr>
          <w:rFonts w:ascii="Times New Roman" w:hAnsi="Times New Roman"/>
          <w:color w:val="000000" w:themeColor="text1"/>
          <w:sz w:val="24"/>
          <w:szCs w:val="24"/>
        </w:rPr>
        <w:t xml:space="preserve"> que ocorresse </w:t>
      </w:r>
      <w:r w:rsidR="00ED1B8E" w:rsidRPr="00596D1F">
        <w:rPr>
          <w:rFonts w:ascii="Times New Roman" w:hAnsi="Times New Roman"/>
          <w:color w:val="000000" w:themeColor="text1"/>
          <w:sz w:val="24"/>
          <w:szCs w:val="24"/>
        </w:rPr>
        <w:t>importante</w:t>
      </w:r>
      <w:r w:rsidR="0010699B" w:rsidRPr="00596D1F">
        <w:rPr>
          <w:rFonts w:ascii="Times New Roman" w:hAnsi="Times New Roman"/>
          <w:color w:val="000000" w:themeColor="text1"/>
          <w:sz w:val="24"/>
          <w:szCs w:val="24"/>
        </w:rPr>
        <w:t xml:space="preserve"> mudança comportamental dos agentes públicos,</w:t>
      </w:r>
      <w:r w:rsidR="00ED1B8E" w:rsidRPr="00596D1F">
        <w:rPr>
          <w:rFonts w:ascii="Times New Roman" w:hAnsi="Times New Roman"/>
          <w:color w:val="000000" w:themeColor="text1"/>
          <w:sz w:val="24"/>
          <w:szCs w:val="24"/>
        </w:rPr>
        <w:t xml:space="preserve"> a qual foi constatada</w:t>
      </w:r>
      <w:r w:rsidR="0010699B" w:rsidRPr="00596D1F">
        <w:rPr>
          <w:rFonts w:ascii="Times New Roman" w:hAnsi="Times New Roman"/>
          <w:color w:val="000000" w:themeColor="text1"/>
          <w:sz w:val="24"/>
          <w:szCs w:val="24"/>
        </w:rPr>
        <w:t xml:space="preserve"> por meio de testes estatísticos</w:t>
      </w:r>
      <w:r w:rsidR="00ED1B8E" w:rsidRPr="00596D1F">
        <w:rPr>
          <w:rFonts w:ascii="Times New Roman" w:hAnsi="Times New Roman"/>
          <w:color w:val="000000" w:themeColor="text1"/>
          <w:sz w:val="24"/>
          <w:szCs w:val="24"/>
        </w:rPr>
        <w:t xml:space="preserve"> aplicados às punições impostas pelo TCM-GO, tendo como variável de interesse a LAI.</w:t>
      </w:r>
    </w:p>
    <w:p w14:paraId="36BF0145" w14:textId="6FC68908" w:rsidR="00E37AD7" w:rsidRDefault="0010699B"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Ademais</w:t>
      </w:r>
      <w:r w:rsidR="007B56D1" w:rsidRPr="00596D1F">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é possível concluir, considerando que a hipótese de pesquisa não foi refutada, que a LAI pode ser</w:t>
      </w:r>
      <w:r w:rsidR="00ED1B8E" w:rsidRPr="00596D1F">
        <w:rPr>
          <w:rFonts w:ascii="Times New Roman" w:hAnsi="Times New Roman"/>
          <w:color w:val="000000" w:themeColor="text1"/>
          <w:sz w:val="24"/>
          <w:szCs w:val="24"/>
        </w:rPr>
        <w:t>, de fato, um</w:t>
      </w:r>
      <w:r w:rsidRPr="00596D1F">
        <w:rPr>
          <w:rFonts w:ascii="Times New Roman" w:hAnsi="Times New Roman"/>
          <w:color w:val="000000" w:themeColor="text1"/>
          <w:sz w:val="24"/>
          <w:szCs w:val="24"/>
        </w:rPr>
        <w:t xml:space="preserve"> importante instrumento de modificação comportamental, </w:t>
      </w:r>
      <w:r w:rsidR="001E104E" w:rsidRPr="00596D1F">
        <w:rPr>
          <w:rFonts w:ascii="Times New Roman" w:hAnsi="Times New Roman"/>
          <w:color w:val="000000" w:themeColor="text1"/>
          <w:sz w:val="24"/>
          <w:szCs w:val="24"/>
        </w:rPr>
        <w:t xml:space="preserve">especialmente </w:t>
      </w:r>
      <w:r w:rsidR="00ED1B8E" w:rsidRPr="00596D1F">
        <w:rPr>
          <w:rFonts w:ascii="Times New Roman" w:hAnsi="Times New Roman"/>
          <w:color w:val="000000" w:themeColor="text1"/>
          <w:sz w:val="24"/>
          <w:szCs w:val="24"/>
        </w:rPr>
        <w:t xml:space="preserve">para </w:t>
      </w:r>
      <w:r w:rsidR="001E104E" w:rsidRPr="00596D1F">
        <w:rPr>
          <w:rFonts w:ascii="Times New Roman" w:hAnsi="Times New Roman"/>
          <w:color w:val="000000" w:themeColor="text1"/>
          <w:sz w:val="24"/>
          <w:szCs w:val="24"/>
        </w:rPr>
        <w:t>redução da</w:t>
      </w:r>
      <w:r w:rsidRPr="00596D1F">
        <w:rPr>
          <w:rFonts w:ascii="Times New Roman" w:hAnsi="Times New Roman"/>
          <w:color w:val="000000" w:themeColor="text1"/>
          <w:sz w:val="24"/>
          <w:szCs w:val="24"/>
        </w:rPr>
        <w:t xml:space="preserve"> corrupção e</w:t>
      </w:r>
      <w:r w:rsidR="001E104E" w:rsidRPr="00596D1F">
        <w:rPr>
          <w:rFonts w:ascii="Times New Roman" w:hAnsi="Times New Roman"/>
          <w:color w:val="000000" w:themeColor="text1"/>
          <w:sz w:val="24"/>
          <w:szCs w:val="24"/>
        </w:rPr>
        <w:t xml:space="preserve"> garantia de</w:t>
      </w:r>
      <w:r w:rsidRPr="00596D1F">
        <w:rPr>
          <w:rFonts w:ascii="Times New Roman" w:hAnsi="Times New Roman"/>
          <w:color w:val="000000" w:themeColor="text1"/>
          <w:sz w:val="24"/>
          <w:szCs w:val="24"/>
        </w:rPr>
        <w:t xml:space="preserve"> mais ética na gestão dos recursos públicos, porque foi visível sua importância no fortalecimento das ações do TCM-GO no julgamento e punição </w:t>
      </w:r>
      <w:r w:rsidR="00ED1B8E" w:rsidRPr="00596D1F">
        <w:rPr>
          <w:rFonts w:ascii="Times New Roman" w:hAnsi="Times New Roman"/>
          <w:color w:val="000000" w:themeColor="text1"/>
          <w:sz w:val="24"/>
          <w:szCs w:val="24"/>
        </w:rPr>
        <w:t>dos atos de gestão</w:t>
      </w:r>
      <w:r w:rsidRPr="00596D1F">
        <w:rPr>
          <w:rFonts w:ascii="Times New Roman" w:hAnsi="Times New Roman"/>
          <w:color w:val="000000" w:themeColor="text1"/>
          <w:sz w:val="24"/>
          <w:szCs w:val="24"/>
        </w:rPr>
        <w:t xml:space="preserve">. Contudo, </w:t>
      </w:r>
      <w:r w:rsidR="00ED1B8E" w:rsidRPr="00596D1F">
        <w:rPr>
          <w:rFonts w:ascii="Times New Roman" w:hAnsi="Times New Roman"/>
          <w:color w:val="000000" w:themeColor="text1"/>
          <w:sz w:val="24"/>
          <w:szCs w:val="24"/>
        </w:rPr>
        <w:t>realça-se</w:t>
      </w:r>
      <w:r w:rsidRPr="00596D1F">
        <w:rPr>
          <w:rFonts w:ascii="Times New Roman" w:hAnsi="Times New Roman"/>
          <w:color w:val="000000" w:themeColor="text1"/>
          <w:sz w:val="24"/>
          <w:szCs w:val="24"/>
        </w:rPr>
        <w:t xml:space="preserve"> que medidas concretas de acompanhamento da sociedade sobre os atos de gestão, bem como o fortalecimento das ações para garantir que a lei seja respeitada e cumprida, o que outros estudos mostraram </w:t>
      </w:r>
      <w:r w:rsidR="00ED1B8E" w:rsidRPr="00596D1F">
        <w:rPr>
          <w:rFonts w:ascii="Times New Roman" w:hAnsi="Times New Roman"/>
          <w:color w:val="000000" w:themeColor="text1"/>
          <w:sz w:val="24"/>
          <w:szCs w:val="24"/>
        </w:rPr>
        <w:t xml:space="preserve">não estar </w:t>
      </w:r>
      <w:r w:rsidR="00ED1B8E" w:rsidRPr="00596D1F">
        <w:rPr>
          <w:rFonts w:ascii="Times New Roman" w:hAnsi="Times New Roman"/>
          <w:color w:val="000000" w:themeColor="text1"/>
          <w:sz w:val="24"/>
          <w:szCs w:val="24"/>
        </w:rPr>
        <w:lastRenderedPageBreak/>
        <w:t>ocorrendo</w:t>
      </w:r>
      <w:r w:rsidRPr="00596D1F">
        <w:rPr>
          <w:rFonts w:ascii="Times New Roman" w:hAnsi="Times New Roman"/>
          <w:color w:val="000000" w:themeColor="text1"/>
          <w:sz w:val="24"/>
          <w:szCs w:val="24"/>
        </w:rPr>
        <w:t xml:space="preserve">, são fundamentais para o aperfeiçoamento da gestão pública </w:t>
      </w:r>
      <w:r w:rsidR="00ED1B8E" w:rsidRPr="00596D1F">
        <w:rPr>
          <w:rFonts w:ascii="Times New Roman" w:hAnsi="Times New Roman"/>
          <w:color w:val="000000" w:themeColor="text1"/>
          <w:sz w:val="24"/>
          <w:szCs w:val="24"/>
        </w:rPr>
        <w:t>na condução</w:t>
      </w:r>
      <w:r w:rsidRPr="00596D1F">
        <w:rPr>
          <w:rFonts w:ascii="Times New Roman" w:hAnsi="Times New Roman"/>
          <w:color w:val="000000" w:themeColor="text1"/>
          <w:sz w:val="24"/>
          <w:szCs w:val="24"/>
        </w:rPr>
        <w:t xml:space="preserve"> eficiente, econômica e transparente dos recursos público</w:t>
      </w:r>
      <w:r w:rsidR="00D22D49">
        <w:rPr>
          <w:rFonts w:ascii="Times New Roman" w:hAnsi="Times New Roman"/>
          <w:color w:val="000000" w:themeColor="text1"/>
          <w:sz w:val="24"/>
          <w:szCs w:val="24"/>
        </w:rPr>
        <w:t>s</w:t>
      </w:r>
      <w:r w:rsidRPr="00596D1F">
        <w:rPr>
          <w:rFonts w:ascii="Times New Roman" w:hAnsi="Times New Roman"/>
          <w:color w:val="000000" w:themeColor="text1"/>
          <w:sz w:val="24"/>
          <w:szCs w:val="24"/>
        </w:rPr>
        <w:t>.</w:t>
      </w:r>
      <w:r w:rsidR="00CE7EA2">
        <w:rPr>
          <w:rFonts w:ascii="Times New Roman" w:hAnsi="Times New Roman"/>
          <w:color w:val="000000" w:themeColor="text1"/>
          <w:sz w:val="24"/>
          <w:szCs w:val="24"/>
        </w:rPr>
        <w:t xml:space="preserve"> </w:t>
      </w:r>
    </w:p>
    <w:p w14:paraId="5221F75F" w14:textId="30280510" w:rsidR="00F07009" w:rsidRPr="00596D1F" w:rsidRDefault="001E104E" w:rsidP="000B6B45">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Não é possível </w:t>
      </w:r>
      <w:r w:rsidR="00ED1B8E" w:rsidRPr="00596D1F">
        <w:rPr>
          <w:rFonts w:ascii="Times New Roman" w:hAnsi="Times New Roman"/>
          <w:color w:val="000000" w:themeColor="text1"/>
          <w:sz w:val="24"/>
          <w:szCs w:val="24"/>
        </w:rPr>
        <w:t>afirmar</w:t>
      </w:r>
      <w:r w:rsidRPr="00596D1F">
        <w:rPr>
          <w:rFonts w:ascii="Times New Roman" w:hAnsi="Times New Roman"/>
          <w:color w:val="000000" w:themeColor="text1"/>
          <w:sz w:val="24"/>
          <w:szCs w:val="24"/>
        </w:rPr>
        <w:t xml:space="preserve"> que a LAI reduziu a ineficiência, corrupção, e trouxe mais qualidade </w:t>
      </w:r>
      <w:r w:rsidR="00E37AD7">
        <w:rPr>
          <w:rFonts w:ascii="Times New Roman" w:hAnsi="Times New Roman"/>
          <w:color w:val="000000" w:themeColor="text1"/>
          <w:sz w:val="24"/>
          <w:szCs w:val="24"/>
        </w:rPr>
        <w:t>à</w:t>
      </w:r>
      <w:r w:rsidRPr="00596D1F">
        <w:rPr>
          <w:rFonts w:ascii="Times New Roman" w:hAnsi="Times New Roman"/>
          <w:color w:val="000000" w:themeColor="text1"/>
          <w:sz w:val="24"/>
          <w:szCs w:val="24"/>
        </w:rPr>
        <w:t xml:space="preserve"> gestão dos recursos públicos, não obstante a pesquisa </w:t>
      </w:r>
      <w:r w:rsidR="007B56D1" w:rsidRPr="00596D1F">
        <w:rPr>
          <w:rFonts w:ascii="Times New Roman" w:hAnsi="Times New Roman"/>
          <w:color w:val="000000" w:themeColor="text1"/>
          <w:sz w:val="24"/>
          <w:szCs w:val="24"/>
        </w:rPr>
        <w:t>ter indicado</w:t>
      </w:r>
      <w:r w:rsidRPr="00596D1F">
        <w:rPr>
          <w:rFonts w:ascii="Times New Roman" w:hAnsi="Times New Roman"/>
          <w:color w:val="000000" w:themeColor="text1"/>
          <w:sz w:val="24"/>
          <w:szCs w:val="24"/>
        </w:rPr>
        <w:t xml:space="preserve"> que houve mais qualidade </w:t>
      </w:r>
      <w:r w:rsidR="007B56D1" w:rsidRPr="00596D1F">
        <w:rPr>
          <w:rFonts w:ascii="Times New Roman" w:hAnsi="Times New Roman"/>
          <w:color w:val="000000" w:themeColor="text1"/>
          <w:sz w:val="24"/>
          <w:szCs w:val="24"/>
        </w:rPr>
        <w:t xml:space="preserve">e efetividade </w:t>
      </w:r>
      <w:r w:rsidRPr="00596D1F">
        <w:rPr>
          <w:rFonts w:ascii="Times New Roman" w:hAnsi="Times New Roman"/>
          <w:color w:val="000000" w:themeColor="text1"/>
          <w:sz w:val="24"/>
          <w:szCs w:val="24"/>
        </w:rPr>
        <w:t xml:space="preserve">nas ações do </w:t>
      </w:r>
      <w:r w:rsidR="006F1515">
        <w:rPr>
          <w:rFonts w:ascii="Times New Roman" w:hAnsi="Times New Roman"/>
          <w:color w:val="000000" w:themeColor="text1"/>
          <w:sz w:val="24"/>
          <w:szCs w:val="24"/>
        </w:rPr>
        <w:t>t</w:t>
      </w:r>
      <w:r w:rsidRPr="00596D1F">
        <w:rPr>
          <w:rFonts w:ascii="Times New Roman" w:hAnsi="Times New Roman"/>
          <w:color w:val="000000" w:themeColor="text1"/>
          <w:sz w:val="24"/>
          <w:szCs w:val="24"/>
        </w:rPr>
        <w:t>ribunal</w:t>
      </w:r>
      <w:r w:rsidR="006F1515">
        <w:rPr>
          <w:rFonts w:ascii="Times New Roman" w:hAnsi="Times New Roman"/>
          <w:color w:val="000000" w:themeColor="text1"/>
          <w:sz w:val="24"/>
          <w:szCs w:val="24"/>
        </w:rPr>
        <w:t>,</w:t>
      </w:r>
      <w:r w:rsidRPr="00596D1F">
        <w:rPr>
          <w:rFonts w:ascii="Times New Roman" w:hAnsi="Times New Roman"/>
          <w:color w:val="000000" w:themeColor="text1"/>
          <w:sz w:val="24"/>
          <w:szCs w:val="24"/>
        </w:rPr>
        <w:t xml:space="preserve"> na fiscalização e punição a</w:t>
      </w:r>
      <w:r w:rsidR="008022AF">
        <w:rPr>
          <w:rFonts w:ascii="Times New Roman" w:hAnsi="Times New Roman"/>
          <w:color w:val="000000" w:themeColor="text1"/>
          <w:sz w:val="24"/>
          <w:szCs w:val="24"/>
        </w:rPr>
        <w:t>o</w:t>
      </w:r>
      <w:r w:rsidRPr="00596D1F">
        <w:rPr>
          <w:rFonts w:ascii="Times New Roman" w:hAnsi="Times New Roman"/>
          <w:color w:val="000000" w:themeColor="text1"/>
          <w:sz w:val="24"/>
          <w:szCs w:val="24"/>
        </w:rPr>
        <w:t>s gestores infratores.</w:t>
      </w:r>
      <w:r w:rsidR="00D22D49">
        <w:rPr>
          <w:rFonts w:ascii="Times New Roman" w:hAnsi="Times New Roman"/>
          <w:color w:val="000000" w:themeColor="text1"/>
          <w:sz w:val="24"/>
          <w:szCs w:val="24"/>
        </w:rPr>
        <w:t xml:space="preserve"> </w:t>
      </w:r>
      <w:r w:rsidR="00F07009" w:rsidRPr="00596D1F">
        <w:rPr>
          <w:rFonts w:ascii="Times New Roman" w:hAnsi="Times New Roman"/>
          <w:color w:val="000000" w:themeColor="text1"/>
          <w:sz w:val="24"/>
          <w:szCs w:val="24"/>
        </w:rPr>
        <w:t>O aumento das punições impostas aos jurisdicionados depois da LAI</w:t>
      </w:r>
      <w:r w:rsidR="002F76E1" w:rsidRPr="00596D1F">
        <w:rPr>
          <w:rFonts w:ascii="Times New Roman" w:hAnsi="Times New Roman"/>
          <w:color w:val="000000" w:themeColor="text1"/>
          <w:sz w:val="24"/>
          <w:szCs w:val="24"/>
        </w:rPr>
        <w:t xml:space="preserve"> pelo TCM-GO pode ter duas explicações. A primeira porque as ações </w:t>
      </w:r>
      <w:r w:rsidR="00F56027" w:rsidRPr="00596D1F">
        <w:rPr>
          <w:rFonts w:ascii="Times New Roman" w:hAnsi="Times New Roman"/>
          <w:color w:val="000000" w:themeColor="text1"/>
          <w:sz w:val="24"/>
          <w:szCs w:val="24"/>
        </w:rPr>
        <w:t>dessa Corte de Contas</w:t>
      </w:r>
      <w:r w:rsidR="002F76E1" w:rsidRPr="00596D1F">
        <w:rPr>
          <w:rFonts w:ascii="Times New Roman" w:hAnsi="Times New Roman"/>
          <w:color w:val="000000" w:themeColor="text1"/>
          <w:sz w:val="24"/>
          <w:szCs w:val="24"/>
        </w:rPr>
        <w:t xml:space="preserve">, também se sujeita a referida lei, portanto, </w:t>
      </w:r>
      <w:r w:rsidR="00F56027" w:rsidRPr="00596D1F">
        <w:rPr>
          <w:rFonts w:ascii="Times New Roman" w:hAnsi="Times New Roman"/>
          <w:color w:val="000000" w:themeColor="text1"/>
          <w:sz w:val="24"/>
          <w:szCs w:val="24"/>
        </w:rPr>
        <w:t>aumenta a chance de um acompanhamento mais efetivo de toda a sociedade</w:t>
      </w:r>
      <w:r w:rsidR="002F76E1" w:rsidRPr="00596D1F">
        <w:rPr>
          <w:rFonts w:ascii="Times New Roman" w:hAnsi="Times New Roman"/>
          <w:color w:val="000000" w:themeColor="text1"/>
          <w:sz w:val="24"/>
          <w:szCs w:val="24"/>
        </w:rPr>
        <w:t xml:space="preserve">. A segunda decorre do fato </w:t>
      </w:r>
      <w:r w:rsidR="00F56027" w:rsidRPr="00596D1F">
        <w:rPr>
          <w:rFonts w:ascii="Times New Roman" w:hAnsi="Times New Roman"/>
          <w:color w:val="000000" w:themeColor="text1"/>
          <w:sz w:val="24"/>
          <w:szCs w:val="24"/>
        </w:rPr>
        <w:t xml:space="preserve">de </w:t>
      </w:r>
      <w:r w:rsidR="002F76E1" w:rsidRPr="00596D1F">
        <w:rPr>
          <w:rFonts w:ascii="Times New Roman" w:hAnsi="Times New Roman"/>
          <w:color w:val="000000" w:themeColor="text1"/>
          <w:sz w:val="24"/>
          <w:szCs w:val="24"/>
        </w:rPr>
        <w:t>que as prestações de contas sujeitas a auditoria e julgamento do tribunal</w:t>
      </w:r>
      <w:r w:rsidR="00F56027" w:rsidRPr="00596D1F">
        <w:rPr>
          <w:rFonts w:ascii="Times New Roman" w:hAnsi="Times New Roman"/>
          <w:color w:val="000000" w:themeColor="text1"/>
          <w:sz w:val="24"/>
          <w:szCs w:val="24"/>
        </w:rPr>
        <w:t xml:space="preserve">, também, integram o rol da nova regra, sujeitando-se, portanto, a </w:t>
      </w:r>
      <w:r w:rsidR="002F76E1" w:rsidRPr="00596D1F">
        <w:rPr>
          <w:rFonts w:ascii="Times New Roman" w:hAnsi="Times New Roman"/>
          <w:color w:val="000000" w:themeColor="text1"/>
          <w:sz w:val="24"/>
          <w:szCs w:val="24"/>
        </w:rPr>
        <w:t xml:space="preserve">uma prestação de contas maior e mais efetiva. </w:t>
      </w:r>
      <w:r w:rsidR="007D5E62" w:rsidRPr="00596D1F">
        <w:rPr>
          <w:rFonts w:ascii="Times New Roman" w:hAnsi="Times New Roman"/>
          <w:color w:val="000000" w:themeColor="text1"/>
          <w:sz w:val="24"/>
          <w:szCs w:val="24"/>
        </w:rPr>
        <w:t>Em síntese, a transparência de dados</w:t>
      </w:r>
      <w:r w:rsidR="00F56027" w:rsidRPr="00596D1F">
        <w:rPr>
          <w:rFonts w:ascii="Times New Roman" w:hAnsi="Times New Roman"/>
          <w:color w:val="000000" w:themeColor="text1"/>
          <w:sz w:val="24"/>
          <w:szCs w:val="24"/>
        </w:rPr>
        <w:t xml:space="preserve"> públicos</w:t>
      </w:r>
      <w:r w:rsidR="007D5E62" w:rsidRPr="00596D1F">
        <w:rPr>
          <w:rFonts w:ascii="Times New Roman" w:hAnsi="Times New Roman"/>
          <w:color w:val="000000" w:themeColor="text1"/>
          <w:sz w:val="24"/>
          <w:szCs w:val="24"/>
        </w:rPr>
        <w:t xml:space="preserve"> e</w:t>
      </w:r>
      <w:r w:rsidR="007B56D1" w:rsidRPr="00596D1F">
        <w:rPr>
          <w:rFonts w:ascii="Times New Roman" w:hAnsi="Times New Roman"/>
          <w:color w:val="000000" w:themeColor="text1"/>
          <w:sz w:val="24"/>
          <w:szCs w:val="24"/>
        </w:rPr>
        <w:t xml:space="preserve"> a</w:t>
      </w:r>
      <w:r w:rsidR="007D5E62" w:rsidRPr="00596D1F">
        <w:rPr>
          <w:rFonts w:ascii="Times New Roman" w:hAnsi="Times New Roman"/>
          <w:color w:val="000000" w:themeColor="text1"/>
          <w:sz w:val="24"/>
          <w:szCs w:val="24"/>
        </w:rPr>
        <w:t xml:space="preserve"> possibilidade de maior controle por parte da sociedade </w:t>
      </w:r>
      <w:r w:rsidR="00E41C3E" w:rsidRPr="00596D1F">
        <w:rPr>
          <w:rFonts w:ascii="Times New Roman" w:hAnsi="Times New Roman"/>
          <w:color w:val="000000" w:themeColor="text1"/>
          <w:sz w:val="24"/>
          <w:szCs w:val="24"/>
        </w:rPr>
        <w:t xml:space="preserve">fizeram </w:t>
      </w:r>
      <w:r w:rsidR="007B56D1" w:rsidRPr="00596D1F">
        <w:rPr>
          <w:rFonts w:ascii="Times New Roman" w:hAnsi="Times New Roman"/>
          <w:color w:val="000000" w:themeColor="text1"/>
          <w:sz w:val="24"/>
          <w:szCs w:val="24"/>
        </w:rPr>
        <w:t>com que no período examinado houvesse resultado confirmatório de maior ação da fiscalização de gestores de recursos públicos.</w:t>
      </w:r>
    </w:p>
    <w:p w14:paraId="590AE3A9" w14:textId="0A110F6D" w:rsidR="004F1744" w:rsidRPr="00596D1F" w:rsidRDefault="0010699B" w:rsidP="007B56D1">
      <w:pPr>
        <w:spacing w:after="0" w:line="240" w:lineRule="auto"/>
        <w:ind w:firstLine="708"/>
        <w:jc w:val="both"/>
        <w:rPr>
          <w:rFonts w:ascii="Times New Roman" w:hAnsi="Times New Roman"/>
          <w:color w:val="000000" w:themeColor="text1"/>
          <w:sz w:val="24"/>
          <w:szCs w:val="24"/>
        </w:rPr>
      </w:pPr>
      <w:r w:rsidRPr="00596D1F">
        <w:rPr>
          <w:rFonts w:ascii="Times New Roman" w:hAnsi="Times New Roman"/>
          <w:color w:val="000000" w:themeColor="text1"/>
          <w:sz w:val="24"/>
          <w:szCs w:val="24"/>
        </w:rPr>
        <w:t xml:space="preserve">Este estudo </w:t>
      </w:r>
      <w:r w:rsidR="00722D3A" w:rsidRPr="00596D1F">
        <w:rPr>
          <w:rFonts w:ascii="Times New Roman" w:hAnsi="Times New Roman"/>
          <w:color w:val="000000" w:themeColor="text1"/>
          <w:sz w:val="24"/>
          <w:szCs w:val="24"/>
        </w:rPr>
        <w:t>denota</w:t>
      </w:r>
      <w:r w:rsidRPr="00596D1F">
        <w:rPr>
          <w:rFonts w:ascii="Times New Roman" w:hAnsi="Times New Roman"/>
          <w:color w:val="000000" w:themeColor="text1"/>
          <w:sz w:val="24"/>
          <w:szCs w:val="24"/>
        </w:rPr>
        <w:t xml:space="preserve"> que é possível utilizar a empregar a teoria da análise do comportamento humano </w:t>
      </w:r>
      <w:r w:rsidR="00722D3A" w:rsidRPr="00596D1F">
        <w:rPr>
          <w:rFonts w:ascii="Times New Roman" w:hAnsi="Times New Roman"/>
          <w:color w:val="000000" w:themeColor="text1"/>
          <w:sz w:val="24"/>
          <w:szCs w:val="24"/>
        </w:rPr>
        <w:t>em pesquisas d</w:t>
      </w:r>
      <w:r w:rsidRPr="00596D1F">
        <w:rPr>
          <w:rFonts w:ascii="Times New Roman" w:hAnsi="Times New Roman"/>
          <w:color w:val="000000" w:themeColor="text1"/>
          <w:sz w:val="24"/>
          <w:szCs w:val="24"/>
        </w:rPr>
        <w:t xml:space="preserve">e dados sociais, inclusive para </w:t>
      </w:r>
      <w:r w:rsidR="00722D3A" w:rsidRPr="00596D1F">
        <w:rPr>
          <w:rFonts w:ascii="Times New Roman" w:hAnsi="Times New Roman"/>
          <w:color w:val="000000" w:themeColor="text1"/>
          <w:sz w:val="24"/>
          <w:szCs w:val="24"/>
        </w:rPr>
        <w:t>sugerir respostas do</w:t>
      </w:r>
      <w:r w:rsidRPr="00596D1F">
        <w:rPr>
          <w:rFonts w:ascii="Times New Roman" w:hAnsi="Times New Roman"/>
          <w:color w:val="000000" w:themeColor="text1"/>
          <w:sz w:val="24"/>
          <w:szCs w:val="24"/>
        </w:rPr>
        <w:t xml:space="preserve"> </w:t>
      </w:r>
      <w:r w:rsidR="006F1515" w:rsidRPr="00596D1F">
        <w:rPr>
          <w:rFonts w:ascii="Times New Roman" w:hAnsi="Times New Roman"/>
          <w:color w:val="000000" w:themeColor="text1"/>
          <w:sz w:val="24"/>
          <w:szCs w:val="24"/>
        </w:rPr>
        <w:t>porquê</w:t>
      </w:r>
      <w:r w:rsidRPr="00596D1F">
        <w:rPr>
          <w:rFonts w:ascii="Times New Roman" w:hAnsi="Times New Roman"/>
          <w:color w:val="000000" w:themeColor="text1"/>
          <w:sz w:val="24"/>
          <w:szCs w:val="24"/>
        </w:rPr>
        <w:t xml:space="preserve"> determinadas leis não funcionam</w:t>
      </w:r>
      <w:r w:rsidR="007B56D1" w:rsidRPr="00596D1F">
        <w:rPr>
          <w:rFonts w:ascii="Times New Roman" w:hAnsi="Times New Roman"/>
          <w:color w:val="000000" w:themeColor="text1"/>
          <w:sz w:val="24"/>
          <w:szCs w:val="24"/>
        </w:rPr>
        <w:t xml:space="preserve"> eficazmente</w:t>
      </w:r>
      <w:r w:rsidRPr="00596D1F">
        <w:rPr>
          <w:rFonts w:ascii="Times New Roman" w:hAnsi="Times New Roman"/>
          <w:color w:val="000000" w:themeColor="text1"/>
          <w:sz w:val="24"/>
          <w:szCs w:val="24"/>
        </w:rPr>
        <w:t xml:space="preserve"> e para identificar e propor ações </w:t>
      </w:r>
      <w:r w:rsidR="003C6C8E" w:rsidRPr="00596D1F">
        <w:rPr>
          <w:rFonts w:ascii="Times New Roman" w:hAnsi="Times New Roman"/>
          <w:color w:val="000000" w:themeColor="text1"/>
          <w:sz w:val="24"/>
          <w:szCs w:val="24"/>
        </w:rPr>
        <w:t>no sentido de fazer com</w:t>
      </w:r>
      <w:r w:rsidR="006F1515">
        <w:rPr>
          <w:rFonts w:ascii="Times New Roman" w:hAnsi="Times New Roman"/>
          <w:color w:val="000000" w:themeColor="text1"/>
          <w:sz w:val="24"/>
          <w:szCs w:val="24"/>
        </w:rPr>
        <w:t xml:space="preserve"> que</w:t>
      </w:r>
      <w:r w:rsidR="003C6C8E" w:rsidRPr="00596D1F">
        <w:rPr>
          <w:rFonts w:ascii="Times New Roman" w:hAnsi="Times New Roman"/>
          <w:color w:val="000000" w:themeColor="text1"/>
          <w:sz w:val="24"/>
          <w:szCs w:val="24"/>
        </w:rPr>
        <w:t xml:space="preserve"> as pessoas se comportem de maneira a atender os anseios da sociedade</w:t>
      </w:r>
      <w:r w:rsidR="00451088" w:rsidRPr="00596D1F">
        <w:rPr>
          <w:rFonts w:ascii="Times New Roman" w:hAnsi="Times New Roman"/>
          <w:color w:val="000000" w:themeColor="text1"/>
          <w:sz w:val="24"/>
          <w:szCs w:val="24"/>
        </w:rPr>
        <w:t xml:space="preserve">. Outros estudos </w:t>
      </w:r>
      <w:r w:rsidR="00E37AD7">
        <w:rPr>
          <w:rFonts w:ascii="Times New Roman" w:hAnsi="Times New Roman"/>
          <w:color w:val="000000" w:themeColor="text1"/>
          <w:sz w:val="24"/>
          <w:szCs w:val="24"/>
        </w:rPr>
        <w:t>que consideram</w:t>
      </w:r>
      <w:r w:rsidR="00451088" w:rsidRPr="00596D1F">
        <w:rPr>
          <w:rFonts w:ascii="Times New Roman" w:hAnsi="Times New Roman"/>
          <w:color w:val="000000" w:themeColor="text1"/>
          <w:sz w:val="24"/>
          <w:szCs w:val="24"/>
        </w:rPr>
        <w:t xml:space="preserve"> outros </w:t>
      </w:r>
      <w:r w:rsidR="006F1515">
        <w:rPr>
          <w:rFonts w:ascii="Times New Roman" w:hAnsi="Times New Roman"/>
          <w:color w:val="000000" w:themeColor="text1"/>
          <w:sz w:val="24"/>
          <w:szCs w:val="24"/>
        </w:rPr>
        <w:t>t</w:t>
      </w:r>
      <w:r w:rsidR="00451088" w:rsidRPr="00596D1F">
        <w:rPr>
          <w:rFonts w:ascii="Times New Roman" w:hAnsi="Times New Roman"/>
          <w:color w:val="000000" w:themeColor="text1"/>
          <w:sz w:val="24"/>
          <w:szCs w:val="24"/>
        </w:rPr>
        <w:t xml:space="preserve">ribunais e variáveis são necessários, especialmente para ampliar a investigação de que </w:t>
      </w:r>
      <w:r w:rsidR="007B56D1" w:rsidRPr="00596D1F">
        <w:rPr>
          <w:rFonts w:ascii="Times New Roman" w:hAnsi="Times New Roman"/>
          <w:color w:val="000000" w:themeColor="text1"/>
          <w:sz w:val="24"/>
          <w:szCs w:val="24"/>
        </w:rPr>
        <w:t>as regras são de fato observadas segundo seu objetivo maior</w:t>
      </w:r>
      <w:r w:rsidR="00451088" w:rsidRPr="00596D1F">
        <w:rPr>
          <w:rFonts w:ascii="Times New Roman" w:hAnsi="Times New Roman"/>
          <w:color w:val="000000" w:themeColor="text1"/>
          <w:sz w:val="24"/>
          <w:szCs w:val="24"/>
        </w:rPr>
        <w:t xml:space="preserve">. </w:t>
      </w:r>
      <w:r w:rsidR="003C6C8E" w:rsidRPr="00596D1F">
        <w:rPr>
          <w:rFonts w:ascii="Times New Roman" w:hAnsi="Times New Roman"/>
          <w:color w:val="000000" w:themeColor="text1"/>
          <w:sz w:val="24"/>
          <w:szCs w:val="24"/>
        </w:rPr>
        <w:t xml:space="preserve"> </w:t>
      </w:r>
    </w:p>
    <w:p w14:paraId="218FD1D0" w14:textId="77777777" w:rsidR="006337E6" w:rsidRPr="00596D1F" w:rsidRDefault="006337E6" w:rsidP="007B56D1">
      <w:pPr>
        <w:spacing w:after="0" w:line="240" w:lineRule="auto"/>
        <w:ind w:firstLine="708"/>
        <w:jc w:val="both"/>
        <w:rPr>
          <w:rFonts w:ascii="Times New Roman" w:hAnsi="Times New Roman"/>
          <w:b/>
          <w:color w:val="000000" w:themeColor="text1"/>
          <w:sz w:val="24"/>
          <w:szCs w:val="24"/>
        </w:rPr>
      </w:pPr>
    </w:p>
    <w:p w14:paraId="11CCACB4" w14:textId="77777777" w:rsidR="004F1744" w:rsidRPr="00596D1F" w:rsidRDefault="004F1744" w:rsidP="00A94D74">
      <w:pPr>
        <w:pStyle w:val="Ttulo1"/>
        <w:numPr>
          <w:ilvl w:val="0"/>
          <w:numId w:val="0"/>
        </w:numPr>
        <w:spacing w:after="120"/>
        <w:ind w:left="431" w:hanging="431"/>
        <w:rPr>
          <w:color w:val="000000" w:themeColor="text1"/>
        </w:rPr>
      </w:pPr>
      <w:r w:rsidRPr="00596D1F">
        <w:rPr>
          <w:color w:val="000000" w:themeColor="text1"/>
        </w:rPr>
        <w:t>Referências</w:t>
      </w:r>
    </w:p>
    <w:p w14:paraId="319EB7D6" w14:textId="76CD7274" w:rsidR="003B0F82" w:rsidRDefault="000A4679" w:rsidP="00D15A99">
      <w:pPr>
        <w:pStyle w:val="Default"/>
        <w:jc w:val="both"/>
        <w:rPr>
          <w:color w:val="000000" w:themeColor="text1"/>
        </w:rPr>
      </w:pPr>
      <w:r w:rsidRPr="00596D1F">
        <w:rPr>
          <w:color w:val="000000" w:themeColor="text1"/>
        </w:rPr>
        <w:t>AGUIAR</w:t>
      </w:r>
      <w:r w:rsidR="003B0F82" w:rsidRPr="00596D1F">
        <w:rPr>
          <w:color w:val="000000" w:themeColor="text1"/>
        </w:rPr>
        <w:t xml:space="preserve">, J. C. </w:t>
      </w:r>
      <w:r w:rsidR="00680DEF">
        <w:rPr>
          <w:color w:val="000000" w:themeColor="text1"/>
        </w:rPr>
        <w:t>d</w:t>
      </w:r>
      <w:r w:rsidR="00003FD0" w:rsidRPr="00596D1F">
        <w:rPr>
          <w:color w:val="000000" w:themeColor="text1"/>
        </w:rPr>
        <w:t>e</w:t>
      </w:r>
      <w:r w:rsidR="003B0F82" w:rsidRPr="00596D1F">
        <w:rPr>
          <w:color w:val="000000" w:themeColor="text1"/>
        </w:rPr>
        <w:t xml:space="preserve">. O direito como sistema de contingências sociais. </w:t>
      </w:r>
      <w:r w:rsidR="003B0F82" w:rsidRPr="00D15A99">
        <w:rPr>
          <w:b/>
          <w:bCs/>
          <w:color w:val="000000" w:themeColor="text1"/>
        </w:rPr>
        <w:t>R</w:t>
      </w:r>
      <w:r w:rsidR="00EB2F1E" w:rsidRPr="00D15A99">
        <w:rPr>
          <w:b/>
          <w:bCs/>
          <w:color w:val="000000" w:themeColor="text1"/>
        </w:rPr>
        <w:t>evista da</w:t>
      </w:r>
      <w:r w:rsidR="003B0F82" w:rsidRPr="00D15A99">
        <w:rPr>
          <w:b/>
          <w:bCs/>
          <w:color w:val="000000" w:themeColor="text1"/>
        </w:rPr>
        <w:t xml:space="preserve"> Fa</w:t>
      </w:r>
      <w:r w:rsidR="00EB2F1E" w:rsidRPr="00D15A99">
        <w:rPr>
          <w:b/>
          <w:bCs/>
          <w:color w:val="000000" w:themeColor="text1"/>
        </w:rPr>
        <w:t>culdade de</w:t>
      </w:r>
      <w:r w:rsidR="003B0F82" w:rsidRPr="00D15A99">
        <w:rPr>
          <w:b/>
          <w:bCs/>
          <w:color w:val="000000" w:themeColor="text1"/>
        </w:rPr>
        <w:t xml:space="preserve"> Dir</w:t>
      </w:r>
      <w:r w:rsidR="00EB2F1E" w:rsidRPr="00D15A99">
        <w:rPr>
          <w:b/>
          <w:bCs/>
          <w:color w:val="000000" w:themeColor="text1"/>
        </w:rPr>
        <w:t>eito da</w:t>
      </w:r>
      <w:r w:rsidR="003B0F82" w:rsidRPr="00D15A99">
        <w:rPr>
          <w:b/>
          <w:bCs/>
          <w:color w:val="000000" w:themeColor="text1"/>
        </w:rPr>
        <w:t xml:space="preserve"> UFG</w:t>
      </w:r>
      <w:r w:rsidR="003B0F82" w:rsidRPr="00596D1F">
        <w:rPr>
          <w:i/>
          <w:iCs/>
          <w:color w:val="000000" w:themeColor="text1"/>
        </w:rPr>
        <w:t>,</w:t>
      </w:r>
      <w:r w:rsidR="003B0F82" w:rsidRPr="00596D1F">
        <w:rPr>
          <w:color w:val="000000" w:themeColor="text1"/>
        </w:rPr>
        <w:t xml:space="preserve"> </w:t>
      </w:r>
      <w:r>
        <w:rPr>
          <w:color w:val="000000" w:themeColor="text1"/>
        </w:rPr>
        <w:t>v</w:t>
      </w:r>
      <w:r w:rsidRPr="00D15A99">
        <w:rPr>
          <w:color w:val="000000" w:themeColor="text1"/>
        </w:rPr>
        <w:t xml:space="preserve">, </w:t>
      </w:r>
      <w:r w:rsidR="003B0F82" w:rsidRPr="00D15A99">
        <w:rPr>
          <w:color w:val="000000" w:themeColor="text1"/>
        </w:rPr>
        <w:t>37</w:t>
      </w:r>
      <w:r>
        <w:rPr>
          <w:i/>
          <w:iCs/>
          <w:color w:val="000000" w:themeColor="text1"/>
        </w:rPr>
        <w:t xml:space="preserve">, </w:t>
      </w:r>
      <w:r w:rsidRPr="00D15A99">
        <w:rPr>
          <w:color w:val="000000" w:themeColor="text1"/>
        </w:rPr>
        <w:t>n</w:t>
      </w:r>
      <w:r>
        <w:rPr>
          <w:i/>
          <w:iCs/>
          <w:color w:val="000000" w:themeColor="text1"/>
        </w:rPr>
        <w:t>.</w:t>
      </w:r>
      <w:r w:rsidR="003B0F82" w:rsidRPr="00596D1F">
        <w:rPr>
          <w:color w:val="000000" w:themeColor="text1"/>
        </w:rPr>
        <w:t>2</w:t>
      </w:r>
      <w:r w:rsidR="00DC26CF">
        <w:rPr>
          <w:color w:val="000000" w:themeColor="text1"/>
        </w:rPr>
        <w:t>,</w:t>
      </w:r>
      <w:r>
        <w:rPr>
          <w:color w:val="000000" w:themeColor="text1"/>
        </w:rPr>
        <w:t xml:space="preserve"> p.</w:t>
      </w:r>
      <w:r w:rsidR="003B0F82" w:rsidRPr="00596D1F">
        <w:rPr>
          <w:color w:val="000000" w:themeColor="text1"/>
        </w:rPr>
        <w:t xml:space="preserve"> 164-196</w:t>
      </w:r>
      <w:r>
        <w:rPr>
          <w:color w:val="000000" w:themeColor="text1"/>
        </w:rPr>
        <w:t>, 2013.</w:t>
      </w:r>
    </w:p>
    <w:p w14:paraId="78BC8009" w14:textId="77777777" w:rsidR="00573348" w:rsidRPr="00596D1F" w:rsidRDefault="00573348" w:rsidP="00D15A99">
      <w:pPr>
        <w:pStyle w:val="Default"/>
        <w:jc w:val="both"/>
        <w:rPr>
          <w:color w:val="000000" w:themeColor="text1"/>
        </w:rPr>
      </w:pPr>
    </w:p>
    <w:p w14:paraId="30FF581F" w14:textId="42ACBEC8" w:rsidR="003B0F82" w:rsidRDefault="000A4679"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AGUIAR</w:t>
      </w:r>
      <w:r w:rsidR="003B0F82" w:rsidRPr="00D15A99">
        <w:rPr>
          <w:rFonts w:ascii="Times New Roman" w:hAnsi="Times New Roman"/>
          <w:color w:val="000000" w:themeColor="text1"/>
          <w:sz w:val="24"/>
          <w:szCs w:val="24"/>
        </w:rPr>
        <w:t xml:space="preserve">, J. C. </w:t>
      </w:r>
      <w:r>
        <w:rPr>
          <w:rFonts w:ascii="Times New Roman" w:hAnsi="Times New Roman"/>
          <w:color w:val="000000" w:themeColor="text1"/>
          <w:sz w:val="24"/>
          <w:szCs w:val="24"/>
        </w:rPr>
        <w:t>d</w:t>
      </w:r>
      <w:r w:rsidR="00003FD0" w:rsidRPr="00D15A99">
        <w:rPr>
          <w:rFonts w:ascii="Times New Roman" w:hAnsi="Times New Roman"/>
          <w:color w:val="000000" w:themeColor="text1"/>
          <w:sz w:val="24"/>
          <w:szCs w:val="24"/>
        </w:rPr>
        <w:t>e</w:t>
      </w:r>
      <w:r w:rsidR="003B0F82" w:rsidRPr="00D15A99">
        <w:rPr>
          <w:rFonts w:ascii="Times New Roman" w:hAnsi="Times New Roman"/>
          <w:color w:val="000000" w:themeColor="text1"/>
          <w:sz w:val="24"/>
          <w:szCs w:val="24"/>
        </w:rPr>
        <w:t>. Análise Comportamental do Direito:</w:t>
      </w:r>
      <w:r w:rsidR="005D23F6" w:rsidRPr="00D15A99">
        <w:rPr>
          <w:rFonts w:ascii="Times New Roman" w:hAnsi="Times New Roman"/>
          <w:color w:val="000000" w:themeColor="text1"/>
          <w:sz w:val="24"/>
          <w:szCs w:val="24"/>
        </w:rPr>
        <w:t xml:space="preserve"> </w:t>
      </w:r>
      <w:r w:rsidR="003B0F82" w:rsidRPr="00D15A99">
        <w:rPr>
          <w:rFonts w:ascii="Times New Roman" w:hAnsi="Times New Roman"/>
          <w:color w:val="000000" w:themeColor="text1"/>
          <w:sz w:val="24"/>
          <w:szCs w:val="24"/>
        </w:rPr>
        <w:t xml:space="preserve">uma abordagem do direito como ciência do comportamento humano aplicada. </w:t>
      </w:r>
      <w:r w:rsidR="003B0F82" w:rsidRPr="00D15A99">
        <w:rPr>
          <w:rFonts w:ascii="Times New Roman" w:hAnsi="Times New Roman"/>
          <w:b/>
          <w:bCs/>
          <w:color w:val="000000" w:themeColor="text1"/>
          <w:sz w:val="24"/>
          <w:szCs w:val="24"/>
        </w:rPr>
        <w:t>Nomos</w:t>
      </w:r>
      <w:r w:rsidR="003B0F82"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v. </w:t>
      </w:r>
      <w:r w:rsidR="003B0F82" w:rsidRPr="00D15A99">
        <w:rPr>
          <w:rFonts w:ascii="Times New Roman" w:hAnsi="Times New Roman"/>
          <w:color w:val="000000" w:themeColor="text1"/>
          <w:sz w:val="24"/>
          <w:szCs w:val="24"/>
        </w:rPr>
        <w:t>34</w:t>
      </w:r>
      <w:r>
        <w:rPr>
          <w:rFonts w:ascii="Times New Roman" w:hAnsi="Times New Roman"/>
          <w:color w:val="000000" w:themeColor="text1"/>
          <w:sz w:val="24"/>
          <w:szCs w:val="24"/>
        </w:rPr>
        <w:t>, n.</w:t>
      </w:r>
      <w:r w:rsidR="007B44E3">
        <w:rPr>
          <w:rFonts w:ascii="Times New Roman" w:hAnsi="Times New Roman"/>
          <w:color w:val="000000" w:themeColor="text1"/>
          <w:sz w:val="24"/>
          <w:szCs w:val="24"/>
        </w:rPr>
        <w:t xml:space="preserve"> </w:t>
      </w:r>
      <w:r w:rsidR="003B0F82" w:rsidRPr="00D15A99">
        <w:rPr>
          <w:rFonts w:ascii="Times New Roman" w:hAnsi="Times New Roman"/>
          <w:color w:val="000000" w:themeColor="text1"/>
          <w:sz w:val="24"/>
          <w:szCs w:val="24"/>
        </w:rPr>
        <w:t xml:space="preserve">2, </w:t>
      </w:r>
      <w:r>
        <w:rPr>
          <w:rFonts w:ascii="Times New Roman" w:hAnsi="Times New Roman"/>
          <w:color w:val="000000" w:themeColor="text1"/>
          <w:sz w:val="24"/>
          <w:szCs w:val="24"/>
        </w:rPr>
        <w:t xml:space="preserve">p. </w:t>
      </w:r>
      <w:r w:rsidR="003B0F82" w:rsidRPr="00D15A99">
        <w:rPr>
          <w:rFonts w:ascii="Times New Roman" w:hAnsi="Times New Roman"/>
          <w:color w:val="000000" w:themeColor="text1"/>
          <w:sz w:val="24"/>
          <w:szCs w:val="24"/>
        </w:rPr>
        <w:t>245-273</w:t>
      </w:r>
      <w:r>
        <w:rPr>
          <w:rFonts w:ascii="Times New Roman" w:hAnsi="Times New Roman"/>
          <w:color w:val="000000" w:themeColor="text1"/>
          <w:sz w:val="24"/>
          <w:szCs w:val="24"/>
        </w:rPr>
        <w:t>, 2014.</w:t>
      </w:r>
    </w:p>
    <w:p w14:paraId="06E66A77"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4EE46CC3" w14:textId="508F011D" w:rsidR="00224121" w:rsidRDefault="000A4679"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AGUIAR</w:t>
      </w:r>
      <w:r w:rsidR="00224121" w:rsidRPr="00D15A99">
        <w:rPr>
          <w:rFonts w:ascii="Times New Roman" w:hAnsi="Times New Roman"/>
          <w:color w:val="000000" w:themeColor="text1"/>
          <w:sz w:val="24"/>
          <w:szCs w:val="24"/>
        </w:rPr>
        <w:t xml:space="preserve">, J. C. </w:t>
      </w:r>
      <w:r>
        <w:rPr>
          <w:rFonts w:ascii="Times New Roman" w:hAnsi="Times New Roman"/>
          <w:color w:val="000000" w:themeColor="text1"/>
          <w:sz w:val="24"/>
          <w:szCs w:val="24"/>
        </w:rPr>
        <w:t>d</w:t>
      </w:r>
      <w:r w:rsidR="00003FD0" w:rsidRPr="00D15A99">
        <w:rPr>
          <w:rFonts w:ascii="Times New Roman" w:hAnsi="Times New Roman"/>
          <w:color w:val="000000" w:themeColor="text1"/>
          <w:sz w:val="24"/>
          <w:szCs w:val="24"/>
        </w:rPr>
        <w:t>e</w:t>
      </w:r>
      <w:r w:rsidR="00224121" w:rsidRPr="00D15A99">
        <w:rPr>
          <w:rFonts w:ascii="Times New Roman" w:hAnsi="Times New Roman"/>
          <w:color w:val="000000" w:themeColor="text1"/>
          <w:sz w:val="24"/>
          <w:szCs w:val="24"/>
        </w:rPr>
        <w:t xml:space="preserve">. </w:t>
      </w:r>
      <w:r w:rsidR="00224121" w:rsidRPr="00D15A99">
        <w:rPr>
          <w:rFonts w:ascii="Times New Roman" w:hAnsi="Times New Roman"/>
          <w:b/>
          <w:bCs/>
          <w:color w:val="000000" w:themeColor="text1"/>
          <w:sz w:val="24"/>
          <w:szCs w:val="24"/>
        </w:rPr>
        <w:t>Teoria analítico-comportamental do direito</w:t>
      </w:r>
      <w:r w:rsidR="00224121" w:rsidRPr="00D15A99">
        <w:rPr>
          <w:rFonts w:ascii="Times New Roman" w:hAnsi="Times New Roman"/>
          <w:color w:val="000000" w:themeColor="text1"/>
          <w:sz w:val="24"/>
          <w:szCs w:val="24"/>
        </w:rPr>
        <w:t xml:space="preserve">. Porto Alegre: </w:t>
      </w:r>
      <w:proofErr w:type="spellStart"/>
      <w:r w:rsidR="00224121" w:rsidRPr="00D15A99">
        <w:rPr>
          <w:rFonts w:ascii="Times New Roman" w:hAnsi="Times New Roman"/>
          <w:color w:val="000000" w:themeColor="text1"/>
          <w:sz w:val="24"/>
          <w:szCs w:val="24"/>
        </w:rPr>
        <w:t>Núria</w:t>
      </w:r>
      <w:proofErr w:type="spellEnd"/>
      <w:r w:rsidR="00224121" w:rsidRPr="00D15A99">
        <w:rPr>
          <w:rFonts w:ascii="Times New Roman" w:hAnsi="Times New Roman"/>
          <w:color w:val="000000" w:themeColor="text1"/>
          <w:sz w:val="24"/>
          <w:szCs w:val="24"/>
        </w:rPr>
        <w:t xml:space="preserve"> Fabris Editora</w:t>
      </w:r>
      <w:r>
        <w:rPr>
          <w:rFonts w:ascii="Times New Roman" w:hAnsi="Times New Roman"/>
          <w:color w:val="000000" w:themeColor="text1"/>
          <w:sz w:val="24"/>
          <w:szCs w:val="24"/>
        </w:rPr>
        <w:t>, 2017.</w:t>
      </w:r>
      <w:r w:rsidR="00224121" w:rsidRPr="00D15A99">
        <w:rPr>
          <w:rFonts w:ascii="Times New Roman" w:hAnsi="Times New Roman"/>
          <w:color w:val="000000" w:themeColor="text1"/>
          <w:sz w:val="24"/>
          <w:szCs w:val="24"/>
        </w:rPr>
        <w:t xml:space="preserve"> </w:t>
      </w:r>
    </w:p>
    <w:p w14:paraId="192AA3FB"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34ED99F9" w14:textId="12050AAD" w:rsidR="00251448" w:rsidRDefault="000A4679" w:rsidP="00D15A99">
      <w:pPr>
        <w:pStyle w:val="NormalWeb"/>
        <w:spacing w:before="0" w:beforeAutospacing="0" w:after="0" w:afterAutospacing="0"/>
        <w:jc w:val="both"/>
      </w:pPr>
      <w:r w:rsidRPr="00D15A99">
        <w:t>AZAMBUJA</w:t>
      </w:r>
      <w:r w:rsidR="00251448" w:rsidRPr="00D15A99">
        <w:t>, P. A.</w:t>
      </w:r>
      <w:r>
        <w:t>;</w:t>
      </w:r>
      <w:r w:rsidR="00251448" w:rsidRPr="00D15A99">
        <w:t xml:space="preserve"> </w:t>
      </w:r>
      <w:r w:rsidRPr="00D15A99">
        <w:t>TEIXEIRA</w:t>
      </w:r>
      <w:r w:rsidR="00251448" w:rsidRPr="00D15A99">
        <w:t>, A.</w:t>
      </w:r>
      <w:r>
        <w:t>;</w:t>
      </w:r>
      <w:r w:rsidR="00251448" w:rsidRPr="00D15A99">
        <w:t xml:space="preserve"> </w:t>
      </w:r>
      <w:r w:rsidRPr="00D15A99">
        <w:t>NOSSA</w:t>
      </w:r>
      <w:r w:rsidR="00251448" w:rsidRPr="00D15A99">
        <w:t xml:space="preserve">, S. N. Aprovação de contas municipais com irregularidades gravíssimas: quando a auditoria técnica não é suficiente. </w:t>
      </w:r>
      <w:r w:rsidR="00251448" w:rsidRPr="00D15A99">
        <w:rPr>
          <w:b/>
          <w:bCs/>
        </w:rPr>
        <w:t>Revista de Contabilidade e Organizações</w:t>
      </w:r>
      <w:r w:rsidR="00251448" w:rsidRPr="00D15A99">
        <w:t>,</w:t>
      </w:r>
      <w:r>
        <w:t xml:space="preserve"> v.</w:t>
      </w:r>
      <w:r w:rsidR="007B44E3">
        <w:t xml:space="preserve"> </w:t>
      </w:r>
      <w:r w:rsidR="00251448" w:rsidRPr="00D15A99">
        <w:t>12(e149212)</w:t>
      </w:r>
      <w:r>
        <w:t>, 2018.</w:t>
      </w:r>
      <w:r w:rsidR="00251448" w:rsidRPr="00D15A99">
        <w:t xml:space="preserve"> </w:t>
      </w:r>
      <w:hyperlink r:id="rId14" w:history="1">
        <w:r w:rsidR="00573348" w:rsidRPr="001E068A">
          <w:rPr>
            <w:rStyle w:val="Hyperlink"/>
          </w:rPr>
          <w:t>http://doi.org/http://dx.doi.org/10.11606/issn.1982-6486.rco.2018.149212</w:t>
        </w:r>
      </w:hyperlink>
      <w:r w:rsidR="00251448" w:rsidRPr="00D15A99">
        <w:t xml:space="preserve"> </w:t>
      </w:r>
    </w:p>
    <w:p w14:paraId="525CBF2E" w14:textId="77777777" w:rsidR="00573348" w:rsidRPr="00D15A99" w:rsidRDefault="00573348" w:rsidP="00D15A99">
      <w:pPr>
        <w:pStyle w:val="NormalWeb"/>
        <w:spacing w:before="0" w:beforeAutospacing="0" w:after="0" w:afterAutospacing="0"/>
        <w:jc w:val="both"/>
      </w:pPr>
    </w:p>
    <w:p w14:paraId="2C2D43F7" w14:textId="1E6923BF" w:rsidR="00224121" w:rsidRDefault="000A4679"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BAUM</w:t>
      </w:r>
      <w:r w:rsidR="00224121" w:rsidRPr="00D15A99">
        <w:rPr>
          <w:rFonts w:ascii="Times New Roman" w:hAnsi="Times New Roman"/>
          <w:color w:val="000000" w:themeColor="text1"/>
          <w:sz w:val="24"/>
          <w:szCs w:val="24"/>
        </w:rPr>
        <w:t>, W</w:t>
      </w:r>
      <w:r w:rsidR="00680DEF" w:rsidRPr="00D15A99">
        <w:rPr>
          <w:rFonts w:ascii="Times New Roman" w:hAnsi="Times New Roman"/>
          <w:color w:val="000000" w:themeColor="text1"/>
          <w:sz w:val="24"/>
          <w:szCs w:val="24"/>
        </w:rPr>
        <w:t>.</w:t>
      </w:r>
      <w:r w:rsidR="00224121" w:rsidRPr="00D15A99">
        <w:rPr>
          <w:rFonts w:ascii="Times New Roman" w:hAnsi="Times New Roman"/>
          <w:color w:val="000000" w:themeColor="text1"/>
          <w:sz w:val="24"/>
          <w:szCs w:val="24"/>
        </w:rPr>
        <w:t xml:space="preserve"> M. (2006). </w:t>
      </w:r>
      <w:r w:rsidR="00224121" w:rsidRPr="00D15A99">
        <w:rPr>
          <w:rFonts w:ascii="Times New Roman" w:hAnsi="Times New Roman"/>
          <w:b/>
          <w:bCs/>
          <w:color w:val="000000" w:themeColor="text1"/>
          <w:sz w:val="24"/>
          <w:szCs w:val="24"/>
        </w:rPr>
        <w:t>Compreender o behaviorismo</w:t>
      </w:r>
      <w:r w:rsidR="00224121" w:rsidRPr="00962747">
        <w:rPr>
          <w:rFonts w:ascii="Times New Roman" w:hAnsi="Times New Roman"/>
          <w:color w:val="000000" w:themeColor="text1"/>
          <w:sz w:val="24"/>
          <w:szCs w:val="24"/>
        </w:rPr>
        <w:t>: comportamento, cultura e evolução.</w:t>
      </w:r>
      <w:r w:rsidR="00224121" w:rsidRPr="00D15A99">
        <w:rPr>
          <w:rFonts w:ascii="Times New Roman" w:hAnsi="Times New Roman"/>
          <w:color w:val="000000" w:themeColor="text1"/>
          <w:sz w:val="24"/>
          <w:szCs w:val="24"/>
        </w:rPr>
        <w:t xml:space="preserve"> 2</w:t>
      </w:r>
      <w:r>
        <w:rPr>
          <w:rFonts w:ascii="Times New Roman" w:hAnsi="Times New Roman"/>
          <w:color w:val="000000" w:themeColor="text1"/>
          <w:sz w:val="24"/>
          <w:szCs w:val="24"/>
        </w:rPr>
        <w:t>.</w:t>
      </w:r>
      <w:r w:rsidR="00224121"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e</w:t>
      </w:r>
      <w:r w:rsidR="00003FD0" w:rsidRPr="00D15A99">
        <w:rPr>
          <w:rFonts w:ascii="Times New Roman" w:hAnsi="Times New Roman"/>
          <w:color w:val="000000" w:themeColor="text1"/>
          <w:sz w:val="24"/>
          <w:szCs w:val="24"/>
        </w:rPr>
        <w:t>d</w:t>
      </w:r>
      <w:r w:rsidR="00224121" w:rsidRPr="00D15A99">
        <w:rPr>
          <w:rFonts w:ascii="Times New Roman" w:hAnsi="Times New Roman"/>
          <w:color w:val="000000" w:themeColor="text1"/>
          <w:sz w:val="24"/>
          <w:szCs w:val="24"/>
        </w:rPr>
        <w:t>.</w:t>
      </w:r>
      <w:r>
        <w:rPr>
          <w:rFonts w:ascii="Times New Roman" w:hAnsi="Times New Roman"/>
          <w:color w:val="000000" w:themeColor="text1"/>
          <w:sz w:val="24"/>
          <w:szCs w:val="24"/>
        </w:rPr>
        <w:t>, r</w:t>
      </w:r>
      <w:r w:rsidR="00003FD0" w:rsidRPr="00D15A99">
        <w:rPr>
          <w:rFonts w:ascii="Times New Roman" w:hAnsi="Times New Roman"/>
          <w:color w:val="000000" w:themeColor="text1"/>
          <w:sz w:val="24"/>
          <w:szCs w:val="24"/>
        </w:rPr>
        <w:t>ev</w:t>
      </w:r>
      <w:r w:rsidR="00224121"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e</w:t>
      </w:r>
      <w:r w:rsidR="00003FD0" w:rsidRPr="00D15A99">
        <w:rPr>
          <w:rFonts w:ascii="Times New Roman" w:hAnsi="Times New Roman"/>
          <w:color w:val="000000" w:themeColor="text1"/>
          <w:sz w:val="24"/>
          <w:szCs w:val="24"/>
        </w:rPr>
        <w:t xml:space="preserve"> </w:t>
      </w:r>
      <w:proofErr w:type="spellStart"/>
      <w:r w:rsidR="00224121" w:rsidRPr="00D15A99">
        <w:rPr>
          <w:rFonts w:ascii="Times New Roman" w:hAnsi="Times New Roman"/>
          <w:color w:val="000000" w:themeColor="text1"/>
          <w:sz w:val="24"/>
          <w:szCs w:val="24"/>
        </w:rPr>
        <w:t>ampl</w:t>
      </w:r>
      <w:proofErr w:type="spellEnd"/>
      <w:r w:rsidR="00224121" w:rsidRPr="00D15A99">
        <w:rPr>
          <w:rFonts w:ascii="Times New Roman" w:hAnsi="Times New Roman"/>
          <w:color w:val="000000" w:themeColor="text1"/>
          <w:sz w:val="24"/>
          <w:szCs w:val="24"/>
        </w:rPr>
        <w:t>. Porto Alegre: Artmed.</w:t>
      </w:r>
    </w:p>
    <w:p w14:paraId="428D255C"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44632E7A" w14:textId="781FD532" w:rsidR="00542EA5" w:rsidRDefault="000A4679" w:rsidP="00D15A99">
      <w:pPr>
        <w:spacing w:after="0" w:line="240" w:lineRule="auto"/>
        <w:jc w:val="both"/>
        <w:rPr>
          <w:rFonts w:ascii="Times New Roman" w:eastAsia="Times New Roman" w:hAnsi="Times New Roman"/>
          <w:sz w:val="24"/>
          <w:szCs w:val="24"/>
          <w:lang w:eastAsia="pt-BR"/>
        </w:rPr>
      </w:pPr>
      <w:r w:rsidRPr="00D15A99">
        <w:rPr>
          <w:rFonts w:ascii="Times New Roman" w:eastAsia="Times New Roman" w:hAnsi="Times New Roman"/>
          <w:sz w:val="24"/>
          <w:szCs w:val="24"/>
          <w:lang w:eastAsia="pt-BR"/>
        </w:rPr>
        <w:t>BERNARDES,</w:t>
      </w:r>
      <w:r w:rsidR="00542EA5" w:rsidRPr="00D15A99">
        <w:rPr>
          <w:rFonts w:ascii="Times New Roman" w:eastAsia="Times New Roman" w:hAnsi="Times New Roman"/>
          <w:sz w:val="24"/>
          <w:szCs w:val="24"/>
          <w:lang w:eastAsia="pt-BR"/>
        </w:rPr>
        <w:t xml:space="preserve"> M. B.</w:t>
      </w:r>
      <w:r>
        <w:rPr>
          <w:rFonts w:ascii="Times New Roman" w:eastAsia="Times New Roman" w:hAnsi="Times New Roman"/>
          <w:sz w:val="24"/>
          <w:szCs w:val="24"/>
          <w:lang w:eastAsia="pt-BR"/>
        </w:rPr>
        <w:t>;</w:t>
      </w:r>
      <w:r w:rsidR="00542EA5"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SANTOS,</w:t>
      </w:r>
      <w:r w:rsidR="00542EA5" w:rsidRPr="00D15A99">
        <w:rPr>
          <w:rFonts w:ascii="Times New Roman" w:eastAsia="Times New Roman" w:hAnsi="Times New Roman"/>
          <w:sz w:val="24"/>
          <w:szCs w:val="24"/>
          <w:lang w:eastAsia="pt-BR"/>
        </w:rPr>
        <w:t xml:space="preserve"> P. M.</w:t>
      </w:r>
      <w:r>
        <w:rPr>
          <w:rFonts w:ascii="Times New Roman" w:eastAsia="Times New Roman" w:hAnsi="Times New Roman"/>
          <w:sz w:val="24"/>
          <w:szCs w:val="24"/>
          <w:lang w:eastAsia="pt-BR"/>
        </w:rPr>
        <w:t>;</w:t>
      </w:r>
      <w:r w:rsidR="00542EA5"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ROVER</w:t>
      </w:r>
      <w:r w:rsidR="00542EA5" w:rsidRPr="00D15A99">
        <w:rPr>
          <w:rFonts w:ascii="Times New Roman" w:eastAsia="Times New Roman" w:hAnsi="Times New Roman"/>
          <w:sz w:val="24"/>
          <w:szCs w:val="24"/>
          <w:lang w:eastAsia="pt-BR"/>
        </w:rPr>
        <w:t xml:space="preserve">, A. J. Ranking das prefeituras da região Sul do Brasil: uma avaliação a partir de critérios estabelecidos na Lei de Acesso à Informação. </w:t>
      </w:r>
      <w:r w:rsidR="00542EA5" w:rsidRPr="00D15A99">
        <w:rPr>
          <w:rFonts w:ascii="Times New Roman" w:eastAsia="Times New Roman" w:hAnsi="Times New Roman"/>
          <w:b/>
          <w:bCs/>
          <w:sz w:val="24"/>
          <w:szCs w:val="24"/>
          <w:lang w:eastAsia="pt-BR"/>
        </w:rPr>
        <w:t>Revista de Administração Pública</w:t>
      </w:r>
      <w:r w:rsidR="00542EA5"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 xml:space="preserve">v. </w:t>
      </w:r>
      <w:r w:rsidR="00542EA5" w:rsidRPr="00D15A99">
        <w:rPr>
          <w:rFonts w:ascii="Times New Roman" w:eastAsia="Times New Roman" w:hAnsi="Times New Roman"/>
          <w:sz w:val="24"/>
          <w:szCs w:val="24"/>
          <w:lang w:eastAsia="pt-BR"/>
        </w:rPr>
        <w:t>49</w:t>
      </w:r>
      <w:r w:rsidRPr="00D15A99">
        <w:rPr>
          <w:rFonts w:ascii="Times New Roman" w:eastAsia="Times New Roman" w:hAnsi="Times New Roman"/>
          <w:sz w:val="24"/>
          <w:szCs w:val="24"/>
          <w:lang w:eastAsia="pt-BR"/>
        </w:rPr>
        <w:t xml:space="preserve">, n. </w:t>
      </w:r>
      <w:r w:rsidR="00542EA5" w:rsidRPr="00D15A99">
        <w:rPr>
          <w:rFonts w:ascii="Times New Roman" w:eastAsia="Times New Roman" w:hAnsi="Times New Roman"/>
          <w:sz w:val="24"/>
          <w:szCs w:val="24"/>
          <w:lang w:eastAsia="pt-BR"/>
        </w:rPr>
        <w:t xml:space="preserve">3, </w:t>
      </w:r>
      <w:r w:rsidRPr="00D15A99">
        <w:rPr>
          <w:rFonts w:ascii="Times New Roman" w:eastAsia="Times New Roman" w:hAnsi="Times New Roman"/>
          <w:sz w:val="24"/>
          <w:szCs w:val="24"/>
          <w:lang w:eastAsia="pt-BR"/>
        </w:rPr>
        <w:t xml:space="preserve">p. </w:t>
      </w:r>
      <w:r w:rsidR="00542EA5" w:rsidRPr="00D15A99">
        <w:rPr>
          <w:rFonts w:ascii="Times New Roman" w:eastAsia="Times New Roman" w:hAnsi="Times New Roman"/>
          <w:sz w:val="24"/>
          <w:szCs w:val="24"/>
          <w:lang w:eastAsia="pt-BR"/>
        </w:rPr>
        <w:t>761–792.</w:t>
      </w:r>
      <w:r w:rsidRPr="00D15A99">
        <w:rPr>
          <w:rFonts w:ascii="Times New Roman" w:eastAsia="Times New Roman" w:hAnsi="Times New Roman"/>
          <w:sz w:val="24"/>
          <w:szCs w:val="24"/>
          <w:lang w:eastAsia="pt-BR"/>
        </w:rPr>
        <w:t xml:space="preserve"> 2015.</w:t>
      </w:r>
      <w:r w:rsidR="00542EA5" w:rsidRPr="00D15A99">
        <w:rPr>
          <w:rFonts w:ascii="Times New Roman" w:eastAsia="Times New Roman" w:hAnsi="Times New Roman"/>
          <w:sz w:val="24"/>
          <w:szCs w:val="24"/>
          <w:lang w:eastAsia="pt-BR"/>
        </w:rPr>
        <w:t xml:space="preserve"> </w:t>
      </w:r>
      <w:hyperlink r:id="rId15" w:history="1">
        <w:r w:rsidR="00573348" w:rsidRPr="001E068A">
          <w:rPr>
            <w:rStyle w:val="Hyperlink"/>
            <w:rFonts w:ascii="Times New Roman" w:hAnsi="Times New Roman"/>
            <w:sz w:val="24"/>
            <w:szCs w:val="24"/>
          </w:rPr>
          <w:t>http://doi.org/10.1590/0034-7612119279</w:t>
        </w:r>
      </w:hyperlink>
      <w:r w:rsidR="00B1105B" w:rsidRPr="00D15A99">
        <w:rPr>
          <w:rFonts w:ascii="Times New Roman" w:eastAsia="Times New Roman" w:hAnsi="Times New Roman"/>
          <w:sz w:val="24"/>
          <w:szCs w:val="24"/>
          <w:lang w:eastAsia="pt-BR"/>
        </w:rPr>
        <w:t>.</w:t>
      </w:r>
    </w:p>
    <w:p w14:paraId="7AAE4243" w14:textId="12FAB08D" w:rsidR="00573348" w:rsidRDefault="00573348" w:rsidP="00D15A99">
      <w:pPr>
        <w:spacing w:after="0" w:line="240" w:lineRule="auto"/>
        <w:jc w:val="both"/>
        <w:rPr>
          <w:rFonts w:ascii="Times New Roman" w:eastAsia="Times New Roman" w:hAnsi="Times New Roman"/>
          <w:sz w:val="24"/>
          <w:szCs w:val="24"/>
          <w:lang w:eastAsia="pt-BR"/>
        </w:rPr>
      </w:pPr>
    </w:p>
    <w:p w14:paraId="480F68CB" w14:textId="77777777" w:rsidR="009A1ECC" w:rsidRPr="00D15A99" w:rsidRDefault="009A1ECC" w:rsidP="009A1ECC">
      <w:pPr>
        <w:pStyle w:val="NormalWeb"/>
        <w:spacing w:before="0" w:beforeAutospacing="0" w:after="0" w:afterAutospacing="0"/>
        <w:jc w:val="both"/>
      </w:pPr>
      <w:r w:rsidRPr="009A1ECC">
        <w:t>BRASIL.</w:t>
      </w:r>
      <w:r>
        <w:rPr>
          <w:b/>
          <w:bCs/>
        </w:rPr>
        <w:t xml:space="preserve"> </w:t>
      </w:r>
      <w:r w:rsidRPr="00D15A99">
        <w:rPr>
          <w:b/>
          <w:bCs/>
        </w:rPr>
        <w:t>L</w:t>
      </w:r>
      <w:r>
        <w:rPr>
          <w:b/>
          <w:bCs/>
        </w:rPr>
        <w:t xml:space="preserve">ei </w:t>
      </w:r>
      <w:r w:rsidRPr="00D15A99">
        <w:rPr>
          <w:b/>
          <w:bCs/>
        </w:rPr>
        <w:t>n</w:t>
      </w:r>
      <w:r w:rsidRPr="00D15A99">
        <w:rPr>
          <w:b/>
          <w:bCs/>
          <w:vertAlign w:val="superscript"/>
        </w:rPr>
        <w:t>o</w:t>
      </w:r>
      <w:r w:rsidRPr="00D15A99">
        <w:rPr>
          <w:b/>
          <w:bCs/>
        </w:rPr>
        <w:t xml:space="preserve"> 12.5</w:t>
      </w:r>
      <w:r>
        <w:rPr>
          <w:b/>
          <w:bCs/>
        </w:rPr>
        <w:t>72,</w:t>
      </w:r>
      <w:r w:rsidRPr="00D15A99">
        <w:rPr>
          <w:b/>
          <w:bCs/>
        </w:rPr>
        <w:t xml:space="preserve"> de 18 de novembro de 2011</w:t>
      </w:r>
      <w:r w:rsidRPr="00D15A99">
        <w:t>. Regula o acesso a informações previsto no inciso XXXIII do art. 5</w:t>
      </w:r>
      <w:proofErr w:type="gramStart"/>
      <w:r w:rsidRPr="00D15A99">
        <w:t>º ,</w:t>
      </w:r>
      <w:proofErr w:type="gramEnd"/>
      <w:r w:rsidRPr="00D15A99">
        <w:t xml:space="preserve"> no inciso II do § 3º do art. 37 e no § 2º do art. 216 da Constituição Federal; altera a Lei nº 8.112, de 11 de dezembro de 1990; revoga a Lei nº 11.111, de 5 de maio de 2005, e dispositivos da Lei nº 8.159, de 8 de janeiro de 1991; e dá outras providências.</w:t>
      </w:r>
      <w:r>
        <w:t xml:space="preserve"> 2011.</w:t>
      </w:r>
      <w:r w:rsidRPr="00D15A99">
        <w:t xml:space="preserve"> </w:t>
      </w:r>
      <w:r>
        <w:t xml:space="preserve">Disponível em: </w:t>
      </w:r>
      <w:hyperlink r:id="rId16" w:history="1">
        <w:r w:rsidRPr="001E068A">
          <w:rPr>
            <w:rStyle w:val="Hyperlink"/>
          </w:rPr>
          <w:t>http://www.planalto.gov.br/ccivil_03/_ato2011-2014/2011/lei/l12527.htm</w:t>
        </w:r>
      </w:hyperlink>
      <w:r>
        <w:t>. Acesso em: 10 ago. 2020.</w:t>
      </w:r>
    </w:p>
    <w:p w14:paraId="3653CDEA" w14:textId="77777777" w:rsidR="009A1ECC" w:rsidRPr="00D15A99" w:rsidRDefault="009A1ECC" w:rsidP="00D15A99">
      <w:pPr>
        <w:spacing w:after="0" w:line="240" w:lineRule="auto"/>
        <w:jc w:val="both"/>
        <w:rPr>
          <w:rFonts w:ascii="Times New Roman" w:eastAsia="Times New Roman" w:hAnsi="Times New Roman"/>
          <w:sz w:val="24"/>
          <w:szCs w:val="24"/>
          <w:lang w:eastAsia="pt-BR"/>
        </w:rPr>
      </w:pPr>
    </w:p>
    <w:p w14:paraId="3AD5F494" w14:textId="7842D77F" w:rsidR="00B1105B" w:rsidRDefault="000A4679" w:rsidP="00D15A99">
      <w:pPr>
        <w:spacing w:after="0" w:line="240" w:lineRule="auto"/>
        <w:jc w:val="both"/>
        <w:rPr>
          <w:rFonts w:ascii="Times New Roman" w:eastAsia="Times New Roman" w:hAnsi="Times New Roman"/>
          <w:sz w:val="24"/>
          <w:szCs w:val="24"/>
          <w:lang w:eastAsia="pt-BR"/>
        </w:rPr>
      </w:pPr>
      <w:r w:rsidRPr="00D15A99">
        <w:rPr>
          <w:rFonts w:ascii="Times New Roman" w:eastAsia="Times New Roman" w:hAnsi="Times New Roman"/>
          <w:sz w:val="24"/>
          <w:szCs w:val="24"/>
          <w:lang w:eastAsia="pt-BR"/>
        </w:rPr>
        <w:t>CARDOSO</w:t>
      </w:r>
      <w:r w:rsidR="00B1105B" w:rsidRPr="00D15A99">
        <w:rPr>
          <w:rFonts w:ascii="Times New Roman" w:eastAsia="Times New Roman" w:hAnsi="Times New Roman"/>
          <w:sz w:val="24"/>
          <w:szCs w:val="24"/>
          <w:lang w:eastAsia="pt-BR"/>
        </w:rPr>
        <w:t>, L. L.</w:t>
      </w:r>
      <w:r>
        <w:rPr>
          <w:rFonts w:ascii="Times New Roman" w:eastAsia="Times New Roman" w:hAnsi="Times New Roman"/>
          <w:sz w:val="24"/>
          <w:szCs w:val="24"/>
          <w:lang w:eastAsia="pt-BR"/>
        </w:rPr>
        <w:t>;</w:t>
      </w:r>
      <w:r w:rsidR="00B1105B"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PFITSCHER</w:t>
      </w:r>
      <w:r w:rsidR="00B1105B" w:rsidRPr="00D15A99">
        <w:rPr>
          <w:rFonts w:ascii="Times New Roman" w:eastAsia="Times New Roman" w:hAnsi="Times New Roman"/>
          <w:sz w:val="24"/>
          <w:szCs w:val="24"/>
          <w:lang w:eastAsia="pt-BR"/>
        </w:rPr>
        <w:t>, E. D.</w:t>
      </w:r>
      <w:r>
        <w:rPr>
          <w:rFonts w:ascii="Times New Roman" w:eastAsia="Times New Roman" w:hAnsi="Times New Roman"/>
          <w:sz w:val="24"/>
          <w:szCs w:val="24"/>
          <w:lang w:eastAsia="pt-BR"/>
        </w:rPr>
        <w:t>;</w:t>
      </w:r>
      <w:r w:rsidR="00B1105B"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ROSA</w:t>
      </w:r>
      <w:r w:rsidR="00B1105B" w:rsidRPr="00D15A99">
        <w:rPr>
          <w:rFonts w:ascii="Times New Roman" w:eastAsia="Times New Roman" w:hAnsi="Times New Roman"/>
          <w:sz w:val="24"/>
          <w:szCs w:val="24"/>
          <w:lang w:eastAsia="pt-BR"/>
        </w:rPr>
        <w:t>, F. S.</w:t>
      </w:r>
      <w:r w:rsidR="00A910C1" w:rsidRPr="00D15A99">
        <w:rPr>
          <w:rFonts w:ascii="Times New Roman" w:eastAsia="Times New Roman" w:hAnsi="Times New Roman"/>
          <w:sz w:val="24"/>
          <w:szCs w:val="24"/>
          <w:lang w:eastAsia="pt-BR"/>
        </w:rPr>
        <w:t xml:space="preserve"> </w:t>
      </w:r>
      <w:proofErr w:type="spellStart"/>
      <w:r w:rsidR="00A910C1" w:rsidRPr="00D15A99">
        <w:rPr>
          <w:rFonts w:ascii="Times New Roman" w:eastAsia="Times New Roman" w:hAnsi="Times New Roman"/>
          <w:sz w:val="24"/>
          <w:szCs w:val="24"/>
          <w:lang w:eastAsia="pt-BR"/>
        </w:rPr>
        <w:t>da</w:t>
      </w:r>
      <w:proofErr w:type="spellEnd"/>
      <w:r>
        <w:rPr>
          <w:rFonts w:ascii="Times New Roman" w:eastAsia="Times New Roman" w:hAnsi="Times New Roman"/>
          <w:sz w:val="24"/>
          <w:szCs w:val="24"/>
          <w:lang w:eastAsia="pt-BR"/>
        </w:rPr>
        <w:t>;</w:t>
      </w:r>
      <w:r w:rsidRPr="00D15A99">
        <w:rPr>
          <w:rFonts w:ascii="Times New Roman" w:eastAsia="Times New Roman" w:hAnsi="Times New Roman"/>
          <w:sz w:val="24"/>
          <w:szCs w:val="24"/>
          <w:lang w:eastAsia="pt-BR"/>
        </w:rPr>
        <w:t xml:space="preserve"> CARDOSO</w:t>
      </w:r>
      <w:r w:rsidR="00B1105B" w:rsidRPr="00D15A99">
        <w:rPr>
          <w:rFonts w:ascii="Times New Roman" w:eastAsia="Times New Roman" w:hAnsi="Times New Roman"/>
          <w:sz w:val="24"/>
          <w:szCs w:val="24"/>
          <w:lang w:eastAsia="pt-BR"/>
        </w:rPr>
        <w:t>, T. L.</w:t>
      </w:r>
      <w:proofErr w:type="gramStart"/>
      <w:r>
        <w:rPr>
          <w:rFonts w:ascii="Times New Roman" w:eastAsia="Times New Roman" w:hAnsi="Times New Roman"/>
          <w:sz w:val="24"/>
          <w:szCs w:val="24"/>
          <w:lang w:eastAsia="pt-BR"/>
        </w:rPr>
        <w:t xml:space="preserve">; </w:t>
      </w:r>
      <w:r w:rsidR="00B1105B"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COSTA</w:t>
      </w:r>
      <w:proofErr w:type="gramEnd"/>
      <w:r w:rsidR="00B1105B" w:rsidRPr="00D15A99">
        <w:rPr>
          <w:rFonts w:ascii="Times New Roman" w:eastAsia="Times New Roman" w:hAnsi="Times New Roman"/>
          <w:sz w:val="24"/>
          <w:szCs w:val="24"/>
          <w:lang w:eastAsia="pt-BR"/>
        </w:rPr>
        <w:t>, C. B.</w:t>
      </w:r>
      <w:r>
        <w:rPr>
          <w:rFonts w:ascii="Times New Roman" w:eastAsia="Times New Roman" w:hAnsi="Times New Roman"/>
          <w:sz w:val="24"/>
          <w:szCs w:val="24"/>
          <w:lang w:eastAsia="pt-BR"/>
        </w:rPr>
        <w:t xml:space="preserve"> da</w:t>
      </w:r>
      <w:r w:rsidR="00B1105B" w:rsidRPr="00D15A99">
        <w:rPr>
          <w:rFonts w:ascii="Times New Roman" w:eastAsia="Times New Roman" w:hAnsi="Times New Roman"/>
          <w:sz w:val="24"/>
          <w:szCs w:val="24"/>
          <w:lang w:eastAsia="pt-BR"/>
        </w:rPr>
        <w:t xml:space="preserve">. Transparência </w:t>
      </w:r>
      <w:r>
        <w:rPr>
          <w:rFonts w:ascii="Times New Roman" w:eastAsia="Times New Roman" w:hAnsi="Times New Roman"/>
          <w:sz w:val="24"/>
          <w:szCs w:val="24"/>
          <w:lang w:eastAsia="pt-BR"/>
        </w:rPr>
        <w:t>p</w:t>
      </w:r>
      <w:r w:rsidR="00B1105B" w:rsidRPr="00D15A99">
        <w:rPr>
          <w:rFonts w:ascii="Times New Roman" w:eastAsia="Times New Roman" w:hAnsi="Times New Roman"/>
          <w:sz w:val="24"/>
          <w:szCs w:val="24"/>
          <w:lang w:eastAsia="pt-BR"/>
        </w:rPr>
        <w:t xml:space="preserve">ública: </w:t>
      </w:r>
      <w:r>
        <w:rPr>
          <w:rFonts w:ascii="Times New Roman" w:eastAsia="Times New Roman" w:hAnsi="Times New Roman"/>
          <w:sz w:val="24"/>
          <w:szCs w:val="24"/>
          <w:lang w:eastAsia="pt-BR"/>
        </w:rPr>
        <w:t>a</w:t>
      </w:r>
      <w:r w:rsidR="00B1105B" w:rsidRPr="00D15A99">
        <w:rPr>
          <w:rFonts w:ascii="Times New Roman" w:eastAsia="Times New Roman" w:hAnsi="Times New Roman"/>
          <w:sz w:val="24"/>
          <w:szCs w:val="24"/>
          <w:lang w:eastAsia="pt-BR"/>
        </w:rPr>
        <w:t xml:space="preserve">nálise </w:t>
      </w:r>
      <w:r>
        <w:rPr>
          <w:rFonts w:ascii="Times New Roman" w:eastAsia="Times New Roman" w:hAnsi="Times New Roman"/>
          <w:sz w:val="24"/>
          <w:szCs w:val="24"/>
          <w:lang w:eastAsia="pt-BR"/>
        </w:rPr>
        <w:t>e</w:t>
      </w:r>
      <w:r w:rsidR="00B1105B" w:rsidRPr="00D15A99">
        <w:rPr>
          <w:rFonts w:ascii="Times New Roman" w:eastAsia="Times New Roman" w:hAnsi="Times New Roman"/>
          <w:sz w:val="24"/>
          <w:szCs w:val="24"/>
          <w:lang w:eastAsia="pt-BR"/>
        </w:rPr>
        <w:t xml:space="preserve">m </w:t>
      </w:r>
      <w:r>
        <w:rPr>
          <w:rFonts w:ascii="Times New Roman" w:eastAsia="Times New Roman" w:hAnsi="Times New Roman"/>
          <w:sz w:val="24"/>
          <w:szCs w:val="24"/>
          <w:lang w:eastAsia="pt-BR"/>
        </w:rPr>
        <w:t>p</w:t>
      </w:r>
      <w:r w:rsidR="00B1105B" w:rsidRPr="00D15A99">
        <w:rPr>
          <w:rFonts w:ascii="Times New Roman" w:eastAsia="Times New Roman" w:hAnsi="Times New Roman"/>
          <w:sz w:val="24"/>
          <w:szCs w:val="24"/>
          <w:lang w:eastAsia="pt-BR"/>
        </w:rPr>
        <w:t xml:space="preserve">ortais </w:t>
      </w:r>
      <w:r>
        <w:rPr>
          <w:rFonts w:ascii="Times New Roman" w:eastAsia="Times New Roman" w:hAnsi="Times New Roman"/>
          <w:sz w:val="24"/>
          <w:szCs w:val="24"/>
          <w:lang w:eastAsia="pt-BR"/>
        </w:rPr>
        <w:t>d</w:t>
      </w:r>
      <w:r w:rsidR="00B1105B" w:rsidRPr="00D15A99">
        <w:rPr>
          <w:rFonts w:ascii="Times New Roman" w:eastAsia="Times New Roman" w:hAnsi="Times New Roman"/>
          <w:sz w:val="24"/>
          <w:szCs w:val="24"/>
          <w:lang w:eastAsia="pt-BR"/>
        </w:rPr>
        <w:t xml:space="preserve">e </w:t>
      </w:r>
      <w:r>
        <w:rPr>
          <w:rFonts w:ascii="Times New Roman" w:eastAsia="Times New Roman" w:hAnsi="Times New Roman"/>
          <w:sz w:val="24"/>
          <w:szCs w:val="24"/>
          <w:lang w:eastAsia="pt-BR"/>
        </w:rPr>
        <w:t>t</w:t>
      </w:r>
      <w:r w:rsidR="00B1105B" w:rsidRPr="00D15A99">
        <w:rPr>
          <w:rFonts w:ascii="Times New Roman" w:eastAsia="Times New Roman" w:hAnsi="Times New Roman"/>
          <w:sz w:val="24"/>
          <w:szCs w:val="24"/>
          <w:lang w:eastAsia="pt-BR"/>
        </w:rPr>
        <w:t xml:space="preserve">ransparência </w:t>
      </w:r>
      <w:r>
        <w:rPr>
          <w:rFonts w:ascii="Times New Roman" w:eastAsia="Times New Roman" w:hAnsi="Times New Roman"/>
          <w:sz w:val="24"/>
          <w:szCs w:val="24"/>
          <w:lang w:eastAsia="pt-BR"/>
        </w:rPr>
        <w:t>d</w:t>
      </w:r>
      <w:r w:rsidR="00B1105B" w:rsidRPr="00D15A99">
        <w:rPr>
          <w:rFonts w:ascii="Times New Roman" w:eastAsia="Times New Roman" w:hAnsi="Times New Roman"/>
          <w:sz w:val="24"/>
          <w:szCs w:val="24"/>
          <w:lang w:eastAsia="pt-BR"/>
        </w:rPr>
        <w:t xml:space="preserve">o </w:t>
      </w:r>
      <w:r>
        <w:rPr>
          <w:rFonts w:ascii="Times New Roman" w:eastAsia="Times New Roman" w:hAnsi="Times New Roman"/>
          <w:sz w:val="24"/>
          <w:szCs w:val="24"/>
          <w:lang w:eastAsia="pt-BR"/>
        </w:rPr>
        <w:t>P</w:t>
      </w:r>
      <w:r w:rsidR="00B1105B" w:rsidRPr="00D15A99">
        <w:rPr>
          <w:rFonts w:ascii="Times New Roman" w:eastAsia="Times New Roman" w:hAnsi="Times New Roman"/>
          <w:sz w:val="24"/>
          <w:szCs w:val="24"/>
          <w:lang w:eastAsia="pt-BR"/>
        </w:rPr>
        <w:t xml:space="preserve">oder Executivo Municipal </w:t>
      </w:r>
      <w:r>
        <w:rPr>
          <w:rFonts w:ascii="Times New Roman" w:eastAsia="Times New Roman" w:hAnsi="Times New Roman"/>
          <w:sz w:val="24"/>
          <w:szCs w:val="24"/>
          <w:lang w:eastAsia="pt-BR"/>
        </w:rPr>
        <w:t>d</w:t>
      </w:r>
      <w:r w:rsidR="00B1105B" w:rsidRPr="00D15A99">
        <w:rPr>
          <w:rFonts w:ascii="Times New Roman" w:eastAsia="Times New Roman" w:hAnsi="Times New Roman"/>
          <w:sz w:val="24"/>
          <w:szCs w:val="24"/>
          <w:lang w:eastAsia="pt-BR"/>
        </w:rPr>
        <w:t xml:space="preserve">o Brasil. </w:t>
      </w:r>
      <w:r w:rsidR="00B1105B" w:rsidRPr="00D15A99">
        <w:rPr>
          <w:rFonts w:ascii="Times New Roman" w:eastAsia="Times New Roman" w:hAnsi="Times New Roman"/>
          <w:b/>
          <w:bCs/>
          <w:sz w:val="24"/>
          <w:szCs w:val="24"/>
          <w:lang w:eastAsia="pt-BR"/>
        </w:rPr>
        <w:t>Revista Meta</w:t>
      </w:r>
      <w:r w:rsidR="00B1105B" w:rsidRPr="00962747">
        <w:rPr>
          <w:rFonts w:ascii="Times New Roman" w:eastAsia="Times New Roman" w:hAnsi="Times New Roman"/>
          <w:sz w:val="24"/>
          <w:szCs w:val="24"/>
          <w:lang w:eastAsia="pt-BR"/>
        </w:rPr>
        <w:t>: Avaliação,</w:t>
      </w:r>
      <w:r>
        <w:rPr>
          <w:rFonts w:ascii="Times New Roman" w:eastAsia="Times New Roman" w:hAnsi="Times New Roman"/>
          <w:sz w:val="24"/>
          <w:szCs w:val="24"/>
          <w:lang w:eastAsia="pt-BR"/>
        </w:rPr>
        <w:t xml:space="preserve"> v. </w:t>
      </w:r>
      <w:r w:rsidR="00B1105B" w:rsidRPr="00D15A99">
        <w:rPr>
          <w:rFonts w:ascii="Times New Roman" w:eastAsia="Times New Roman" w:hAnsi="Times New Roman"/>
          <w:sz w:val="24"/>
          <w:szCs w:val="24"/>
          <w:lang w:eastAsia="pt-BR"/>
        </w:rPr>
        <w:t>10</w:t>
      </w:r>
      <w:r>
        <w:rPr>
          <w:rFonts w:ascii="Times New Roman" w:eastAsia="Times New Roman" w:hAnsi="Times New Roman"/>
          <w:sz w:val="24"/>
          <w:szCs w:val="24"/>
          <w:lang w:eastAsia="pt-BR"/>
        </w:rPr>
        <w:t>, n. 29</w:t>
      </w:r>
      <w:r w:rsidR="00B1105B" w:rsidRPr="00D15A99">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p. </w:t>
      </w:r>
      <w:r w:rsidR="00B1105B" w:rsidRPr="00D15A99">
        <w:rPr>
          <w:rFonts w:ascii="Times New Roman" w:eastAsia="Times New Roman" w:hAnsi="Times New Roman"/>
          <w:sz w:val="24"/>
          <w:szCs w:val="24"/>
          <w:lang w:eastAsia="pt-BR"/>
        </w:rPr>
        <w:t>443</w:t>
      </w:r>
      <w:r w:rsidR="00A910C1" w:rsidRPr="00D15A99">
        <w:rPr>
          <w:rFonts w:ascii="Times New Roman" w:eastAsia="Times New Roman" w:hAnsi="Times New Roman"/>
          <w:sz w:val="24"/>
          <w:szCs w:val="24"/>
          <w:lang w:eastAsia="pt-BR"/>
        </w:rPr>
        <w:t>-472</w:t>
      </w:r>
      <w:r>
        <w:rPr>
          <w:rFonts w:ascii="Times New Roman" w:eastAsia="Times New Roman" w:hAnsi="Times New Roman"/>
          <w:sz w:val="24"/>
          <w:szCs w:val="24"/>
          <w:lang w:eastAsia="pt-BR"/>
        </w:rPr>
        <w:t>, 2018</w:t>
      </w:r>
      <w:r w:rsidR="00B1105B" w:rsidRPr="00D15A99">
        <w:rPr>
          <w:rFonts w:ascii="Times New Roman" w:eastAsia="Times New Roman" w:hAnsi="Times New Roman"/>
          <w:sz w:val="24"/>
          <w:szCs w:val="24"/>
          <w:lang w:eastAsia="pt-BR"/>
        </w:rPr>
        <w:t xml:space="preserve">. </w:t>
      </w:r>
      <w:hyperlink r:id="rId17" w:history="1">
        <w:r w:rsidR="00573348" w:rsidRPr="001E068A">
          <w:rPr>
            <w:rStyle w:val="Hyperlink"/>
            <w:rFonts w:ascii="Times New Roman" w:eastAsia="Times New Roman" w:hAnsi="Times New Roman"/>
            <w:sz w:val="24"/>
            <w:szCs w:val="24"/>
            <w:lang w:eastAsia="pt-BR"/>
          </w:rPr>
          <w:t>http://doi.org/10.22347/2175-2753v10i29.1583</w:t>
        </w:r>
      </w:hyperlink>
    </w:p>
    <w:p w14:paraId="0A88D690" w14:textId="77777777" w:rsidR="00573348" w:rsidRPr="00D15A99" w:rsidRDefault="00573348" w:rsidP="00D15A99">
      <w:pPr>
        <w:spacing w:after="0" w:line="240" w:lineRule="auto"/>
        <w:jc w:val="both"/>
        <w:rPr>
          <w:rFonts w:ascii="Times New Roman" w:eastAsia="Times New Roman" w:hAnsi="Times New Roman"/>
          <w:sz w:val="24"/>
          <w:szCs w:val="24"/>
          <w:lang w:eastAsia="pt-BR"/>
        </w:rPr>
      </w:pPr>
    </w:p>
    <w:p w14:paraId="4250E801" w14:textId="5A977EBD" w:rsidR="00897369" w:rsidRDefault="000A4679" w:rsidP="00D15A99">
      <w:pPr>
        <w:autoSpaceDE w:val="0"/>
        <w:autoSpaceDN w:val="0"/>
        <w:adjustRightInd w:val="0"/>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CAVALCANTI</w:t>
      </w:r>
      <w:r w:rsidR="00897369" w:rsidRPr="00D15A99">
        <w:rPr>
          <w:rFonts w:ascii="Times New Roman" w:hAnsi="Times New Roman"/>
          <w:color w:val="000000" w:themeColor="text1"/>
          <w:sz w:val="24"/>
          <w:szCs w:val="24"/>
        </w:rPr>
        <w:t xml:space="preserve">, P. R. </w:t>
      </w:r>
      <w:r w:rsidR="00897369" w:rsidRPr="00D15A99">
        <w:rPr>
          <w:rFonts w:ascii="Times New Roman" w:hAnsi="Times New Roman"/>
          <w:b/>
          <w:bCs/>
          <w:color w:val="000000" w:themeColor="text1"/>
          <w:sz w:val="24"/>
          <w:szCs w:val="24"/>
        </w:rPr>
        <w:t>Análise econômico-comportamental operante de deci</w:t>
      </w:r>
      <w:r w:rsidR="006B4279" w:rsidRPr="00D15A99">
        <w:rPr>
          <w:rFonts w:ascii="Times New Roman" w:hAnsi="Times New Roman"/>
          <w:b/>
          <w:bCs/>
          <w:color w:val="000000" w:themeColor="text1"/>
          <w:sz w:val="24"/>
          <w:szCs w:val="24"/>
        </w:rPr>
        <w:t>s</w:t>
      </w:r>
      <w:r w:rsidR="00897369" w:rsidRPr="00D15A99">
        <w:rPr>
          <w:rFonts w:ascii="Times New Roman" w:hAnsi="Times New Roman"/>
          <w:b/>
          <w:bCs/>
          <w:color w:val="000000" w:themeColor="text1"/>
          <w:sz w:val="24"/>
          <w:szCs w:val="24"/>
        </w:rPr>
        <w:t>ões em colegiado de uma corte de contas</w:t>
      </w:r>
      <w:r w:rsidR="00A23C6B">
        <w:rPr>
          <w:rFonts w:ascii="Times New Roman" w:hAnsi="Times New Roman"/>
          <w:color w:val="000000" w:themeColor="text1"/>
          <w:sz w:val="24"/>
          <w:szCs w:val="24"/>
        </w:rPr>
        <w:t xml:space="preserve">. </w:t>
      </w:r>
      <w:r w:rsidR="00897369" w:rsidRPr="00D15A99">
        <w:rPr>
          <w:rFonts w:ascii="Times New Roman" w:hAnsi="Times New Roman"/>
          <w:color w:val="000000" w:themeColor="text1"/>
          <w:sz w:val="24"/>
          <w:szCs w:val="24"/>
        </w:rPr>
        <w:t>Tese de doutorado</w:t>
      </w:r>
      <w:r w:rsidR="00A23C6B">
        <w:rPr>
          <w:rFonts w:ascii="Times New Roman" w:hAnsi="Times New Roman"/>
          <w:color w:val="000000" w:themeColor="text1"/>
          <w:sz w:val="24"/>
          <w:szCs w:val="24"/>
        </w:rPr>
        <w:t>,</w:t>
      </w:r>
      <w:r w:rsidR="00A910C1" w:rsidRPr="00D15A99">
        <w:rPr>
          <w:rFonts w:ascii="Times New Roman" w:hAnsi="Times New Roman"/>
          <w:color w:val="000000" w:themeColor="text1"/>
          <w:sz w:val="24"/>
          <w:szCs w:val="24"/>
        </w:rPr>
        <w:t xml:space="preserve"> Universidade de Brasília, Brasília, DF, Brasil</w:t>
      </w:r>
      <w:r w:rsidR="00A23C6B">
        <w:rPr>
          <w:rFonts w:ascii="Times New Roman" w:hAnsi="Times New Roman"/>
          <w:color w:val="000000" w:themeColor="text1"/>
          <w:sz w:val="24"/>
          <w:szCs w:val="24"/>
        </w:rPr>
        <w:t>, 2017.</w:t>
      </w:r>
    </w:p>
    <w:p w14:paraId="00E5F3B4" w14:textId="77777777" w:rsidR="00573348" w:rsidRPr="00D15A99" w:rsidRDefault="00573348" w:rsidP="00D15A99">
      <w:pPr>
        <w:autoSpaceDE w:val="0"/>
        <w:autoSpaceDN w:val="0"/>
        <w:adjustRightInd w:val="0"/>
        <w:spacing w:after="0" w:line="240" w:lineRule="auto"/>
        <w:jc w:val="both"/>
        <w:rPr>
          <w:rFonts w:ascii="Times New Roman" w:hAnsi="Times New Roman"/>
          <w:color w:val="000000" w:themeColor="text1"/>
          <w:sz w:val="24"/>
          <w:szCs w:val="24"/>
        </w:rPr>
      </w:pPr>
    </w:p>
    <w:p w14:paraId="3C56FD51" w14:textId="6384A4F9" w:rsidR="00B1105B" w:rsidRDefault="00A23C6B" w:rsidP="00D15A99">
      <w:pPr>
        <w:autoSpaceDE w:val="0"/>
        <w:autoSpaceDN w:val="0"/>
        <w:adjustRightInd w:val="0"/>
        <w:spacing w:after="0" w:line="240" w:lineRule="auto"/>
        <w:jc w:val="both"/>
        <w:rPr>
          <w:rFonts w:ascii="Times New Roman" w:eastAsia="ArialMT" w:hAnsi="Times New Roman"/>
          <w:color w:val="000000" w:themeColor="text1"/>
          <w:sz w:val="24"/>
          <w:szCs w:val="24"/>
        </w:rPr>
      </w:pPr>
      <w:r w:rsidRPr="00D15A99">
        <w:rPr>
          <w:rFonts w:ascii="Times New Roman" w:eastAsia="ArialMT" w:hAnsi="Times New Roman"/>
          <w:color w:val="000000" w:themeColor="text1"/>
          <w:sz w:val="24"/>
          <w:szCs w:val="24"/>
        </w:rPr>
        <w:t>CATANIA</w:t>
      </w:r>
      <w:r w:rsidR="00B1105B" w:rsidRPr="00D15A99">
        <w:rPr>
          <w:rFonts w:ascii="Times New Roman" w:eastAsia="ArialMT" w:hAnsi="Times New Roman"/>
          <w:color w:val="000000" w:themeColor="text1"/>
          <w:sz w:val="24"/>
          <w:szCs w:val="24"/>
        </w:rPr>
        <w:t>, A. C</w:t>
      </w:r>
      <w:r w:rsidR="00680DEF" w:rsidRPr="00D15A99">
        <w:rPr>
          <w:rFonts w:ascii="Times New Roman" w:eastAsia="ArialMT" w:hAnsi="Times New Roman"/>
          <w:color w:val="000000" w:themeColor="text1"/>
          <w:sz w:val="24"/>
          <w:szCs w:val="24"/>
        </w:rPr>
        <w:t>.</w:t>
      </w:r>
      <w:r w:rsidR="00B1105B" w:rsidRPr="00D15A99">
        <w:rPr>
          <w:rFonts w:ascii="Times New Roman" w:eastAsia="ArialMT" w:hAnsi="Times New Roman"/>
          <w:color w:val="000000" w:themeColor="text1"/>
          <w:sz w:val="24"/>
          <w:szCs w:val="24"/>
        </w:rPr>
        <w:t xml:space="preserve"> </w:t>
      </w:r>
      <w:r w:rsidR="00B1105B" w:rsidRPr="00D15A99">
        <w:rPr>
          <w:rFonts w:ascii="Times New Roman" w:eastAsia="ArialMT" w:hAnsi="Times New Roman"/>
          <w:b/>
          <w:bCs/>
          <w:color w:val="000000" w:themeColor="text1"/>
          <w:sz w:val="24"/>
          <w:szCs w:val="24"/>
        </w:rPr>
        <w:t>Aprendizagem</w:t>
      </w:r>
      <w:r w:rsidR="00B1105B" w:rsidRPr="00962747">
        <w:rPr>
          <w:rFonts w:ascii="Times New Roman" w:eastAsia="ArialMT" w:hAnsi="Times New Roman"/>
          <w:color w:val="000000" w:themeColor="text1"/>
          <w:sz w:val="24"/>
          <w:szCs w:val="24"/>
        </w:rPr>
        <w:t xml:space="preserve">: Comportamento, Linguagem e Cognição. </w:t>
      </w:r>
      <w:r w:rsidRPr="00962747">
        <w:rPr>
          <w:rFonts w:ascii="Times New Roman" w:eastAsia="ArialMT" w:hAnsi="Times New Roman"/>
          <w:color w:val="000000" w:themeColor="text1"/>
          <w:sz w:val="24"/>
          <w:szCs w:val="24"/>
        </w:rPr>
        <w:t>4</w:t>
      </w:r>
      <w:r>
        <w:rPr>
          <w:rFonts w:ascii="Times New Roman" w:eastAsia="ArialMT" w:hAnsi="Times New Roman"/>
          <w:color w:val="000000" w:themeColor="text1"/>
          <w:sz w:val="24"/>
          <w:szCs w:val="24"/>
        </w:rPr>
        <w:t xml:space="preserve">. ed. </w:t>
      </w:r>
      <w:r w:rsidR="00B1105B" w:rsidRPr="00D15A99">
        <w:rPr>
          <w:rFonts w:ascii="Times New Roman" w:eastAsia="ArialMT" w:hAnsi="Times New Roman"/>
          <w:color w:val="000000" w:themeColor="text1"/>
          <w:sz w:val="24"/>
          <w:szCs w:val="24"/>
        </w:rPr>
        <w:t xml:space="preserve">Porto Alegre: Artes </w:t>
      </w:r>
      <w:r w:rsidR="002E13D5" w:rsidRPr="00D15A99">
        <w:rPr>
          <w:rFonts w:ascii="Times New Roman" w:eastAsia="ArialMT" w:hAnsi="Times New Roman"/>
          <w:color w:val="000000" w:themeColor="text1"/>
          <w:sz w:val="24"/>
          <w:szCs w:val="24"/>
        </w:rPr>
        <w:t>Médicas</w:t>
      </w:r>
      <w:r w:rsidR="00B1105B" w:rsidRPr="00D15A99">
        <w:rPr>
          <w:rFonts w:ascii="Times New Roman" w:eastAsia="ArialMT" w:hAnsi="Times New Roman"/>
          <w:color w:val="000000" w:themeColor="text1"/>
          <w:sz w:val="24"/>
          <w:szCs w:val="24"/>
        </w:rPr>
        <w:t xml:space="preserve"> Sul.</w:t>
      </w:r>
    </w:p>
    <w:p w14:paraId="204F11A1" w14:textId="77777777" w:rsidR="00573348" w:rsidRPr="00D15A99" w:rsidRDefault="00573348" w:rsidP="00D15A99">
      <w:pPr>
        <w:autoSpaceDE w:val="0"/>
        <w:autoSpaceDN w:val="0"/>
        <w:adjustRightInd w:val="0"/>
        <w:spacing w:after="0" w:line="240" w:lineRule="auto"/>
        <w:jc w:val="both"/>
        <w:rPr>
          <w:rFonts w:ascii="Times New Roman" w:eastAsia="ArialMT" w:hAnsi="Times New Roman"/>
          <w:color w:val="000000" w:themeColor="text1"/>
          <w:sz w:val="24"/>
          <w:szCs w:val="24"/>
        </w:rPr>
      </w:pPr>
    </w:p>
    <w:p w14:paraId="1E1F6311" w14:textId="146406D9" w:rsidR="00A90D73" w:rsidRDefault="00A23C6B"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CELLA</w:t>
      </w:r>
      <w:r w:rsidR="00A90D73" w:rsidRPr="00D15A99">
        <w:rPr>
          <w:rFonts w:ascii="Times New Roman" w:hAnsi="Times New Roman"/>
          <w:color w:val="000000" w:themeColor="text1"/>
          <w:sz w:val="24"/>
          <w:szCs w:val="24"/>
        </w:rPr>
        <w:t xml:space="preserve">, R. S. </w:t>
      </w:r>
      <w:r w:rsidR="00A90D73" w:rsidRPr="00D15A99">
        <w:rPr>
          <w:rFonts w:ascii="Times New Roman" w:hAnsi="Times New Roman"/>
          <w:b/>
          <w:bCs/>
          <w:color w:val="000000" w:themeColor="text1"/>
          <w:sz w:val="24"/>
          <w:szCs w:val="24"/>
        </w:rPr>
        <w:t xml:space="preserve">Do </w:t>
      </w:r>
      <w:r w:rsidR="00A910C1" w:rsidRPr="00D15A99">
        <w:rPr>
          <w:rFonts w:ascii="Times New Roman" w:hAnsi="Times New Roman"/>
          <w:b/>
          <w:bCs/>
          <w:color w:val="000000" w:themeColor="text1"/>
          <w:sz w:val="24"/>
          <w:szCs w:val="24"/>
        </w:rPr>
        <w:t>d</w:t>
      </w:r>
      <w:r w:rsidR="00A90D73" w:rsidRPr="00D15A99">
        <w:rPr>
          <w:rFonts w:ascii="Times New Roman" w:hAnsi="Times New Roman"/>
          <w:b/>
          <w:bCs/>
          <w:color w:val="000000" w:themeColor="text1"/>
          <w:sz w:val="24"/>
          <w:szCs w:val="24"/>
        </w:rPr>
        <w:t xml:space="preserve">ano </w:t>
      </w:r>
      <w:r w:rsidR="00A910C1" w:rsidRPr="00D15A99">
        <w:rPr>
          <w:rFonts w:ascii="Times New Roman" w:hAnsi="Times New Roman"/>
          <w:b/>
          <w:bCs/>
          <w:color w:val="000000" w:themeColor="text1"/>
          <w:sz w:val="24"/>
          <w:szCs w:val="24"/>
        </w:rPr>
        <w:t>à i</w:t>
      </w:r>
      <w:r w:rsidR="00A90D73" w:rsidRPr="00D15A99">
        <w:rPr>
          <w:rFonts w:ascii="Times New Roman" w:hAnsi="Times New Roman"/>
          <w:b/>
          <w:bCs/>
          <w:color w:val="000000" w:themeColor="text1"/>
          <w:sz w:val="24"/>
          <w:szCs w:val="24"/>
        </w:rPr>
        <w:t>nelegibilidade: um estudo na prestação de contas de gestão dos poderes executivos municipais do Estado de Goiás</w:t>
      </w:r>
      <w:r>
        <w:rPr>
          <w:rFonts w:ascii="Times New Roman" w:hAnsi="Times New Roman"/>
          <w:color w:val="000000" w:themeColor="text1"/>
          <w:sz w:val="24"/>
          <w:szCs w:val="24"/>
        </w:rPr>
        <w:t xml:space="preserve">. </w:t>
      </w:r>
      <w:r w:rsidR="00A90D73" w:rsidRPr="00D15A99">
        <w:rPr>
          <w:rFonts w:ascii="Times New Roman" w:hAnsi="Times New Roman"/>
          <w:color w:val="000000" w:themeColor="text1"/>
          <w:sz w:val="24"/>
          <w:szCs w:val="24"/>
        </w:rPr>
        <w:t xml:space="preserve">Dissertação </w:t>
      </w:r>
      <w:r w:rsidR="00A910C1" w:rsidRPr="00D15A99">
        <w:rPr>
          <w:rFonts w:ascii="Times New Roman" w:hAnsi="Times New Roman"/>
          <w:color w:val="000000" w:themeColor="text1"/>
          <w:sz w:val="24"/>
          <w:szCs w:val="24"/>
        </w:rPr>
        <w:t xml:space="preserve">de </w:t>
      </w:r>
      <w:r w:rsidR="00A90D73" w:rsidRPr="00D15A99">
        <w:rPr>
          <w:rFonts w:ascii="Times New Roman" w:hAnsi="Times New Roman"/>
          <w:color w:val="000000" w:themeColor="text1"/>
          <w:sz w:val="24"/>
          <w:szCs w:val="24"/>
        </w:rPr>
        <w:t>Mestrado</w:t>
      </w:r>
      <w:r w:rsidR="00A910C1" w:rsidRPr="00D15A99">
        <w:rPr>
          <w:rFonts w:ascii="Times New Roman" w:hAnsi="Times New Roman"/>
          <w:color w:val="000000" w:themeColor="text1"/>
          <w:sz w:val="24"/>
          <w:szCs w:val="24"/>
        </w:rPr>
        <w:t>. Universidade Federal de Goiás, Goiânia, GO, Brasil</w:t>
      </w:r>
      <w:r>
        <w:rPr>
          <w:rFonts w:ascii="Times New Roman" w:hAnsi="Times New Roman"/>
          <w:color w:val="000000" w:themeColor="text1"/>
          <w:sz w:val="24"/>
          <w:szCs w:val="24"/>
        </w:rPr>
        <w:t>, 2018.</w:t>
      </w:r>
    </w:p>
    <w:p w14:paraId="5C677B40"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34E13F10" w14:textId="72B9D6CB" w:rsidR="00224121" w:rsidRDefault="00A23C6B" w:rsidP="00D15A99">
      <w:pPr>
        <w:spacing w:after="0" w:line="240" w:lineRule="auto"/>
        <w:jc w:val="both"/>
        <w:rPr>
          <w:rFonts w:ascii="Times New Roman" w:hAnsi="Times New Roman"/>
          <w:color w:val="000000" w:themeColor="text1"/>
          <w:sz w:val="24"/>
          <w:szCs w:val="24"/>
          <w:lang w:val="en-US"/>
        </w:rPr>
      </w:pPr>
      <w:r w:rsidRPr="00D15A99">
        <w:rPr>
          <w:rFonts w:ascii="Times New Roman" w:hAnsi="Times New Roman"/>
          <w:color w:val="000000" w:themeColor="text1"/>
          <w:sz w:val="24"/>
          <w:szCs w:val="24"/>
          <w:lang w:val="en-US"/>
        </w:rPr>
        <w:t>CERUTTI</w:t>
      </w:r>
      <w:r w:rsidR="00224121" w:rsidRPr="00D15A99">
        <w:rPr>
          <w:rFonts w:ascii="Times New Roman" w:hAnsi="Times New Roman"/>
          <w:color w:val="000000" w:themeColor="text1"/>
          <w:sz w:val="24"/>
          <w:szCs w:val="24"/>
          <w:lang w:val="en-US"/>
        </w:rPr>
        <w:t xml:space="preserve">, D. T. </w:t>
      </w:r>
      <w:r w:rsidR="00A12D5D" w:rsidRPr="00D15A99">
        <w:rPr>
          <w:rFonts w:ascii="Times New Roman" w:hAnsi="Times New Roman"/>
          <w:color w:val="000000" w:themeColor="text1"/>
          <w:sz w:val="24"/>
          <w:szCs w:val="24"/>
          <w:lang w:val="en-US"/>
        </w:rPr>
        <w:t>Discrimination theory of rule-governed behavior</w:t>
      </w:r>
      <w:r w:rsidR="00224121" w:rsidRPr="00D15A99">
        <w:rPr>
          <w:rFonts w:ascii="Times New Roman" w:hAnsi="Times New Roman"/>
          <w:color w:val="000000" w:themeColor="text1"/>
          <w:sz w:val="24"/>
          <w:szCs w:val="24"/>
          <w:lang w:val="en-US"/>
        </w:rPr>
        <w:t xml:space="preserve">. </w:t>
      </w:r>
      <w:r w:rsidR="00224121" w:rsidRPr="00D15A99">
        <w:rPr>
          <w:rFonts w:ascii="Times New Roman" w:hAnsi="Times New Roman"/>
          <w:b/>
          <w:bCs/>
          <w:color w:val="000000" w:themeColor="text1"/>
          <w:sz w:val="24"/>
          <w:szCs w:val="24"/>
          <w:lang w:val="en-US"/>
        </w:rPr>
        <w:t>Journal of the experimental analysis of behavior</w:t>
      </w:r>
      <w:r w:rsidR="00224121" w:rsidRPr="00D15A99">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v.</w:t>
      </w:r>
      <w:r w:rsidR="00224121" w:rsidRPr="00D15A99">
        <w:rPr>
          <w:rFonts w:ascii="Times New Roman" w:hAnsi="Times New Roman"/>
          <w:color w:val="000000" w:themeColor="text1"/>
          <w:sz w:val="24"/>
          <w:szCs w:val="24"/>
          <w:lang w:val="en-US"/>
        </w:rPr>
        <w:t xml:space="preserve"> 51</w:t>
      </w:r>
      <w:r>
        <w:rPr>
          <w:rFonts w:ascii="Times New Roman" w:hAnsi="Times New Roman"/>
          <w:color w:val="000000" w:themeColor="text1"/>
          <w:sz w:val="24"/>
          <w:szCs w:val="24"/>
          <w:lang w:val="en-US"/>
        </w:rPr>
        <w:t>, n.</w:t>
      </w:r>
      <w:r w:rsidR="007B44E3">
        <w:rPr>
          <w:rFonts w:ascii="Times New Roman" w:hAnsi="Times New Roman"/>
          <w:color w:val="000000" w:themeColor="text1"/>
          <w:sz w:val="24"/>
          <w:szCs w:val="24"/>
          <w:lang w:val="en-US"/>
        </w:rPr>
        <w:t xml:space="preserve"> </w:t>
      </w:r>
      <w:r w:rsidR="00224121" w:rsidRPr="00D15A99">
        <w:rPr>
          <w:rFonts w:ascii="Times New Roman" w:hAnsi="Times New Roman"/>
          <w:color w:val="000000" w:themeColor="text1"/>
          <w:sz w:val="24"/>
          <w:szCs w:val="24"/>
          <w:lang w:val="en-US"/>
        </w:rPr>
        <w:t xml:space="preserve">2, </w:t>
      </w:r>
      <w:r>
        <w:rPr>
          <w:rFonts w:ascii="Times New Roman" w:hAnsi="Times New Roman"/>
          <w:color w:val="000000" w:themeColor="text1"/>
          <w:sz w:val="24"/>
          <w:szCs w:val="24"/>
          <w:lang w:val="en-US"/>
        </w:rPr>
        <w:t xml:space="preserve">p. </w:t>
      </w:r>
      <w:r w:rsidR="00224121" w:rsidRPr="00D15A99">
        <w:rPr>
          <w:rFonts w:ascii="Times New Roman" w:hAnsi="Times New Roman"/>
          <w:color w:val="000000" w:themeColor="text1"/>
          <w:sz w:val="24"/>
          <w:szCs w:val="24"/>
          <w:lang w:val="en-US"/>
        </w:rPr>
        <w:t>259–276</w:t>
      </w:r>
      <w:r>
        <w:rPr>
          <w:rFonts w:ascii="Times New Roman" w:hAnsi="Times New Roman"/>
          <w:color w:val="000000" w:themeColor="text1"/>
          <w:sz w:val="24"/>
          <w:szCs w:val="24"/>
          <w:lang w:val="en-US"/>
        </w:rPr>
        <w:t>, 1989.</w:t>
      </w:r>
    </w:p>
    <w:p w14:paraId="7F5DD04D" w14:textId="77777777" w:rsidR="00573348" w:rsidRPr="00D15A99" w:rsidRDefault="00573348" w:rsidP="00D15A99">
      <w:pPr>
        <w:spacing w:after="0" w:line="240" w:lineRule="auto"/>
        <w:jc w:val="both"/>
        <w:rPr>
          <w:rFonts w:ascii="Times New Roman" w:hAnsi="Times New Roman"/>
          <w:color w:val="000000" w:themeColor="text1"/>
          <w:sz w:val="24"/>
          <w:szCs w:val="24"/>
          <w:lang w:val="en-US"/>
        </w:rPr>
      </w:pPr>
    </w:p>
    <w:p w14:paraId="403D1457" w14:textId="5E7230FD" w:rsidR="00317B4F" w:rsidRDefault="00A23C6B"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FLORES</w:t>
      </w:r>
      <w:r w:rsidR="00317B4F" w:rsidRPr="00D15A99">
        <w:rPr>
          <w:rFonts w:ascii="Times New Roman" w:hAnsi="Times New Roman"/>
          <w:color w:val="000000" w:themeColor="text1"/>
          <w:sz w:val="24"/>
          <w:szCs w:val="24"/>
        </w:rPr>
        <w:t xml:space="preserve">, E. P. O conceito de regra na linguagem cotidiana e na Análise Experimental do Comportamento. </w:t>
      </w:r>
      <w:r w:rsidR="00317B4F" w:rsidRPr="00D15A99">
        <w:rPr>
          <w:rFonts w:ascii="Times New Roman" w:hAnsi="Times New Roman"/>
          <w:b/>
          <w:bCs/>
          <w:color w:val="000000" w:themeColor="text1"/>
          <w:sz w:val="24"/>
          <w:szCs w:val="24"/>
        </w:rPr>
        <w:t>Estudos de Psicologia (Natal</w:t>
      </w:r>
      <w:r w:rsidR="00317B4F"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v. </w:t>
      </w:r>
      <w:r w:rsidR="00317B4F" w:rsidRPr="00D15A99">
        <w:rPr>
          <w:rFonts w:ascii="Times New Roman" w:hAnsi="Times New Roman"/>
          <w:color w:val="000000" w:themeColor="text1"/>
          <w:sz w:val="24"/>
          <w:szCs w:val="24"/>
        </w:rPr>
        <w:t>9</w:t>
      </w:r>
      <w:r>
        <w:rPr>
          <w:rFonts w:ascii="Times New Roman" w:hAnsi="Times New Roman"/>
          <w:color w:val="000000" w:themeColor="text1"/>
          <w:sz w:val="24"/>
          <w:szCs w:val="24"/>
        </w:rPr>
        <w:t xml:space="preserve">, n. </w:t>
      </w:r>
      <w:r w:rsidR="00317B4F" w:rsidRPr="00D15A99">
        <w:rPr>
          <w:rFonts w:ascii="Times New Roman" w:hAnsi="Times New Roman"/>
          <w:color w:val="000000" w:themeColor="text1"/>
          <w:sz w:val="24"/>
          <w:szCs w:val="24"/>
        </w:rPr>
        <w:t xml:space="preserve">2, </w:t>
      </w:r>
      <w:r>
        <w:rPr>
          <w:rFonts w:ascii="Times New Roman" w:hAnsi="Times New Roman"/>
          <w:color w:val="000000" w:themeColor="text1"/>
          <w:sz w:val="24"/>
          <w:szCs w:val="24"/>
        </w:rPr>
        <w:t xml:space="preserve">p. </w:t>
      </w:r>
      <w:r w:rsidR="00317B4F" w:rsidRPr="00D15A99">
        <w:rPr>
          <w:rFonts w:ascii="Times New Roman" w:hAnsi="Times New Roman"/>
          <w:color w:val="000000" w:themeColor="text1"/>
          <w:sz w:val="24"/>
          <w:szCs w:val="24"/>
        </w:rPr>
        <w:t>279-283</w:t>
      </w:r>
      <w:r>
        <w:rPr>
          <w:rFonts w:ascii="Times New Roman" w:hAnsi="Times New Roman"/>
          <w:color w:val="000000" w:themeColor="text1"/>
          <w:sz w:val="24"/>
          <w:szCs w:val="24"/>
        </w:rPr>
        <w:t>, 2004.</w:t>
      </w:r>
    </w:p>
    <w:p w14:paraId="09C08CF6"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02422B0C" w14:textId="5DCE54DE" w:rsidR="00317B4F" w:rsidRDefault="00A23C6B" w:rsidP="00D15A99">
      <w:pPr>
        <w:pStyle w:val="Default"/>
        <w:jc w:val="both"/>
        <w:rPr>
          <w:color w:val="000000" w:themeColor="text1"/>
          <w:lang w:val="en-US"/>
        </w:rPr>
      </w:pPr>
      <w:r w:rsidRPr="00D15A99">
        <w:rPr>
          <w:color w:val="000000" w:themeColor="text1"/>
        </w:rPr>
        <w:t>GLENN</w:t>
      </w:r>
      <w:r w:rsidR="00317B4F" w:rsidRPr="00D15A99">
        <w:rPr>
          <w:color w:val="000000" w:themeColor="text1"/>
        </w:rPr>
        <w:t xml:space="preserve">, S. S. (1987). </w:t>
      </w:r>
      <w:proofErr w:type="spellStart"/>
      <w:r w:rsidR="00317B4F" w:rsidRPr="00D15A99">
        <w:rPr>
          <w:color w:val="000000" w:themeColor="text1"/>
        </w:rPr>
        <w:t>Rules</w:t>
      </w:r>
      <w:proofErr w:type="spellEnd"/>
      <w:r w:rsidR="00317B4F" w:rsidRPr="00D15A99">
        <w:rPr>
          <w:color w:val="000000" w:themeColor="text1"/>
        </w:rPr>
        <w:t xml:space="preserve"> as </w:t>
      </w:r>
      <w:proofErr w:type="spellStart"/>
      <w:r w:rsidR="00317B4F" w:rsidRPr="00D15A99">
        <w:rPr>
          <w:color w:val="000000" w:themeColor="text1"/>
        </w:rPr>
        <w:t>environmental</w:t>
      </w:r>
      <w:proofErr w:type="spellEnd"/>
      <w:r w:rsidR="00317B4F" w:rsidRPr="00D15A99">
        <w:rPr>
          <w:color w:val="000000" w:themeColor="text1"/>
        </w:rPr>
        <w:t xml:space="preserve"> </w:t>
      </w:r>
      <w:proofErr w:type="spellStart"/>
      <w:r w:rsidR="00317B4F" w:rsidRPr="00D15A99">
        <w:rPr>
          <w:color w:val="000000" w:themeColor="text1"/>
        </w:rPr>
        <w:t>events</w:t>
      </w:r>
      <w:proofErr w:type="spellEnd"/>
      <w:r w:rsidR="00317B4F" w:rsidRPr="00D15A99">
        <w:rPr>
          <w:color w:val="000000" w:themeColor="text1"/>
        </w:rPr>
        <w:t xml:space="preserve">. </w:t>
      </w:r>
      <w:r w:rsidR="00317B4F" w:rsidRPr="00D15A99">
        <w:rPr>
          <w:b/>
          <w:bCs/>
          <w:color w:val="000000" w:themeColor="text1"/>
          <w:lang w:val="en-US"/>
        </w:rPr>
        <w:t>The Analysis of Verbal Behavior</w:t>
      </w:r>
      <w:r w:rsidR="00317B4F" w:rsidRPr="00D15A99">
        <w:rPr>
          <w:color w:val="000000" w:themeColor="text1"/>
          <w:lang w:val="en-US"/>
        </w:rPr>
        <w:t xml:space="preserve">, </w:t>
      </w:r>
      <w:r>
        <w:rPr>
          <w:color w:val="000000" w:themeColor="text1"/>
          <w:lang w:val="en-US"/>
        </w:rPr>
        <w:t xml:space="preserve">v. </w:t>
      </w:r>
      <w:r w:rsidR="00317B4F" w:rsidRPr="00D15A99">
        <w:rPr>
          <w:color w:val="000000" w:themeColor="text1"/>
          <w:lang w:val="en-US"/>
        </w:rPr>
        <w:t xml:space="preserve">5, </w:t>
      </w:r>
      <w:r>
        <w:rPr>
          <w:color w:val="000000" w:themeColor="text1"/>
          <w:lang w:val="en-US"/>
        </w:rPr>
        <w:t xml:space="preserve">p. </w:t>
      </w:r>
      <w:r w:rsidR="00317B4F" w:rsidRPr="00D15A99">
        <w:rPr>
          <w:color w:val="000000" w:themeColor="text1"/>
          <w:lang w:val="en-US"/>
        </w:rPr>
        <w:t>29-32</w:t>
      </w:r>
      <w:r>
        <w:rPr>
          <w:color w:val="000000" w:themeColor="text1"/>
          <w:lang w:val="en-US"/>
        </w:rPr>
        <w:t>,</w:t>
      </w:r>
      <w:r w:rsidR="00317B4F" w:rsidRPr="00D15A99">
        <w:rPr>
          <w:color w:val="000000" w:themeColor="text1"/>
          <w:lang w:val="en-US"/>
        </w:rPr>
        <w:t xml:space="preserve"> </w:t>
      </w:r>
      <w:r>
        <w:rPr>
          <w:color w:val="000000" w:themeColor="text1"/>
          <w:lang w:val="en-US"/>
        </w:rPr>
        <w:t>1987.</w:t>
      </w:r>
    </w:p>
    <w:p w14:paraId="1C34FF57" w14:textId="77777777" w:rsidR="00573348" w:rsidRPr="00D15A99" w:rsidRDefault="00573348" w:rsidP="00D15A99">
      <w:pPr>
        <w:pStyle w:val="Default"/>
        <w:jc w:val="both"/>
        <w:rPr>
          <w:color w:val="000000" w:themeColor="text1"/>
          <w:lang w:val="en-US"/>
        </w:rPr>
      </w:pPr>
    </w:p>
    <w:p w14:paraId="3F7A0BE1" w14:textId="4F9AA542" w:rsidR="00317B4F" w:rsidRDefault="00A23C6B"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lang w:val="en-US"/>
        </w:rPr>
        <w:t>GLENN</w:t>
      </w:r>
      <w:r w:rsidR="00317B4F" w:rsidRPr="00D15A99">
        <w:rPr>
          <w:rFonts w:ascii="Times New Roman" w:hAnsi="Times New Roman"/>
          <w:color w:val="000000" w:themeColor="text1"/>
          <w:sz w:val="24"/>
          <w:szCs w:val="24"/>
          <w:lang w:val="en-US"/>
        </w:rPr>
        <w:t>, S. S.</w:t>
      </w:r>
      <w:r w:rsidR="00A5100D" w:rsidRPr="00D15A99">
        <w:rPr>
          <w:rFonts w:ascii="Times New Roman" w:hAnsi="Times New Roman"/>
          <w:color w:val="000000" w:themeColor="text1"/>
          <w:sz w:val="24"/>
          <w:szCs w:val="24"/>
          <w:lang w:val="en-US"/>
        </w:rPr>
        <w:t xml:space="preserve"> </w:t>
      </w:r>
      <w:r w:rsidR="00317B4F" w:rsidRPr="00D15A99">
        <w:rPr>
          <w:rFonts w:ascii="Times New Roman" w:hAnsi="Times New Roman"/>
          <w:color w:val="000000" w:themeColor="text1"/>
          <w:sz w:val="24"/>
          <w:szCs w:val="24"/>
          <w:lang w:val="en-US"/>
        </w:rPr>
        <w:t xml:space="preserve">Contingencies and </w:t>
      </w:r>
      <w:proofErr w:type="spellStart"/>
      <w:r w:rsidR="00317B4F" w:rsidRPr="00D15A99">
        <w:rPr>
          <w:rFonts w:ascii="Times New Roman" w:hAnsi="Times New Roman"/>
          <w:color w:val="000000" w:themeColor="text1"/>
          <w:sz w:val="24"/>
          <w:szCs w:val="24"/>
          <w:lang w:val="en-US"/>
        </w:rPr>
        <w:t>metacontingencies</w:t>
      </w:r>
      <w:proofErr w:type="spellEnd"/>
      <w:r w:rsidR="00317B4F" w:rsidRPr="00D15A99">
        <w:rPr>
          <w:rFonts w:ascii="Times New Roman" w:hAnsi="Times New Roman"/>
          <w:color w:val="000000" w:themeColor="text1"/>
          <w:sz w:val="24"/>
          <w:szCs w:val="24"/>
          <w:lang w:val="en-US"/>
        </w:rPr>
        <w:t xml:space="preserve">: Toward a synthesis of behavior analysis and cultural materialism. </w:t>
      </w:r>
      <w:r w:rsidR="00317B4F" w:rsidRPr="00D15A99">
        <w:rPr>
          <w:rFonts w:ascii="Times New Roman" w:hAnsi="Times New Roman"/>
          <w:b/>
          <w:bCs/>
          <w:color w:val="000000" w:themeColor="text1"/>
          <w:sz w:val="24"/>
          <w:szCs w:val="24"/>
        </w:rPr>
        <w:t xml:space="preserve">The </w:t>
      </w:r>
      <w:proofErr w:type="spellStart"/>
      <w:r w:rsidR="00317B4F" w:rsidRPr="00D15A99">
        <w:rPr>
          <w:rFonts w:ascii="Times New Roman" w:hAnsi="Times New Roman"/>
          <w:b/>
          <w:bCs/>
          <w:color w:val="000000" w:themeColor="text1"/>
          <w:sz w:val="24"/>
          <w:szCs w:val="24"/>
        </w:rPr>
        <w:t>Behavior</w:t>
      </w:r>
      <w:proofErr w:type="spellEnd"/>
      <w:r w:rsidR="00317B4F" w:rsidRPr="00D15A99">
        <w:rPr>
          <w:rFonts w:ascii="Times New Roman" w:hAnsi="Times New Roman"/>
          <w:b/>
          <w:bCs/>
          <w:color w:val="000000" w:themeColor="text1"/>
          <w:sz w:val="24"/>
          <w:szCs w:val="24"/>
        </w:rPr>
        <w:t xml:space="preserve"> </w:t>
      </w:r>
      <w:proofErr w:type="spellStart"/>
      <w:r w:rsidR="00317B4F" w:rsidRPr="00D15A99">
        <w:rPr>
          <w:rFonts w:ascii="Times New Roman" w:hAnsi="Times New Roman"/>
          <w:b/>
          <w:bCs/>
          <w:color w:val="000000" w:themeColor="text1"/>
          <w:sz w:val="24"/>
          <w:szCs w:val="24"/>
        </w:rPr>
        <w:t>Analyst</w:t>
      </w:r>
      <w:proofErr w:type="spellEnd"/>
      <w:r w:rsidR="00317B4F"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v. </w:t>
      </w:r>
      <w:r w:rsidR="00317B4F" w:rsidRPr="00D15A99">
        <w:rPr>
          <w:rFonts w:ascii="Times New Roman" w:hAnsi="Times New Roman"/>
          <w:color w:val="000000" w:themeColor="text1"/>
          <w:sz w:val="24"/>
          <w:szCs w:val="24"/>
        </w:rPr>
        <w:t xml:space="preserve">11, </w:t>
      </w:r>
      <w:r>
        <w:rPr>
          <w:rFonts w:ascii="Times New Roman" w:hAnsi="Times New Roman"/>
          <w:color w:val="000000" w:themeColor="text1"/>
          <w:sz w:val="24"/>
          <w:szCs w:val="24"/>
        </w:rPr>
        <w:t xml:space="preserve">p. </w:t>
      </w:r>
      <w:r w:rsidR="00317B4F" w:rsidRPr="00D15A99">
        <w:rPr>
          <w:rFonts w:ascii="Times New Roman" w:hAnsi="Times New Roman"/>
          <w:color w:val="000000" w:themeColor="text1"/>
          <w:sz w:val="24"/>
          <w:szCs w:val="24"/>
        </w:rPr>
        <w:t>161-179</w:t>
      </w:r>
      <w:r>
        <w:rPr>
          <w:rFonts w:ascii="Times New Roman" w:hAnsi="Times New Roman"/>
          <w:color w:val="000000" w:themeColor="text1"/>
          <w:sz w:val="24"/>
          <w:szCs w:val="24"/>
        </w:rPr>
        <w:t>, 1988.</w:t>
      </w:r>
    </w:p>
    <w:p w14:paraId="4E5F1FE4" w14:textId="26835144" w:rsidR="00573348" w:rsidRDefault="00573348" w:rsidP="00D15A99">
      <w:pPr>
        <w:spacing w:after="0" w:line="240" w:lineRule="auto"/>
        <w:jc w:val="both"/>
        <w:rPr>
          <w:rFonts w:ascii="Times New Roman" w:hAnsi="Times New Roman"/>
          <w:color w:val="000000" w:themeColor="text1"/>
          <w:sz w:val="24"/>
          <w:szCs w:val="24"/>
        </w:rPr>
      </w:pPr>
    </w:p>
    <w:p w14:paraId="10A6CC10" w14:textId="77777777" w:rsidR="009A1ECC" w:rsidRPr="00D15A99" w:rsidRDefault="009A1ECC" w:rsidP="009A1ECC">
      <w:pPr>
        <w:pStyle w:val="NormalWeb"/>
        <w:spacing w:before="0" w:beforeAutospacing="0" w:after="0" w:afterAutospacing="0"/>
        <w:jc w:val="both"/>
      </w:pPr>
      <w:r w:rsidRPr="009A1ECC">
        <w:t>GOIÁS.</w:t>
      </w:r>
      <w:r>
        <w:rPr>
          <w:b/>
          <w:bCs/>
        </w:rPr>
        <w:t xml:space="preserve"> </w:t>
      </w:r>
      <w:r w:rsidRPr="00D15A99">
        <w:rPr>
          <w:b/>
          <w:bCs/>
        </w:rPr>
        <w:t>L</w:t>
      </w:r>
      <w:r>
        <w:rPr>
          <w:b/>
          <w:bCs/>
        </w:rPr>
        <w:t xml:space="preserve">ei </w:t>
      </w:r>
      <w:r w:rsidRPr="00D15A99">
        <w:rPr>
          <w:b/>
          <w:bCs/>
        </w:rPr>
        <w:t>n</w:t>
      </w:r>
      <w:r w:rsidRPr="00D15A99">
        <w:rPr>
          <w:b/>
          <w:bCs/>
          <w:vertAlign w:val="superscript"/>
        </w:rPr>
        <w:t>o</w:t>
      </w:r>
      <w:r w:rsidRPr="00D15A99">
        <w:rPr>
          <w:b/>
          <w:bCs/>
        </w:rPr>
        <w:t xml:space="preserve"> 18.025, de 22 de maio de 2013</w:t>
      </w:r>
      <w:r w:rsidRPr="00D15A99">
        <w:t>. Dispõe sobre o acesso a informações e a aplicação da Lei federal n</w:t>
      </w:r>
      <w:r w:rsidRPr="00D15A99">
        <w:rPr>
          <w:vertAlign w:val="superscript"/>
        </w:rPr>
        <w:t>o</w:t>
      </w:r>
      <w:r w:rsidRPr="00D15A99">
        <w:t xml:space="preserve"> 12.527, de 18 de novembro de 2011, no âmbito do Estado de Goiás, institui o serviço de informação ao cidadão e dá outras providências.</w:t>
      </w:r>
      <w:r>
        <w:t xml:space="preserve"> 2013.</w:t>
      </w:r>
      <w:r w:rsidRPr="00D15A99">
        <w:t xml:space="preserve"> </w:t>
      </w:r>
      <w:r>
        <w:t>Disponível em:</w:t>
      </w:r>
      <w:r w:rsidRPr="00D15A99">
        <w:t xml:space="preserve"> </w:t>
      </w:r>
      <w:hyperlink r:id="rId18" w:history="1">
        <w:r w:rsidRPr="001E068A">
          <w:rPr>
            <w:rStyle w:val="Hyperlink"/>
          </w:rPr>
          <w:t>https://legisla.casacivil.go.gov.br/pesquisa_legislacao/90142/lei-18025</w:t>
        </w:r>
      </w:hyperlink>
      <w:r>
        <w:t>. Acesso em: 2 set. 2020.</w:t>
      </w:r>
    </w:p>
    <w:p w14:paraId="16D15AFF" w14:textId="77777777" w:rsidR="009A1ECC" w:rsidRPr="00D15A99" w:rsidRDefault="009A1ECC" w:rsidP="00D15A99">
      <w:pPr>
        <w:spacing w:after="0" w:line="240" w:lineRule="auto"/>
        <w:jc w:val="both"/>
        <w:rPr>
          <w:rFonts w:ascii="Times New Roman" w:hAnsi="Times New Roman"/>
          <w:color w:val="000000" w:themeColor="text1"/>
          <w:sz w:val="24"/>
          <w:szCs w:val="24"/>
        </w:rPr>
      </w:pPr>
    </w:p>
    <w:p w14:paraId="653B37EB" w14:textId="32575C93" w:rsidR="006D6BEB" w:rsidRDefault="00A23C6B"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lang w:val="en-US"/>
        </w:rPr>
        <w:t>HAYES</w:t>
      </w:r>
      <w:r w:rsidR="00680DEF" w:rsidRPr="00D15A99">
        <w:rPr>
          <w:rFonts w:ascii="Times New Roman" w:hAnsi="Times New Roman"/>
          <w:color w:val="000000" w:themeColor="text1"/>
          <w:sz w:val="24"/>
          <w:szCs w:val="24"/>
          <w:lang w:val="en-US"/>
        </w:rPr>
        <w:t>, S. C.</w:t>
      </w:r>
      <w:r>
        <w:rPr>
          <w:rFonts w:ascii="Times New Roman" w:hAnsi="Times New Roman"/>
          <w:color w:val="000000" w:themeColor="text1"/>
          <w:sz w:val="24"/>
          <w:szCs w:val="24"/>
          <w:lang w:val="en-US"/>
        </w:rPr>
        <w:t>;</w:t>
      </w:r>
      <w:r w:rsidR="00680DEF" w:rsidRPr="00D15A99">
        <w:rPr>
          <w:rFonts w:ascii="Times New Roman" w:hAnsi="Times New Roman"/>
          <w:color w:val="000000" w:themeColor="text1"/>
          <w:sz w:val="24"/>
          <w:szCs w:val="24"/>
          <w:lang w:val="en-US"/>
        </w:rPr>
        <w:t xml:space="preserve"> </w:t>
      </w:r>
      <w:r w:rsidRPr="00D15A99">
        <w:rPr>
          <w:rFonts w:ascii="Times New Roman" w:hAnsi="Times New Roman"/>
          <w:color w:val="000000" w:themeColor="text1"/>
          <w:sz w:val="24"/>
          <w:szCs w:val="24"/>
          <w:lang w:val="en-US"/>
        </w:rPr>
        <w:t>ZETTLE</w:t>
      </w:r>
      <w:r w:rsidR="00680DEF" w:rsidRPr="00D15A99">
        <w:rPr>
          <w:rFonts w:ascii="Times New Roman" w:hAnsi="Times New Roman"/>
          <w:color w:val="000000" w:themeColor="text1"/>
          <w:sz w:val="24"/>
          <w:szCs w:val="24"/>
          <w:lang w:val="en-US"/>
        </w:rPr>
        <w:t>, R. D.</w:t>
      </w:r>
      <w:r>
        <w:rPr>
          <w:rFonts w:ascii="Times New Roman" w:hAnsi="Times New Roman"/>
          <w:color w:val="000000" w:themeColor="text1"/>
          <w:sz w:val="24"/>
          <w:szCs w:val="24"/>
          <w:lang w:val="en-US"/>
        </w:rPr>
        <w:t xml:space="preserve">; </w:t>
      </w:r>
      <w:r w:rsidRPr="00D15A99">
        <w:rPr>
          <w:rFonts w:ascii="Times New Roman" w:hAnsi="Times New Roman"/>
          <w:color w:val="000000" w:themeColor="text1"/>
          <w:sz w:val="24"/>
          <w:szCs w:val="24"/>
          <w:lang w:val="en-US"/>
        </w:rPr>
        <w:t>ROSENFARB</w:t>
      </w:r>
      <w:r w:rsidR="006D6BEB" w:rsidRPr="00D15A99">
        <w:rPr>
          <w:rFonts w:ascii="Times New Roman" w:hAnsi="Times New Roman"/>
          <w:color w:val="000000" w:themeColor="text1"/>
          <w:sz w:val="24"/>
          <w:szCs w:val="24"/>
          <w:lang w:val="en-US"/>
        </w:rPr>
        <w:t>, I</w:t>
      </w:r>
      <w:r w:rsidR="00680DEF" w:rsidRPr="00D15A99">
        <w:rPr>
          <w:rFonts w:ascii="Times New Roman" w:hAnsi="Times New Roman"/>
          <w:color w:val="000000" w:themeColor="text1"/>
          <w:sz w:val="24"/>
          <w:szCs w:val="24"/>
          <w:lang w:val="en-US"/>
        </w:rPr>
        <w:t>.</w:t>
      </w:r>
      <w:r w:rsidR="006D6BEB" w:rsidRPr="00D15A99">
        <w:rPr>
          <w:rFonts w:ascii="Times New Roman" w:hAnsi="Times New Roman"/>
          <w:color w:val="000000" w:themeColor="text1"/>
          <w:sz w:val="24"/>
          <w:szCs w:val="24"/>
          <w:lang w:val="en-US"/>
        </w:rPr>
        <w:t xml:space="preserve"> (1989). Rule-Following. In S. C. Hayes, </w:t>
      </w:r>
      <w:r w:rsidR="006D6BEB" w:rsidRPr="00D15A99">
        <w:rPr>
          <w:rFonts w:ascii="Times New Roman" w:hAnsi="Times New Roman"/>
          <w:b/>
          <w:bCs/>
          <w:color w:val="000000" w:themeColor="text1"/>
          <w:sz w:val="24"/>
          <w:szCs w:val="24"/>
          <w:lang w:val="en-US"/>
        </w:rPr>
        <w:t>Rule-governed behavior</w:t>
      </w:r>
      <w:r w:rsidR="006D6BEB" w:rsidRPr="00FB064B">
        <w:rPr>
          <w:rFonts w:ascii="Times New Roman" w:hAnsi="Times New Roman"/>
          <w:color w:val="000000" w:themeColor="text1"/>
          <w:sz w:val="24"/>
          <w:szCs w:val="24"/>
          <w:lang w:val="en-US"/>
        </w:rPr>
        <w:t>: cognition, contingencies, and instructional control.</w:t>
      </w:r>
      <w:r w:rsidR="006D6BEB" w:rsidRPr="00D15A99">
        <w:rPr>
          <w:rFonts w:ascii="Times New Roman" w:hAnsi="Times New Roman"/>
          <w:color w:val="000000" w:themeColor="text1"/>
          <w:sz w:val="24"/>
          <w:szCs w:val="24"/>
          <w:lang w:val="en-US"/>
        </w:rPr>
        <w:t xml:space="preserve"> </w:t>
      </w:r>
      <w:proofErr w:type="spellStart"/>
      <w:r w:rsidR="006D6BEB" w:rsidRPr="00D15A99">
        <w:rPr>
          <w:rFonts w:ascii="Times New Roman" w:hAnsi="Times New Roman"/>
          <w:color w:val="000000" w:themeColor="text1"/>
          <w:sz w:val="24"/>
          <w:szCs w:val="24"/>
        </w:rPr>
        <w:t>Plenum</w:t>
      </w:r>
      <w:proofErr w:type="spellEnd"/>
      <w:r w:rsidR="006D6BEB" w:rsidRPr="00D15A99">
        <w:rPr>
          <w:rFonts w:ascii="Times New Roman" w:hAnsi="Times New Roman"/>
          <w:color w:val="000000" w:themeColor="text1"/>
          <w:sz w:val="24"/>
          <w:szCs w:val="24"/>
        </w:rPr>
        <w:t xml:space="preserve"> Press, New York </w:t>
      </w:r>
      <w:proofErr w:type="spellStart"/>
      <w:r w:rsidR="006D6BEB" w:rsidRPr="00D15A99">
        <w:rPr>
          <w:rFonts w:ascii="Times New Roman" w:hAnsi="Times New Roman"/>
          <w:color w:val="000000" w:themeColor="text1"/>
          <w:sz w:val="24"/>
          <w:szCs w:val="24"/>
        </w:rPr>
        <w:t>and</w:t>
      </w:r>
      <w:proofErr w:type="spellEnd"/>
      <w:r w:rsidR="006D6BEB" w:rsidRPr="00D15A99">
        <w:rPr>
          <w:rFonts w:ascii="Times New Roman" w:hAnsi="Times New Roman"/>
          <w:color w:val="000000" w:themeColor="text1"/>
          <w:sz w:val="24"/>
          <w:szCs w:val="24"/>
        </w:rPr>
        <w:t xml:space="preserve"> London</w:t>
      </w:r>
      <w:r>
        <w:rPr>
          <w:rFonts w:ascii="Times New Roman" w:hAnsi="Times New Roman"/>
          <w:color w:val="000000" w:themeColor="text1"/>
          <w:sz w:val="24"/>
          <w:szCs w:val="24"/>
        </w:rPr>
        <w:t>, 1989.</w:t>
      </w:r>
    </w:p>
    <w:p w14:paraId="5C8738B6"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2CDD1904" w14:textId="7AC2C24B" w:rsidR="00214757" w:rsidRDefault="00A23C6B" w:rsidP="00D15A99">
      <w:pPr>
        <w:spacing w:after="0" w:line="240" w:lineRule="auto"/>
        <w:jc w:val="both"/>
        <w:rPr>
          <w:rFonts w:ascii="Times New Roman" w:hAnsi="Times New Roman"/>
          <w:sz w:val="24"/>
        </w:rPr>
      </w:pPr>
      <w:r w:rsidRPr="00D15A99">
        <w:rPr>
          <w:rFonts w:ascii="Times New Roman" w:hAnsi="Times New Roman"/>
          <w:sz w:val="24"/>
          <w:lang w:val="en-US"/>
        </w:rPr>
        <w:t>HÖFFNER</w:t>
      </w:r>
      <w:r w:rsidR="00214757" w:rsidRPr="00D15A99">
        <w:rPr>
          <w:rFonts w:ascii="Times New Roman" w:hAnsi="Times New Roman"/>
          <w:sz w:val="24"/>
          <w:lang w:val="en-US"/>
        </w:rPr>
        <w:t xml:space="preserve">, K.; </w:t>
      </w:r>
      <w:r w:rsidRPr="00D15A99">
        <w:rPr>
          <w:rFonts w:ascii="Times New Roman" w:hAnsi="Times New Roman"/>
          <w:sz w:val="24"/>
          <w:lang w:val="en-US"/>
        </w:rPr>
        <w:t>MARTIN</w:t>
      </w:r>
      <w:r w:rsidR="00680DEF" w:rsidRPr="00D15A99">
        <w:rPr>
          <w:rFonts w:ascii="Times New Roman" w:hAnsi="Times New Roman"/>
          <w:sz w:val="24"/>
          <w:lang w:val="en-US"/>
        </w:rPr>
        <w:t>, M.</w:t>
      </w:r>
      <w:r>
        <w:rPr>
          <w:rFonts w:ascii="Times New Roman" w:hAnsi="Times New Roman"/>
          <w:sz w:val="24"/>
          <w:lang w:val="en-US"/>
        </w:rPr>
        <w:t xml:space="preserve">; </w:t>
      </w:r>
      <w:r w:rsidRPr="00D15A99">
        <w:rPr>
          <w:rFonts w:ascii="Times New Roman" w:hAnsi="Times New Roman"/>
          <w:sz w:val="24"/>
          <w:lang w:val="en-US"/>
        </w:rPr>
        <w:t>LEHMANN</w:t>
      </w:r>
      <w:r w:rsidR="00214757" w:rsidRPr="00D15A99">
        <w:rPr>
          <w:rFonts w:ascii="Times New Roman" w:hAnsi="Times New Roman"/>
          <w:sz w:val="24"/>
          <w:lang w:val="en-US"/>
        </w:rPr>
        <w:t xml:space="preserve">, J. </w:t>
      </w:r>
      <w:proofErr w:type="spellStart"/>
      <w:r w:rsidR="00214757" w:rsidRPr="00D15A99">
        <w:rPr>
          <w:rFonts w:ascii="Times New Roman" w:hAnsi="Times New Roman"/>
          <w:sz w:val="24"/>
          <w:lang w:val="en-US"/>
        </w:rPr>
        <w:t>LinkedSpending</w:t>
      </w:r>
      <w:proofErr w:type="spellEnd"/>
      <w:r w:rsidR="00214757" w:rsidRPr="00D15A99">
        <w:rPr>
          <w:rFonts w:ascii="Times New Roman" w:hAnsi="Times New Roman"/>
          <w:sz w:val="24"/>
          <w:lang w:val="en-US"/>
        </w:rPr>
        <w:t xml:space="preserve">: </w:t>
      </w:r>
      <w:proofErr w:type="spellStart"/>
      <w:r w:rsidR="00214757" w:rsidRPr="00D15A99">
        <w:rPr>
          <w:rFonts w:ascii="Times New Roman" w:hAnsi="Times New Roman"/>
          <w:sz w:val="24"/>
          <w:lang w:val="en-US"/>
        </w:rPr>
        <w:t>OpenSpending</w:t>
      </w:r>
      <w:proofErr w:type="spellEnd"/>
      <w:r w:rsidR="00214757" w:rsidRPr="00D15A99">
        <w:rPr>
          <w:rFonts w:ascii="Times New Roman" w:hAnsi="Times New Roman"/>
          <w:sz w:val="24"/>
          <w:lang w:val="en-US"/>
        </w:rPr>
        <w:t xml:space="preserve"> becomes Linked Open Data. </w:t>
      </w:r>
      <w:proofErr w:type="spellStart"/>
      <w:r w:rsidR="00214757" w:rsidRPr="00D15A99">
        <w:rPr>
          <w:rFonts w:ascii="Times New Roman" w:hAnsi="Times New Roman"/>
          <w:b/>
          <w:bCs/>
          <w:sz w:val="24"/>
        </w:rPr>
        <w:t>Semantic</w:t>
      </w:r>
      <w:proofErr w:type="spellEnd"/>
      <w:r w:rsidR="00214757" w:rsidRPr="00D15A99">
        <w:rPr>
          <w:rFonts w:ascii="Times New Roman" w:hAnsi="Times New Roman"/>
          <w:b/>
          <w:bCs/>
          <w:sz w:val="24"/>
        </w:rPr>
        <w:t xml:space="preserve"> Web</w:t>
      </w:r>
      <w:r w:rsidR="00214757" w:rsidRPr="00D15A99">
        <w:rPr>
          <w:rFonts w:ascii="Times New Roman" w:hAnsi="Times New Roman"/>
          <w:sz w:val="24"/>
        </w:rPr>
        <w:t xml:space="preserve">, </w:t>
      </w:r>
      <w:r>
        <w:rPr>
          <w:rFonts w:ascii="Times New Roman" w:hAnsi="Times New Roman"/>
          <w:sz w:val="24"/>
        </w:rPr>
        <w:t>v.</w:t>
      </w:r>
      <w:r w:rsidR="007B44E3">
        <w:rPr>
          <w:rFonts w:ascii="Times New Roman" w:hAnsi="Times New Roman"/>
          <w:sz w:val="24"/>
        </w:rPr>
        <w:t xml:space="preserve"> </w:t>
      </w:r>
      <w:r w:rsidR="00214757" w:rsidRPr="00D15A99">
        <w:rPr>
          <w:rFonts w:ascii="Times New Roman" w:hAnsi="Times New Roman"/>
          <w:sz w:val="24"/>
        </w:rPr>
        <w:t>7</w:t>
      </w:r>
      <w:r>
        <w:rPr>
          <w:rFonts w:ascii="Times New Roman" w:hAnsi="Times New Roman"/>
          <w:sz w:val="24"/>
        </w:rPr>
        <w:t>, n.</w:t>
      </w:r>
      <w:r w:rsidR="007B44E3">
        <w:rPr>
          <w:rFonts w:ascii="Times New Roman" w:hAnsi="Times New Roman"/>
          <w:sz w:val="24"/>
        </w:rPr>
        <w:t xml:space="preserve"> </w:t>
      </w:r>
      <w:r>
        <w:rPr>
          <w:rFonts w:ascii="Times New Roman" w:hAnsi="Times New Roman"/>
          <w:sz w:val="24"/>
        </w:rPr>
        <w:t>1</w:t>
      </w:r>
      <w:r w:rsidR="00214757" w:rsidRPr="00D15A99">
        <w:rPr>
          <w:rFonts w:ascii="Times New Roman" w:hAnsi="Times New Roman"/>
          <w:sz w:val="24"/>
        </w:rPr>
        <w:t xml:space="preserve">, </w:t>
      </w:r>
      <w:r>
        <w:rPr>
          <w:rFonts w:ascii="Times New Roman" w:hAnsi="Times New Roman"/>
          <w:sz w:val="24"/>
        </w:rPr>
        <w:t xml:space="preserve">p. </w:t>
      </w:r>
      <w:r w:rsidR="00214757" w:rsidRPr="00D15A99">
        <w:rPr>
          <w:rFonts w:ascii="Times New Roman" w:hAnsi="Times New Roman"/>
          <w:sz w:val="24"/>
        </w:rPr>
        <w:t>95-104</w:t>
      </w:r>
      <w:r>
        <w:rPr>
          <w:rFonts w:ascii="Times New Roman" w:hAnsi="Times New Roman"/>
          <w:sz w:val="24"/>
        </w:rPr>
        <w:t>, 2016.</w:t>
      </w:r>
    </w:p>
    <w:p w14:paraId="2FFBA283" w14:textId="77777777" w:rsidR="00573348" w:rsidRPr="00D15A99" w:rsidRDefault="00573348" w:rsidP="00D15A99">
      <w:pPr>
        <w:spacing w:after="0" w:line="240" w:lineRule="auto"/>
        <w:jc w:val="both"/>
        <w:rPr>
          <w:rFonts w:ascii="Times New Roman" w:hAnsi="Times New Roman"/>
          <w:color w:val="000000" w:themeColor="text1"/>
          <w:sz w:val="28"/>
          <w:szCs w:val="24"/>
        </w:rPr>
      </w:pPr>
    </w:p>
    <w:p w14:paraId="5B03B25C" w14:textId="1CA4B7FA" w:rsidR="00214757" w:rsidRDefault="00A23C6B" w:rsidP="00D15A99">
      <w:pPr>
        <w:spacing w:after="0" w:line="240" w:lineRule="auto"/>
        <w:jc w:val="both"/>
        <w:rPr>
          <w:rFonts w:ascii="Times New Roman" w:eastAsia="Times New Roman" w:hAnsi="Times New Roman"/>
          <w:sz w:val="24"/>
          <w:szCs w:val="24"/>
          <w:lang w:eastAsia="pt-BR"/>
        </w:rPr>
      </w:pPr>
      <w:r w:rsidRPr="00D15A99">
        <w:rPr>
          <w:rFonts w:ascii="Times New Roman" w:eastAsia="Times New Roman" w:hAnsi="Times New Roman"/>
          <w:sz w:val="24"/>
          <w:szCs w:val="24"/>
          <w:lang w:eastAsia="pt-BR"/>
        </w:rPr>
        <w:t>KLEIN</w:t>
      </w:r>
      <w:r w:rsidR="00214757" w:rsidRPr="00D15A99">
        <w:rPr>
          <w:rFonts w:ascii="Times New Roman" w:eastAsia="Times New Roman" w:hAnsi="Times New Roman"/>
          <w:sz w:val="24"/>
          <w:szCs w:val="24"/>
          <w:lang w:eastAsia="pt-BR"/>
        </w:rPr>
        <w:t>, R. H.</w:t>
      </w:r>
      <w:r>
        <w:rPr>
          <w:rFonts w:ascii="Times New Roman" w:eastAsia="Times New Roman" w:hAnsi="Times New Roman"/>
          <w:sz w:val="24"/>
          <w:szCs w:val="24"/>
          <w:lang w:eastAsia="pt-BR"/>
        </w:rPr>
        <w:t>;</w:t>
      </w:r>
      <w:r w:rsidR="00214757"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KLEIN,</w:t>
      </w:r>
      <w:r w:rsidR="00214757" w:rsidRPr="00D15A99">
        <w:rPr>
          <w:rFonts w:ascii="Times New Roman" w:eastAsia="Times New Roman" w:hAnsi="Times New Roman"/>
          <w:sz w:val="24"/>
          <w:szCs w:val="24"/>
          <w:lang w:eastAsia="pt-BR"/>
        </w:rPr>
        <w:t xml:space="preserve"> D. C. B.</w:t>
      </w:r>
      <w:r>
        <w:rPr>
          <w:rFonts w:ascii="Times New Roman" w:eastAsia="Times New Roman" w:hAnsi="Times New Roman"/>
          <w:sz w:val="24"/>
          <w:szCs w:val="24"/>
          <w:lang w:eastAsia="pt-BR"/>
        </w:rPr>
        <w:t>;</w:t>
      </w:r>
      <w:r w:rsidR="00214757" w:rsidRPr="00D15A99">
        <w:rPr>
          <w:rFonts w:ascii="Times New Roman" w:eastAsia="Times New Roman" w:hAnsi="Times New Roman"/>
          <w:sz w:val="24"/>
          <w:szCs w:val="24"/>
          <w:lang w:eastAsia="pt-BR"/>
        </w:rPr>
        <w:t xml:space="preserve"> </w:t>
      </w:r>
      <w:r w:rsidRPr="00D15A99">
        <w:rPr>
          <w:rFonts w:ascii="Times New Roman" w:eastAsia="Times New Roman" w:hAnsi="Times New Roman"/>
          <w:sz w:val="24"/>
          <w:szCs w:val="24"/>
          <w:lang w:eastAsia="pt-BR"/>
        </w:rPr>
        <w:t>LUCIANO</w:t>
      </w:r>
      <w:r w:rsidR="00214757" w:rsidRPr="00D15A99">
        <w:rPr>
          <w:rFonts w:ascii="Times New Roman" w:eastAsia="Times New Roman" w:hAnsi="Times New Roman"/>
          <w:sz w:val="24"/>
          <w:szCs w:val="24"/>
          <w:lang w:eastAsia="pt-BR"/>
        </w:rPr>
        <w:t xml:space="preserve">, E. M. Identificação de mecanismos para a ampliação da transparência em portais de dados abertos: uma análise no contexto brasileiro. </w:t>
      </w:r>
      <w:r w:rsidR="00214757" w:rsidRPr="00D15A99">
        <w:rPr>
          <w:rFonts w:ascii="Times New Roman" w:eastAsia="Times New Roman" w:hAnsi="Times New Roman"/>
          <w:b/>
          <w:bCs/>
          <w:sz w:val="24"/>
          <w:szCs w:val="24"/>
          <w:lang w:eastAsia="pt-BR"/>
        </w:rPr>
        <w:t>Cad. EBAPE.BR</w:t>
      </w:r>
      <w:r w:rsidR="00214757" w:rsidRPr="00D15A99">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v.</w:t>
      </w:r>
      <w:r w:rsidR="007B44E3">
        <w:rPr>
          <w:rFonts w:ascii="Times New Roman" w:eastAsia="Times New Roman" w:hAnsi="Times New Roman"/>
          <w:sz w:val="24"/>
          <w:szCs w:val="24"/>
          <w:lang w:eastAsia="pt-BR"/>
        </w:rPr>
        <w:t xml:space="preserve"> </w:t>
      </w:r>
      <w:r w:rsidR="00214757" w:rsidRPr="00D15A99">
        <w:rPr>
          <w:rFonts w:ascii="Times New Roman" w:eastAsia="Times New Roman" w:hAnsi="Times New Roman"/>
          <w:sz w:val="24"/>
          <w:szCs w:val="24"/>
          <w:lang w:eastAsia="pt-BR"/>
        </w:rPr>
        <w:t>16</w:t>
      </w:r>
      <w:r>
        <w:rPr>
          <w:rFonts w:ascii="Times New Roman" w:eastAsia="Times New Roman" w:hAnsi="Times New Roman"/>
          <w:sz w:val="24"/>
          <w:szCs w:val="24"/>
          <w:lang w:eastAsia="pt-BR"/>
        </w:rPr>
        <w:t>, n.</w:t>
      </w:r>
      <w:r w:rsidR="007B44E3">
        <w:rPr>
          <w:rFonts w:ascii="Times New Roman" w:eastAsia="Times New Roman" w:hAnsi="Times New Roman"/>
          <w:sz w:val="24"/>
          <w:szCs w:val="24"/>
          <w:lang w:eastAsia="pt-BR"/>
        </w:rPr>
        <w:t xml:space="preserve"> </w:t>
      </w:r>
      <w:r w:rsidR="00214757" w:rsidRPr="00D15A99">
        <w:rPr>
          <w:rFonts w:ascii="Times New Roman" w:eastAsia="Times New Roman" w:hAnsi="Times New Roman"/>
          <w:sz w:val="24"/>
          <w:szCs w:val="24"/>
          <w:lang w:eastAsia="pt-BR"/>
        </w:rPr>
        <w:t xml:space="preserve">4, </w:t>
      </w:r>
      <w:r>
        <w:rPr>
          <w:rFonts w:ascii="Times New Roman" w:eastAsia="Times New Roman" w:hAnsi="Times New Roman"/>
          <w:sz w:val="24"/>
          <w:szCs w:val="24"/>
          <w:lang w:eastAsia="pt-BR"/>
        </w:rPr>
        <w:t xml:space="preserve">p. </w:t>
      </w:r>
      <w:r w:rsidR="00214757" w:rsidRPr="00D15A99">
        <w:rPr>
          <w:rFonts w:ascii="Times New Roman" w:eastAsia="Times New Roman" w:hAnsi="Times New Roman"/>
          <w:sz w:val="24"/>
          <w:szCs w:val="24"/>
          <w:lang w:eastAsia="pt-BR"/>
        </w:rPr>
        <w:t>692–715</w:t>
      </w:r>
      <w:r>
        <w:rPr>
          <w:rFonts w:ascii="Times New Roman" w:eastAsia="Times New Roman" w:hAnsi="Times New Roman"/>
          <w:sz w:val="24"/>
          <w:szCs w:val="24"/>
          <w:lang w:eastAsia="pt-BR"/>
        </w:rPr>
        <w:t xml:space="preserve">, </w:t>
      </w:r>
      <w:r w:rsidRPr="000E6520">
        <w:rPr>
          <w:rFonts w:ascii="Times New Roman" w:eastAsia="Times New Roman" w:hAnsi="Times New Roman"/>
          <w:sz w:val="24"/>
          <w:szCs w:val="24"/>
          <w:lang w:eastAsia="pt-BR"/>
        </w:rPr>
        <w:t>2018a</w:t>
      </w:r>
      <w:r w:rsidR="00214757" w:rsidRPr="00D15A99">
        <w:rPr>
          <w:rFonts w:ascii="Times New Roman" w:eastAsia="Times New Roman" w:hAnsi="Times New Roman"/>
          <w:sz w:val="24"/>
          <w:szCs w:val="24"/>
          <w:lang w:eastAsia="pt-BR"/>
        </w:rPr>
        <w:t>.</w:t>
      </w:r>
    </w:p>
    <w:p w14:paraId="1977CD36" w14:textId="77777777" w:rsidR="00573348" w:rsidRPr="00D15A99" w:rsidRDefault="00573348" w:rsidP="00D15A99">
      <w:pPr>
        <w:spacing w:after="0" w:line="240" w:lineRule="auto"/>
        <w:jc w:val="both"/>
        <w:rPr>
          <w:rFonts w:ascii="Times New Roman" w:eastAsia="Times New Roman" w:hAnsi="Times New Roman"/>
          <w:sz w:val="24"/>
          <w:szCs w:val="24"/>
          <w:lang w:eastAsia="pt-BR"/>
        </w:rPr>
      </w:pPr>
    </w:p>
    <w:p w14:paraId="2EC3E7F2" w14:textId="7632A7B1" w:rsidR="00B1105B" w:rsidRDefault="00A23C6B" w:rsidP="00D15A99">
      <w:pPr>
        <w:pStyle w:val="NormalWeb"/>
        <w:spacing w:before="0" w:beforeAutospacing="0" w:after="0" w:afterAutospacing="0"/>
        <w:jc w:val="both"/>
      </w:pPr>
      <w:r w:rsidRPr="00D15A99">
        <w:t>KLEIN</w:t>
      </w:r>
      <w:r w:rsidR="00B1105B" w:rsidRPr="00D15A99">
        <w:t>, R. H.</w:t>
      </w:r>
      <w:r>
        <w:t>;</w:t>
      </w:r>
      <w:r w:rsidR="00B1105B" w:rsidRPr="00D15A99">
        <w:t xml:space="preserve"> </w:t>
      </w:r>
      <w:r w:rsidRPr="00D15A99">
        <w:t>KLEIN</w:t>
      </w:r>
      <w:r w:rsidR="00B1105B" w:rsidRPr="00D15A99">
        <w:t>, D. C. B.</w:t>
      </w:r>
      <w:r>
        <w:t>;</w:t>
      </w:r>
      <w:r w:rsidR="00B1105B" w:rsidRPr="00D15A99">
        <w:t xml:space="preserve"> </w:t>
      </w:r>
      <w:r w:rsidRPr="00D15A99">
        <w:t>LUCIANO</w:t>
      </w:r>
      <w:r w:rsidR="00B1105B" w:rsidRPr="00D15A99">
        <w:t xml:space="preserve">, E. M. O Uso da </w:t>
      </w:r>
      <w:proofErr w:type="spellStart"/>
      <w:r w:rsidR="00B1105B" w:rsidRPr="00D15A99">
        <w:t>Accountability</w:t>
      </w:r>
      <w:proofErr w:type="spellEnd"/>
      <w:r w:rsidR="00B1105B" w:rsidRPr="00D15A99">
        <w:t xml:space="preserve"> </w:t>
      </w:r>
      <w:proofErr w:type="spellStart"/>
      <w:r w:rsidR="00B1105B" w:rsidRPr="00D15A99">
        <w:t>Theory</w:t>
      </w:r>
      <w:proofErr w:type="spellEnd"/>
      <w:r w:rsidR="00B1105B" w:rsidRPr="00D15A99">
        <w:t xml:space="preserve"> em Pesquisas sobre Transparência Governamental: Abordagens e Perspectivas. </w:t>
      </w:r>
      <w:r w:rsidR="00B1105B" w:rsidRPr="00D15A99">
        <w:rPr>
          <w:b/>
          <w:bCs/>
        </w:rPr>
        <w:t>Revista de Administração, Sociedade e Inovação</w:t>
      </w:r>
      <w:r w:rsidR="00B1105B" w:rsidRPr="00D15A99">
        <w:t xml:space="preserve">, </w:t>
      </w:r>
      <w:r>
        <w:t xml:space="preserve">v. </w:t>
      </w:r>
      <w:r w:rsidR="00B1105B" w:rsidRPr="00D15A99">
        <w:t>4</w:t>
      </w:r>
      <w:r>
        <w:t>, n</w:t>
      </w:r>
      <w:r w:rsidR="007B44E3">
        <w:t xml:space="preserve"> </w:t>
      </w:r>
      <w:r>
        <w:t>.</w:t>
      </w:r>
      <w:r w:rsidR="00B1105B" w:rsidRPr="00D15A99">
        <w:t xml:space="preserve">2, </w:t>
      </w:r>
      <w:r>
        <w:t xml:space="preserve">p. </w:t>
      </w:r>
      <w:r w:rsidR="00B1105B" w:rsidRPr="00D15A99">
        <w:t>204</w:t>
      </w:r>
      <w:r>
        <w:t>-</w:t>
      </w:r>
      <w:r w:rsidR="00B1105B" w:rsidRPr="00D15A99">
        <w:t>224</w:t>
      </w:r>
      <w:r>
        <w:t xml:space="preserve">, </w:t>
      </w:r>
      <w:r w:rsidRPr="000E6520">
        <w:t>2018b.</w:t>
      </w:r>
    </w:p>
    <w:p w14:paraId="70CC48FA" w14:textId="77777777" w:rsidR="00573348" w:rsidRPr="00D15A99" w:rsidRDefault="00573348" w:rsidP="00D15A99">
      <w:pPr>
        <w:pStyle w:val="NormalWeb"/>
        <w:spacing w:before="0" w:beforeAutospacing="0" w:after="0" w:afterAutospacing="0"/>
        <w:jc w:val="both"/>
      </w:pPr>
    </w:p>
    <w:p w14:paraId="10B1894E" w14:textId="10582225" w:rsidR="00A90D73" w:rsidRDefault="00A5354A"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lastRenderedPageBreak/>
        <w:t>KRONBAUER</w:t>
      </w:r>
      <w:r w:rsidR="00680DEF" w:rsidRPr="00D15A99">
        <w:rPr>
          <w:rFonts w:ascii="Times New Roman" w:hAnsi="Times New Roman"/>
          <w:color w:val="000000" w:themeColor="text1"/>
          <w:sz w:val="24"/>
          <w:szCs w:val="24"/>
        </w:rPr>
        <w:t>, C. A.</w:t>
      </w:r>
      <w:r>
        <w:rPr>
          <w:rFonts w:ascii="Times New Roman" w:hAnsi="Times New Roman"/>
          <w:color w:val="000000" w:themeColor="text1"/>
          <w:sz w:val="24"/>
          <w:szCs w:val="24"/>
        </w:rPr>
        <w:t>;</w:t>
      </w:r>
      <w:r w:rsidR="00680DEF" w:rsidRPr="00D15A99">
        <w:rPr>
          <w:rFonts w:ascii="Times New Roman" w:hAnsi="Times New Roman"/>
          <w:color w:val="000000" w:themeColor="text1"/>
          <w:sz w:val="24"/>
          <w:szCs w:val="24"/>
        </w:rPr>
        <w:t xml:space="preserve"> </w:t>
      </w:r>
      <w:r w:rsidRPr="00D15A99">
        <w:rPr>
          <w:rFonts w:ascii="Times New Roman" w:hAnsi="Times New Roman"/>
          <w:color w:val="000000" w:themeColor="text1"/>
          <w:sz w:val="24"/>
          <w:szCs w:val="24"/>
        </w:rPr>
        <w:t>KRÜGER</w:t>
      </w:r>
      <w:r w:rsidR="00680DEF" w:rsidRPr="00D15A99">
        <w:rPr>
          <w:rFonts w:ascii="Times New Roman" w:hAnsi="Times New Roman"/>
          <w:color w:val="000000" w:themeColor="text1"/>
          <w:sz w:val="24"/>
          <w:szCs w:val="24"/>
        </w:rPr>
        <w:t>, G. P.</w:t>
      </w:r>
      <w:r>
        <w:rPr>
          <w:rFonts w:ascii="Times New Roman" w:hAnsi="Times New Roman"/>
          <w:color w:val="000000" w:themeColor="text1"/>
          <w:sz w:val="24"/>
          <w:szCs w:val="24"/>
        </w:rPr>
        <w:t>;</w:t>
      </w:r>
      <w:r w:rsidR="00680DEF" w:rsidRPr="00D15A99">
        <w:rPr>
          <w:rFonts w:ascii="Times New Roman" w:hAnsi="Times New Roman"/>
          <w:color w:val="000000" w:themeColor="text1"/>
          <w:sz w:val="24"/>
          <w:szCs w:val="24"/>
        </w:rPr>
        <w:t xml:space="preserve"> </w:t>
      </w:r>
      <w:r w:rsidRPr="00D15A99">
        <w:rPr>
          <w:rFonts w:ascii="Times New Roman" w:hAnsi="Times New Roman"/>
          <w:color w:val="000000" w:themeColor="text1"/>
          <w:sz w:val="24"/>
          <w:szCs w:val="24"/>
        </w:rPr>
        <w:t>OTT</w:t>
      </w:r>
      <w:r w:rsidR="00680DEF" w:rsidRPr="00D15A99">
        <w:rPr>
          <w:rFonts w:ascii="Times New Roman" w:hAnsi="Times New Roman"/>
          <w:color w:val="000000" w:themeColor="text1"/>
          <w:sz w:val="24"/>
          <w:szCs w:val="24"/>
        </w:rPr>
        <w:t>, E.</w:t>
      </w:r>
      <w:r>
        <w:rPr>
          <w:rFonts w:ascii="Times New Roman" w:hAnsi="Times New Roman"/>
          <w:color w:val="000000" w:themeColor="text1"/>
          <w:sz w:val="24"/>
          <w:szCs w:val="24"/>
        </w:rPr>
        <w:t>;</w:t>
      </w:r>
      <w:r w:rsidR="00A90D73" w:rsidRPr="00D15A99">
        <w:rPr>
          <w:rFonts w:ascii="Times New Roman" w:hAnsi="Times New Roman"/>
          <w:color w:val="000000" w:themeColor="text1"/>
          <w:sz w:val="24"/>
          <w:szCs w:val="24"/>
        </w:rPr>
        <w:t xml:space="preserve"> </w:t>
      </w:r>
      <w:r w:rsidRPr="00D15A99">
        <w:rPr>
          <w:rFonts w:ascii="Times New Roman" w:hAnsi="Times New Roman"/>
          <w:color w:val="000000" w:themeColor="text1"/>
          <w:sz w:val="24"/>
          <w:szCs w:val="24"/>
        </w:rPr>
        <w:t>NASCIMENTO</w:t>
      </w:r>
      <w:r w:rsidR="00A90D73" w:rsidRPr="00D15A99">
        <w:rPr>
          <w:rFonts w:ascii="Times New Roman" w:hAnsi="Times New Roman"/>
          <w:color w:val="000000" w:themeColor="text1"/>
          <w:sz w:val="24"/>
          <w:szCs w:val="24"/>
        </w:rPr>
        <w:t xml:space="preserve">, C. J. Análise de inconsistências apontadas pelo TCE/RS em auditorias municipais: estudo do controle externo da gestão pública. </w:t>
      </w:r>
      <w:r w:rsidR="00A90D73" w:rsidRPr="00D15A99">
        <w:rPr>
          <w:rFonts w:ascii="Times New Roman" w:hAnsi="Times New Roman"/>
          <w:b/>
          <w:bCs/>
          <w:color w:val="000000" w:themeColor="text1"/>
          <w:sz w:val="24"/>
          <w:szCs w:val="24"/>
        </w:rPr>
        <w:t>Revista de Contabilidade e Organizações</w:t>
      </w:r>
      <w:r w:rsidR="00A90D73"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v. </w:t>
      </w:r>
      <w:r w:rsidR="00A90D73" w:rsidRPr="00D15A99">
        <w:rPr>
          <w:rFonts w:ascii="Times New Roman" w:hAnsi="Times New Roman"/>
          <w:color w:val="000000" w:themeColor="text1"/>
          <w:sz w:val="24"/>
          <w:szCs w:val="24"/>
        </w:rPr>
        <w:t>5</w:t>
      </w:r>
      <w:r>
        <w:rPr>
          <w:rFonts w:ascii="Times New Roman" w:hAnsi="Times New Roman"/>
          <w:color w:val="000000" w:themeColor="text1"/>
          <w:sz w:val="24"/>
          <w:szCs w:val="24"/>
        </w:rPr>
        <w:t>, n.</w:t>
      </w:r>
      <w:r w:rsidR="007B44E3">
        <w:rPr>
          <w:rFonts w:ascii="Times New Roman" w:hAnsi="Times New Roman"/>
          <w:color w:val="000000" w:themeColor="text1"/>
          <w:sz w:val="24"/>
          <w:szCs w:val="24"/>
        </w:rPr>
        <w:t xml:space="preserve"> </w:t>
      </w:r>
      <w:r w:rsidR="00A90D73" w:rsidRPr="00D15A99">
        <w:rPr>
          <w:rFonts w:ascii="Times New Roman" w:hAnsi="Times New Roman"/>
          <w:color w:val="000000" w:themeColor="text1"/>
          <w:sz w:val="24"/>
          <w:szCs w:val="24"/>
        </w:rPr>
        <w:t xml:space="preserve">12, </w:t>
      </w:r>
      <w:r>
        <w:rPr>
          <w:rFonts w:ascii="Times New Roman" w:hAnsi="Times New Roman"/>
          <w:color w:val="000000" w:themeColor="text1"/>
          <w:sz w:val="24"/>
          <w:szCs w:val="24"/>
        </w:rPr>
        <w:t xml:space="preserve">p. </w:t>
      </w:r>
      <w:r w:rsidR="00A90D73" w:rsidRPr="00D15A99">
        <w:rPr>
          <w:rFonts w:ascii="Times New Roman" w:hAnsi="Times New Roman"/>
          <w:color w:val="000000" w:themeColor="text1"/>
          <w:sz w:val="24"/>
          <w:szCs w:val="24"/>
        </w:rPr>
        <w:t>48–71</w:t>
      </w:r>
      <w:r>
        <w:rPr>
          <w:rFonts w:ascii="Times New Roman" w:hAnsi="Times New Roman"/>
          <w:color w:val="000000" w:themeColor="text1"/>
          <w:sz w:val="24"/>
          <w:szCs w:val="24"/>
        </w:rPr>
        <w:t>, 2011.</w:t>
      </w:r>
    </w:p>
    <w:p w14:paraId="116EB3F7"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1312789C" w14:textId="5EFAC16D" w:rsidR="00A90D73" w:rsidRDefault="00A5354A"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LAUREANO</w:t>
      </w:r>
      <w:r w:rsidR="00A90D73" w:rsidRPr="00D15A99">
        <w:rPr>
          <w:rFonts w:ascii="Times New Roman" w:hAnsi="Times New Roman"/>
          <w:color w:val="000000" w:themeColor="text1"/>
          <w:sz w:val="24"/>
          <w:szCs w:val="24"/>
        </w:rPr>
        <w:t xml:space="preserve">, R. V. </w:t>
      </w:r>
      <w:r w:rsidR="00A90D73" w:rsidRPr="00D15A99">
        <w:rPr>
          <w:rFonts w:ascii="Times New Roman" w:hAnsi="Times New Roman"/>
          <w:b/>
          <w:bCs/>
          <w:color w:val="000000" w:themeColor="text1"/>
          <w:sz w:val="24"/>
          <w:szCs w:val="24"/>
        </w:rPr>
        <w:t>Fatores institucionais explicativos das decisões do TCE-RS sobre as prestações de contas dos prefeitos municipais</w:t>
      </w:r>
      <w:r w:rsidR="00A90D73" w:rsidRPr="00D15A99">
        <w:rPr>
          <w:rFonts w:ascii="Times New Roman" w:hAnsi="Times New Roman"/>
          <w:color w:val="000000" w:themeColor="text1"/>
          <w:sz w:val="24"/>
          <w:szCs w:val="24"/>
        </w:rPr>
        <w:t xml:space="preserve">. Dissertação </w:t>
      </w:r>
      <w:r w:rsidR="00EA4442" w:rsidRPr="00D15A99">
        <w:rPr>
          <w:rFonts w:ascii="Times New Roman" w:hAnsi="Times New Roman"/>
          <w:color w:val="000000" w:themeColor="text1"/>
          <w:sz w:val="24"/>
          <w:szCs w:val="24"/>
        </w:rPr>
        <w:t xml:space="preserve">de </w:t>
      </w:r>
      <w:r w:rsidR="00A90D73" w:rsidRPr="00D15A99">
        <w:rPr>
          <w:rFonts w:ascii="Times New Roman" w:hAnsi="Times New Roman"/>
          <w:color w:val="000000" w:themeColor="text1"/>
          <w:sz w:val="24"/>
          <w:szCs w:val="24"/>
        </w:rPr>
        <w:t>Mestrado</w:t>
      </w:r>
      <w:r w:rsidR="003B26C6">
        <w:rPr>
          <w:rFonts w:ascii="Times New Roman" w:hAnsi="Times New Roman"/>
          <w:color w:val="000000" w:themeColor="text1"/>
          <w:sz w:val="24"/>
          <w:szCs w:val="24"/>
        </w:rPr>
        <w:t>,</w:t>
      </w:r>
      <w:r w:rsidR="00EA4442" w:rsidRPr="00D15A99">
        <w:rPr>
          <w:rFonts w:ascii="Times New Roman" w:hAnsi="Times New Roman"/>
          <w:color w:val="000000" w:themeColor="text1"/>
          <w:sz w:val="24"/>
          <w:szCs w:val="24"/>
        </w:rPr>
        <w:t xml:space="preserve"> </w:t>
      </w:r>
      <w:r w:rsidR="00A90D73" w:rsidRPr="00D15A99">
        <w:rPr>
          <w:rFonts w:ascii="Times New Roman" w:hAnsi="Times New Roman"/>
          <w:color w:val="000000" w:themeColor="text1"/>
          <w:sz w:val="24"/>
          <w:szCs w:val="24"/>
        </w:rPr>
        <w:t>Universidade do Vale do Rio dos Sinos, São Leopoldo</w:t>
      </w:r>
      <w:r w:rsidR="00EA4442" w:rsidRPr="00D15A99">
        <w:rPr>
          <w:rFonts w:ascii="Times New Roman" w:hAnsi="Times New Roman"/>
          <w:color w:val="000000" w:themeColor="text1"/>
          <w:sz w:val="24"/>
          <w:szCs w:val="24"/>
        </w:rPr>
        <w:t>, RS, Brasil</w:t>
      </w:r>
      <w:r>
        <w:rPr>
          <w:rFonts w:ascii="Times New Roman" w:hAnsi="Times New Roman"/>
          <w:color w:val="000000" w:themeColor="text1"/>
          <w:sz w:val="24"/>
          <w:szCs w:val="24"/>
        </w:rPr>
        <w:t>, 2016.</w:t>
      </w:r>
    </w:p>
    <w:p w14:paraId="54DB635D"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46A9C420" w14:textId="5D74AB83" w:rsidR="00A90D73" w:rsidRDefault="003B26C6"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lang w:val="en-US"/>
        </w:rPr>
        <w:t>LAUREANO</w:t>
      </w:r>
      <w:r w:rsidR="00A90D73" w:rsidRPr="00D15A99">
        <w:rPr>
          <w:rFonts w:ascii="Times New Roman" w:hAnsi="Times New Roman"/>
          <w:color w:val="000000" w:themeColor="text1"/>
          <w:sz w:val="24"/>
          <w:szCs w:val="24"/>
          <w:lang w:val="en-US"/>
        </w:rPr>
        <w:t>, R. V.</w:t>
      </w:r>
      <w:r>
        <w:rPr>
          <w:rFonts w:ascii="Times New Roman" w:hAnsi="Times New Roman"/>
          <w:color w:val="000000" w:themeColor="text1"/>
          <w:sz w:val="24"/>
          <w:szCs w:val="24"/>
          <w:lang w:val="en-US"/>
        </w:rPr>
        <w:t>;</w:t>
      </w:r>
      <w:r w:rsidR="00A90D73" w:rsidRPr="00D15A99">
        <w:rPr>
          <w:rFonts w:ascii="Times New Roman" w:hAnsi="Times New Roman"/>
          <w:color w:val="000000" w:themeColor="text1"/>
          <w:sz w:val="24"/>
          <w:szCs w:val="24"/>
          <w:lang w:val="en-US"/>
        </w:rPr>
        <w:t xml:space="preserve"> </w:t>
      </w:r>
      <w:r w:rsidRPr="00D15A99">
        <w:rPr>
          <w:rFonts w:ascii="Times New Roman" w:hAnsi="Times New Roman"/>
          <w:color w:val="000000" w:themeColor="text1"/>
          <w:sz w:val="24"/>
          <w:szCs w:val="24"/>
          <w:lang w:val="en-US"/>
        </w:rPr>
        <w:t>MACAGNAN</w:t>
      </w:r>
      <w:r w:rsidR="00A90D73" w:rsidRPr="00D15A99">
        <w:rPr>
          <w:rFonts w:ascii="Times New Roman" w:hAnsi="Times New Roman"/>
          <w:color w:val="000000" w:themeColor="text1"/>
          <w:sz w:val="24"/>
          <w:szCs w:val="24"/>
          <w:lang w:val="en-US"/>
        </w:rPr>
        <w:t xml:space="preserve">, C. B. </w:t>
      </w:r>
      <w:r w:rsidR="00A90D73" w:rsidRPr="00D15A99">
        <w:rPr>
          <w:rFonts w:ascii="Times New Roman" w:hAnsi="Times New Roman"/>
          <w:color w:val="000000" w:themeColor="text1"/>
          <w:sz w:val="24"/>
          <w:szCs w:val="24"/>
        </w:rPr>
        <w:t>Fatores institucionais explicativos para as decisões do TCE-RS sobre as prestações de contas dos prefeitos municipais.</w:t>
      </w:r>
      <w:r w:rsidR="002E13D5">
        <w:rPr>
          <w:rFonts w:ascii="Times New Roman" w:hAnsi="Times New Roman"/>
          <w:color w:val="000000" w:themeColor="text1"/>
          <w:sz w:val="24"/>
          <w:szCs w:val="24"/>
        </w:rPr>
        <w:t xml:space="preserve"> In:</w:t>
      </w:r>
      <w:r>
        <w:rPr>
          <w:rFonts w:ascii="Times New Roman" w:hAnsi="Times New Roman"/>
          <w:color w:val="000000" w:themeColor="text1"/>
          <w:sz w:val="24"/>
          <w:szCs w:val="24"/>
        </w:rPr>
        <w:t xml:space="preserve"> </w:t>
      </w:r>
      <w:r w:rsidRPr="00962747">
        <w:rPr>
          <w:rFonts w:ascii="Times New Roman" w:hAnsi="Times New Roman"/>
          <w:color w:val="000000" w:themeColor="text1"/>
          <w:sz w:val="24"/>
          <w:szCs w:val="24"/>
        </w:rPr>
        <w:t>XI</w:t>
      </w:r>
      <w:r w:rsidR="00A90D73" w:rsidRPr="00962747">
        <w:rPr>
          <w:rFonts w:ascii="Times New Roman" w:hAnsi="Times New Roman"/>
          <w:color w:val="000000" w:themeColor="text1"/>
          <w:sz w:val="24"/>
          <w:szCs w:val="24"/>
        </w:rPr>
        <w:t xml:space="preserve"> Congresso </w:t>
      </w:r>
      <w:proofErr w:type="spellStart"/>
      <w:r w:rsidR="00A90D73" w:rsidRPr="00962747">
        <w:rPr>
          <w:rFonts w:ascii="Times New Roman" w:hAnsi="Times New Roman"/>
          <w:color w:val="000000" w:themeColor="text1"/>
          <w:sz w:val="24"/>
          <w:szCs w:val="24"/>
        </w:rPr>
        <w:t>Anpcont</w:t>
      </w:r>
      <w:proofErr w:type="spellEnd"/>
      <w:r w:rsidR="00A90D73" w:rsidRPr="00962747">
        <w:rPr>
          <w:rFonts w:ascii="Times New Roman" w:hAnsi="Times New Roman"/>
          <w:color w:val="000000" w:themeColor="text1"/>
          <w:sz w:val="24"/>
          <w:szCs w:val="24"/>
        </w:rPr>
        <w:t>,</w:t>
      </w:r>
      <w:r w:rsidR="00A90D73" w:rsidRPr="00D15A99">
        <w:rPr>
          <w:rFonts w:ascii="Times New Roman" w:hAnsi="Times New Roman"/>
          <w:color w:val="000000" w:themeColor="text1"/>
          <w:sz w:val="24"/>
          <w:szCs w:val="24"/>
        </w:rPr>
        <w:t xml:space="preserve"> 2017, Belo Horizonte</w:t>
      </w:r>
      <w:r w:rsidR="00EA4442" w:rsidRPr="00D15A99">
        <w:rPr>
          <w:rFonts w:ascii="Times New Roman" w:hAnsi="Times New Roman"/>
          <w:color w:val="000000" w:themeColor="text1"/>
          <w:sz w:val="24"/>
          <w:szCs w:val="24"/>
        </w:rPr>
        <w:t>, MG</w:t>
      </w:r>
      <w:r w:rsidR="00962747">
        <w:rPr>
          <w:rFonts w:ascii="Times New Roman" w:hAnsi="Times New Roman"/>
          <w:color w:val="000000" w:themeColor="text1"/>
          <w:sz w:val="24"/>
          <w:szCs w:val="24"/>
        </w:rPr>
        <w:t xml:space="preserve">. </w:t>
      </w:r>
      <w:r w:rsidR="00962747" w:rsidRPr="00962747">
        <w:rPr>
          <w:rFonts w:ascii="Times New Roman" w:hAnsi="Times New Roman"/>
          <w:b/>
          <w:bCs/>
          <w:color w:val="000000" w:themeColor="text1"/>
          <w:sz w:val="24"/>
          <w:szCs w:val="24"/>
        </w:rPr>
        <w:t>Anais</w:t>
      </w:r>
      <w:r w:rsidR="00962747">
        <w:rPr>
          <w:rFonts w:ascii="Times New Roman" w:hAnsi="Times New Roman"/>
          <w:b/>
          <w:bCs/>
          <w:color w:val="000000" w:themeColor="text1"/>
          <w:sz w:val="24"/>
          <w:szCs w:val="24"/>
        </w:rPr>
        <w:t xml:space="preserve"> </w:t>
      </w:r>
      <w:r w:rsidR="00962747">
        <w:rPr>
          <w:rFonts w:ascii="Times New Roman" w:hAnsi="Times New Roman"/>
          <w:color w:val="000000" w:themeColor="text1"/>
          <w:sz w:val="24"/>
          <w:szCs w:val="24"/>
        </w:rPr>
        <w:t>[...]. Belo Horizonte, MG,</w:t>
      </w:r>
      <w:r w:rsidR="00EA4442" w:rsidRPr="00D15A99">
        <w:rPr>
          <w:rFonts w:ascii="Times New Roman" w:hAnsi="Times New Roman"/>
          <w:color w:val="000000" w:themeColor="text1"/>
          <w:sz w:val="24"/>
          <w:szCs w:val="24"/>
        </w:rPr>
        <w:t xml:space="preserve"> Brasil,</w:t>
      </w:r>
      <w:r>
        <w:rPr>
          <w:rFonts w:ascii="Times New Roman" w:hAnsi="Times New Roman"/>
          <w:color w:val="000000" w:themeColor="text1"/>
          <w:sz w:val="24"/>
          <w:szCs w:val="24"/>
        </w:rPr>
        <w:t xml:space="preserve"> 2017.</w:t>
      </w:r>
    </w:p>
    <w:p w14:paraId="3BA27EA6" w14:textId="77777777" w:rsidR="00573348" w:rsidRDefault="00573348" w:rsidP="00D15A99">
      <w:pPr>
        <w:spacing w:after="0" w:line="240" w:lineRule="auto"/>
        <w:jc w:val="both"/>
        <w:rPr>
          <w:rFonts w:ascii="Times New Roman" w:hAnsi="Times New Roman"/>
          <w:color w:val="000000" w:themeColor="text1"/>
          <w:sz w:val="24"/>
          <w:szCs w:val="24"/>
        </w:rPr>
      </w:pPr>
    </w:p>
    <w:p w14:paraId="23972856" w14:textId="2022AE33" w:rsidR="00680DEF" w:rsidRPr="00D15A99" w:rsidRDefault="003B26C6"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MATOS</w:t>
      </w:r>
      <w:r w:rsidR="00680DEF" w:rsidRPr="00D15A99">
        <w:rPr>
          <w:rFonts w:ascii="Times New Roman" w:hAnsi="Times New Roman"/>
          <w:color w:val="000000" w:themeColor="text1"/>
          <w:sz w:val="24"/>
          <w:szCs w:val="24"/>
        </w:rPr>
        <w:t xml:space="preserve">, M. A. Comportamento governado por regras. </w:t>
      </w:r>
      <w:r w:rsidR="00680DEF" w:rsidRPr="00D15A99">
        <w:rPr>
          <w:rFonts w:ascii="Times New Roman" w:hAnsi="Times New Roman"/>
          <w:b/>
          <w:bCs/>
          <w:color w:val="000000" w:themeColor="text1"/>
          <w:sz w:val="24"/>
          <w:szCs w:val="24"/>
        </w:rPr>
        <w:t>Revista Brasileira de Terapia Comportamental e Cognitiva,</w:t>
      </w:r>
      <w:r w:rsidR="00680DEF" w:rsidRPr="00D15A99">
        <w:rPr>
          <w:rFonts w:ascii="Times New Roman" w:hAnsi="Times New Roman"/>
          <w:color w:val="000000" w:themeColor="text1"/>
          <w:sz w:val="24"/>
          <w:szCs w:val="24"/>
        </w:rPr>
        <w:t xml:space="preserve"> </w:t>
      </w:r>
      <w:r>
        <w:rPr>
          <w:rFonts w:ascii="Times New Roman" w:hAnsi="Times New Roman"/>
          <w:color w:val="000000" w:themeColor="text1"/>
          <w:sz w:val="24"/>
          <w:szCs w:val="24"/>
        </w:rPr>
        <w:t>v.</w:t>
      </w:r>
      <w:r w:rsidR="00F81F35">
        <w:rPr>
          <w:rFonts w:ascii="Times New Roman" w:hAnsi="Times New Roman"/>
          <w:color w:val="000000" w:themeColor="text1"/>
          <w:sz w:val="24"/>
          <w:szCs w:val="24"/>
        </w:rPr>
        <w:t xml:space="preserve"> </w:t>
      </w:r>
      <w:r w:rsidR="00680DEF" w:rsidRPr="00D15A99">
        <w:rPr>
          <w:rFonts w:ascii="Times New Roman" w:hAnsi="Times New Roman"/>
          <w:color w:val="000000" w:themeColor="text1"/>
          <w:sz w:val="24"/>
          <w:szCs w:val="24"/>
        </w:rPr>
        <w:t>3</w:t>
      </w:r>
      <w:r>
        <w:rPr>
          <w:rFonts w:ascii="Times New Roman" w:hAnsi="Times New Roman"/>
          <w:color w:val="000000" w:themeColor="text1"/>
          <w:sz w:val="24"/>
          <w:szCs w:val="24"/>
        </w:rPr>
        <w:t>, n.</w:t>
      </w:r>
      <w:r w:rsidR="00F81F35">
        <w:rPr>
          <w:rFonts w:ascii="Times New Roman" w:hAnsi="Times New Roman"/>
          <w:color w:val="000000" w:themeColor="text1"/>
          <w:sz w:val="24"/>
          <w:szCs w:val="24"/>
        </w:rPr>
        <w:t xml:space="preserve"> </w:t>
      </w:r>
      <w:r w:rsidR="00680DEF" w:rsidRPr="00D15A99">
        <w:rPr>
          <w:rFonts w:ascii="Times New Roman" w:hAnsi="Times New Roman"/>
          <w:color w:val="000000" w:themeColor="text1"/>
          <w:sz w:val="24"/>
          <w:szCs w:val="24"/>
        </w:rPr>
        <w:t xml:space="preserve">2, </w:t>
      </w:r>
      <w:r>
        <w:rPr>
          <w:rFonts w:ascii="Times New Roman" w:hAnsi="Times New Roman"/>
          <w:color w:val="000000" w:themeColor="text1"/>
          <w:sz w:val="24"/>
          <w:szCs w:val="24"/>
        </w:rPr>
        <w:t xml:space="preserve">p. </w:t>
      </w:r>
      <w:r w:rsidR="00680DEF" w:rsidRPr="00D15A99">
        <w:rPr>
          <w:rFonts w:ascii="Times New Roman" w:hAnsi="Times New Roman"/>
          <w:color w:val="000000" w:themeColor="text1"/>
          <w:sz w:val="24"/>
          <w:szCs w:val="24"/>
        </w:rPr>
        <w:t>51-66</w:t>
      </w:r>
      <w:r>
        <w:rPr>
          <w:rFonts w:ascii="Times New Roman" w:hAnsi="Times New Roman"/>
          <w:color w:val="000000" w:themeColor="text1"/>
          <w:sz w:val="24"/>
          <w:szCs w:val="24"/>
        </w:rPr>
        <w:t>, 2001.</w:t>
      </w:r>
    </w:p>
    <w:p w14:paraId="5ED547E7" w14:textId="77777777" w:rsidR="00573348" w:rsidRDefault="00573348" w:rsidP="00D15A99">
      <w:pPr>
        <w:spacing w:after="0" w:line="240" w:lineRule="auto"/>
        <w:jc w:val="both"/>
        <w:rPr>
          <w:rFonts w:ascii="Times New Roman" w:hAnsi="Times New Roman"/>
          <w:color w:val="000000" w:themeColor="text1"/>
          <w:sz w:val="24"/>
          <w:szCs w:val="24"/>
        </w:rPr>
      </w:pPr>
    </w:p>
    <w:p w14:paraId="2F103AC7" w14:textId="63E18C6E" w:rsidR="00224121" w:rsidRPr="00D15A99" w:rsidRDefault="003B26C6"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MEYER</w:t>
      </w:r>
      <w:r w:rsidR="00224121" w:rsidRPr="00D15A99">
        <w:rPr>
          <w:rFonts w:ascii="Times New Roman" w:hAnsi="Times New Roman"/>
          <w:color w:val="000000" w:themeColor="text1"/>
          <w:sz w:val="24"/>
          <w:szCs w:val="24"/>
        </w:rPr>
        <w:t xml:space="preserve">, S. B. Regras e </w:t>
      </w:r>
      <w:proofErr w:type="spellStart"/>
      <w:r w:rsidR="00224121" w:rsidRPr="00D15A99">
        <w:rPr>
          <w:rFonts w:ascii="Times New Roman" w:hAnsi="Times New Roman"/>
          <w:color w:val="000000" w:themeColor="text1"/>
          <w:sz w:val="24"/>
          <w:szCs w:val="24"/>
        </w:rPr>
        <w:t>auto-regras</w:t>
      </w:r>
      <w:proofErr w:type="spellEnd"/>
      <w:r w:rsidR="00224121" w:rsidRPr="00D15A99">
        <w:rPr>
          <w:rFonts w:ascii="Times New Roman" w:hAnsi="Times New Roman"/>
          <w:color w:val="000000" w:themeColor="text1"/>
          <w:sz w:val="24"/>
          <w:szCs w:val="24"/>
        </w:rPr>
        <w:t xml:space="preserve"> no laboratório e na clínica. In</w:t>
      </w:r>
      <w:r>
        <w:rPr>
          <w:rFonts w:ascii="Times New Roman" w:hAnsi="Times New Roman"/>
          <w:color w:val="000000" w:themeColor="text1"/>
          <w:sz w:val="24"/>
          <w:szCs w:val="24"/>
        </w:rPr>
        <w:t>:</w:t>
      </w:r>
      <w:r w:rsidR="00224121" w:rsidRPr="00D15A99">
        <w:rPr>
          <w:rFonts w:ascii="Times New Roman" w:hAnsi="Times New Roman"/>
          <w:color w:val="000000" w:themeColor="text1"/>
          <w:sz w:val="24"/>
          <w:szCs w:val="24"/>
        </w:rPr>
        <w:t xml:space="preserve"> </w:t>
      </w:r>
      <w:r w:rsidRPr="00D15A99">
        <w:rPr>
          <w:rFonts w:ascii="Times New Roman" w:hAnsi="Times New Roman"/>
          <w:color w:val="000000" w:themeColor="text1"/>
          <w:sz w:val="24"/>
          <w:szCs w:val="24"/>
        </w:rPr>
        <w:t>ABREU-RODRIGUES</w:t>
      </w:r>
      <w:r w:rsidR="00224121" w:rsidRPr="00D15A99">
        <w:rPr>
          <w:rFonts w:ascii="Times New Roman" w:hAnsi="Times New Roman"/>
          <w:color w:val="000000" w:themeColor="text1"/>
          <w:sz w:val="24"/>
          <w:szCs w:val="24"/>
        </w:rPr>
        <w:t>, J.</w:t>
      </w:r>
      <w:r>
        <w:rPr>
          <w:rFonts w:ascii="Times New Roman" w:hAnsi="Times New Roman"/>
          <w:color w:val="000000" w:themeColor="text1"/>
          <w:sz w:val="24"/>
          <w:szCs w:val="24"/>
        </w:rPr>
        <w:t>;</w:t>
      </w:r>
      <w:r w:rsidR="00EA4442" w:rsidRPr="00D15A99">
        <w:rPr>
          <w:rFonts w:ascii="Times New Roman" w:hAnsi="Times New Roman"/>
          <w:color w:val="000000" w:themeColor="text1"/>
          <w:sz w:val="24"/>
          <w:szCs w:val="24"/>
        </w:rPr>
        <w:t xml:space="preserve"> </w:t>
      </w:r>
      <w:r w:rsidRPr="00D15A99">
        <w:rPr>
          <w:rFonts w:ascii="Times New Roman" w:hAnsi="Times New Roman"/>
          <w:color w:val="000000" w:themeColor="text1"/>
          <w:sz w:val="24"/>
          <w:szCs w:val="24"/>
        </w:rPr>
        <w:t>RIBEIRO</w:t>
      </w:r>
      <w:r w:rsidR="00224121" w:rsidRPr="00D15A99">
        <w:rPr>
          <w:rFonts w:ascii="Times New Roman" w:hAnsi="Times New Roman"/>
          <w:color w:val="000000" w:themeColor="text1"/>
          <w:sz w:val="24"/>
          <w:szCs w:val="24"/>
        </w:rPr>
        <w:t>, M. R. (</w:t>
      </w:r>
      <w:proofErr w:type="spellStart"/>
      <w:r w:rsidR="00224121" w:rsidRPr="00D15A99">
        <w:rPr>
          <w:rFonts w:ascii="Times New Roman" w:hAnsi="Times New Roman"/>
          <w:color w:val="000000" w:themeColor="text1"/>
          <w:sz w:val="24"/>
          <w:szCs w:val="24"/>
        </w:rPr>
        <w:t>Orgs</w:t>
      </w:r>
      <w:proofErr w:type="spellEnd"/>
      <w:r w:rsidR="00224121" w:rsidRPr="00D15A99">
        <w:rPr>
          <w:rFonts w:ascii="Times New Roman" w:hAnsi="Times New Roman"/>
          <w:color w:val="000000" w:themeColor="text1"/>
          <w:sz w:val="24"/>
          <w:szCs w:val="24"/>
        </w:rPr>
        <w:t xml:space="preserve">.). </w:t>
      </w:r>
      <w:r w:rsidR="00224121" w:rsidRPr="00D15A99">
        <w:rPr>
          <w:rFonts w:ascii="Times New Roman" w:hAnsi="Times New Roman"/>
          <w:b/>
          <w:bCs/>
          <w:color w:val="000000" w:themeColor="text1"/>
          <w:sz w:val="24"/>
          <w:szCs w:val="24"/>
        </w:rPr>
        <w:t>Análise do comportamento: pesquisa, teoria e aplicação</w:t>
      </w:r>
      <w:r w:rsidR="00224121" w:rsidRPr="00D15A99">
        <w:rPr>
          <w:rFonts w:ascii="Times New Roman" w:hAnsi="Times New Roman"/>
          <w:color w:val="000000" w:themeColor="text1"/>
          <w:sz w:val="24"/>
          <w:szCs w:val="24"/>
        </w:rPr>
        <w:t xml:space="preserve">. Porto Alegre: </w:t>
      </w:r>
      <w:proofErr w:type="spellStart"/>
      <w:r w:rsidR="00224121" w:rsidRPr="00D15A99">
        <w:rPr>
          <w:rFonts w:ascii="Times New Roman" w:hAnsi="Times New Roman"/>
          <w:color w:val="000000" w:themeColor="text1"/>
          <w:sz w:val="24"/>
          <w:szCs w:val="24"/>
        </w:rPr>
        <w:t>Artimed</w:t>
      </w:r>
      <w:proofErr w:type="spellEnd"/>
      <w:r>
        <w:rPr>
          <w:rFonts w:ascii="Times New Roman" w:hAnsi="Times New Roman"/>
          <w:color w:val="000000" w:themeColor="text1"/>
          <w:sz w:val="24"/>
          <w:szCs w:val="24"/>
        </w:rPr>
        <w:t>, 2007.</w:t>
      </w:r>
    </w:p>
    <w:p w14:paraId="6D140593" w14:textId="77777777" w:rsidR="00573348" w:rsidRDefault="00573348" w:rsidP="00D15A99">
      <w:pPr>
        <w:pStyle w:val="NormalWeb"/>
        <w:spacing w:before="0" w:beforeAutospacing="0" w:after="0" w:afterAutospacing="0"/>
        <w:jc w:val="both"/>
      </w:pPr>
    </w:p>
    <w:p w14:paraId="0720ABD2" w14:textId="6D819C50" w:rsidR="00AF5FEE" w:rsidRDefault="003B26C6" w:rsidP="00D15A99">
      <w:pPr>
        <w:pStyle w:val="NormalWeb"/>
        <w:spacing w:before="0" w:beforeAutospacing="0" w:after="0" w:afterAutospacing="0"/>
        <w:jc w:val="both"/>
      </w:pPr>
      <w:r w:rsidRPr="00D15A99">
        <w:t>MEDEIROS, S. A.</w:t>
      </w:r>
      <w:r>
        <w:t>;</w:t>
      </w:r>
      <w:r w:rsidRPr="00D15A99">
        <w:t xml:space="preserve"> MAGALHÃES, R.</w:t>
      </w:r>
      <w:r>
        <w:t>;</w:t>
      </w:r>
      <w:r w:rsidRPr="00D15A99">
        <w:t xml:space="preserve"> PEREIRA</w:t>
      </w:r>
      <w:r w:rsidR="00AF5FEE" w:rsidRPr="00D15A99">
        <w:t xml:space="preserve">, J. R. Lei de acesso à informação: em busca da transparência e do combate à corrupção. </w:t>
      </w:r>
      <w:r w:rsidR="00AF5FEE" w:rsidRPr="00D15A99">
        <w:rPr>
          <w:b/>
          <w:bCs/>
        </w:rPr>
        <w:t>Informação &amp; Informação</w:t>
      </w:r>
      <w:r w:rsidR="00AF5FEE" w:rsidRPr="00D15A99">
        <w:t xml:space="preserve">, </w:t>
      </w:r>
      <w:r>
        <w:t xml:space="preserve">v. </w:t>
      </w:r>
      <w:r w:rsidR="00AF5FEE" w:rsidRPr="00D15A99">
        <w:t>19</w:t>
      </w:r>
      <w:r>
        <w:t xml:space="preserve">, n. </w:t>
      </w:r>
      <w:r w:rsidR="00AF5FEE" w:rsidRPr="00D15A99">
        <w:t>1,</w:t>
      </w:r>
      <w:r>
        <w:t xml:space="preserve"> p.</w:t>
      </w:r>
      <w:r w:rsidR="00AF5FEE" w:rsidRPr="00D15A99">
        <w:t xml:space="preserve"> 55–75</w:t>
      </w:r>
      <w:r>
        <w:t>, 2014</w:t>
      </w:r>
      <w:r w:rsidR="00AF5FEE" w:rsidRPr="00D15A99">
        <w:t xml:space="preserve">. </w:t>
      </w:r>
      <w:hyperlink r:id="rId19" w:history="1">
        <w:r w:rsidR="00573348" w:rsidRPr="001E068A">
          <w:rPr>
            <w:rStyle w:val="Hyperlink"/>
          </w:rPr>
          <w:t>http://doi.org/10.5433/1981-8920.2014v19n1p55</w:t>
        </w:r>
      </w:hyperlink>
    </w:p>
    <w:p w14:paraId="4EE39FFD" w14:textId="77777777" w:rsidR="00573348" w:rsidRDefault="00573348" w:rsidP="00D15A99">
      <w:pPr>
        <w:spacing w:after="0" w:line="240" w:lineRule="auto"/>
        <w:jc w:val="both"/>
        <w:rPr>
          <w:rFonts w:ascii="Times New Roman" w:eastAsia="Times New Roman" w:hAnsi="Times New Roman"/>
          <w:sz w:val="24"/>
          <w:szCs w:val="24"/>
          <w:lang w:eastAsia="pt-BR"/>
        </w:rPr>
      </w:pPr>
    </w:p>
    <w:p w14:paraId="0E3116A1" w14:textId="20569556" w:rsidR="005A2019" w:rsidRDefault="003B26C6" w:rsidP="00D15A99">
      <w:pPr>
        <w:spacing w:after="0" w:line="240" w:lineRule="auto"/>
        <w:jc w:val="both"/>
        <w:rPr>
          <w:rFonts w:ascii="Times New Roman" w:eastAsia="Times New Roman" w:hAnsi="Times New Roman"/>
          <w:sz w:val="24"/>
          <w:szCs w:val="24"/>
          <w:lang w:eastAsia="pt-BR"/>
        </w:rPr>
      </w:pPr>
      <w:r w:rsidRPr="00D15A99">
        <w:rPr>
          <w:rFonts w:ascii="Times New Roman" w:eastAsia="Times New Roman" w:hAnsi="Times New Roman"/>
          <w:sz w:val="24"/>
          <w:szCs w:val="24"/>
          <w:lang w:eastAsia="pt-BR"/>
        </w:rPr>
        <w:t>MICHENER, G.</w:t>
      </w:r>
      <w:r w:rsidR="00996A3F">
        <w:rPr>
          <w:rFonts w:ascii="Times New Roman" w:eastAsia="Times New Roman" w:hAnsi="Times New Roman"/>
          <w:sz w:val="24"/>
          <w:szCs w:val="24"/>
          <w:lang w:eastAsia="pt-BR"/>
        </w:rPr>
        <w:t>;</w:t>
      </w:r>
      <w:r w:rsidRPr="00D15A99">
        <w:rPr>
          <w:rFonts w:ascii="Times New Roman" w:eastAsia="Times New Roman" w:hAnsi="Times New Roman"/>
          <w:sz w:val="24"/>
          <w:szCs w:val="24"/>
          <w:lang w:eastAsia="pt-BR"/>
        </w:rPr>
        <w:t xml:space="preserve"> CONTRERAS, E.</w:t>
      </w:r>
      <w:r w:rsidR="00996A3F">
        <w:rPr>
          <w:rFonts w:ascii="Times New Roman" w:eastAsia="Times New Roman" w:hAnsi="Times New Roman"/>
          <w:sz w:val="24"/>
          <w:szCs w:val="24"/>
          <w:lang w:eastAsia="pt-BR"/>
        </w:rPr>
        <w:t>;</w:t>
      </w:r>
      <w:r w:rsidRPr="00D15A99">
        <w:rPr>
          <w:rFonts w:ascii="Times New Roman" w:eastAsia="Times New Roman" w:hAnsi="Times New Roman"/>
          <w:sz w:val="24"/>
          <w:szCs w:val="24"/>
          <w:lang w:eastAsia="pt-BR"/>
        </w:rPr>
        <w:t xml:space="preserve"> NISKIER</w:t>
      </w:r>
      <w:r w:rsidR="005A2019" w:rsidRPr="00D15A99">
        <w:rPr>
          <w:rFonts w:ascii="Times New Roman" w:eastAsia="Times New Roman" w:hAnsi="Times New Roman"/>
          <w:sz w:val="24"/>
          <w:szCs w:val="24"/>
          <w:lang w:eastAsia="pt-BR"/>
        </w:rPr>
        <w:t xml:space="preserve">, I. Da opacidade à transparência? Avaliando a Lei de Acesso à Informação no Brasil cinco anos depois. </w:t>
      </w:r>
      <w:r w:rsidR="005A2019" w:rsidRPr="00D15A99">
        <w:rPr>
          <w:rFonts w:ascii="Times New Roman" w:eastAsia="Times New Roman" w:hAnsi="Times New Roman"/>
          <w:b/>
          <w:bCs/>
          <w:sz w:val="24"/>
          <w:szCs w:val="24"/>
          <w:lang w:eastAsia="pt-BR"/>
        </w:rPr>
        <w:t>Revista de Administração Pública</w:t>
      </w:r>
      <w:r w:rsidR="005A2019" w:rsidRPr="00D15A99">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v.</w:t>
      </w:r>
      <w:r w:rsidR="00F81F35">
        <w:rPr>
          <w:rFonts w:ascii="Times New Roman" w:eastAsia="Times New Roman" w:hAnsi="Times New Roman"/>
          <w:sz w:val="24"/>
          <w:szCs w:val="24"/>
          <w:lang w:eastAsia="pt-BR"/>
        </w:rPr>
        <w:t xml:space="preserve"> </w:t>
      </w:r>
      <w:r w:rsidR="005A2019" w:rsidRPr="00D15A99">
        <w:rPr>
          <w:rFonts w:ascii="Times New Roman" w:eastAsia="Times New Roman" w:hAnsi="Times New Roman"/>
          <w:sz w:val="24"/>
          <w:szCs w:val="24"/>
          <w:lang w:eastAsia="pt-BR"/>
        </w:rPr>
        <w:t>52</w:t>
      </w:r>
      <w:r>
        <w:rPr>
          <w:rFonts w:ascii="Times New Roman" w:eastAsia="Times New Roman" w:hAnsi="Times New Roman"/>
          <w:sz w:val="24"/>
          <w:szCs w:val="24"/>
          <w:lang w:eastAsia="pt-BR"/>
        </w:rPr>
        <w:t>, n.</w:t>
      </w:r>
      <w:r w:rsidR="00F81F35">
        <w:rPr>
          <w:rFonts w:ascii="Times New Roman" w:eastAsia="Times New Roman" w:hAnsi="Times New Roman"/>
          <w:sz w:val="24"/>
          <w:szCs w:val="24"/>
          <w:lang w:eastAsia="pt-BR"/>
        </w:rPr>
        <w:t xml:space="preserve"> </w:t>
      </w:r>
      <w:r w:rsidR="005A2019" w:rsidRPr="00D15A99">
        <w:rPr>
          <w:rFonts w:ascii="Times New Roman" w:eastAsia="Times New Roman" w:hAnsi="Times New Roman"/>
          <w:sz w:val="24"/>
          <w:szCs w:val="24"/>
          <w:lang w:eastAsia="pt-BR"/>
        </w:rPr>
        <w:t>4,</w:t>
      </w:r>
      <w:r>
        <w:rPr>
          <w:rFonts w:ascii="Times New Roman" w:eastAsia="Times New Roman" w:hAnsi="Times New Roman"/>
          <w:sz w:val="24"/>
          <w:szCs w:val="24"/>
          <w:lang w:eastAsia="pt-BR"/>
        </w:rPr>
        <w:t xml:space="preserve"> p.</w:t>
      </w:r>
      <w:r w:rsidR="005A2019" w:rsidRPr="00D15A99">
        <w:rPr>
          <w:rFonts w:ascii="Times New Roman" w:eastAsia="Times New Roman" w:hAnsi="Times New Roman"/>
          <w:sz w:val="24"/>
          <w:szCs w:val="24"/>
          <w:lang w:eastAsia="pt-BR"/>
        </w:rPr>
        <w:t xml:space="preserve"> 610–629</w:t>
      </w:r>
      <w:r>
        <w:rPr>
          <w:rFonts w:ascii="Times New Roman" w:eastAsia="Times New Roman" w:hAnsi="Times New Roman"/>
          <w:sz w:val="24"/>
          <w:szCs w:val="24"/>
          <w:lang w:eastAsia="pt-BR"/>
        </w:rPr>
        <w:t>, 2018.</w:t>
      </w:r>
      <w:r w:rsidR="005A2019" w:rsidRPr="00D15A99">
        <w:rPr>
          <w:rFonts w:ascii="Times New Roman" w:eastAsia="Times New Roman" w:hAnsi="Times New Roman"/>
          <w:sz w:val="24"/>
          <w:szCs w:val="24"/>
          <w:lang w:eastAsia="pt-BR"/>
        </w:rPr>
        <w:t xml:space="preserve"> </w:t>
      </w:r>
      <w:hyperlink r:id="rId20" w:history="1">
        <w:r w:rsidR="00573348" w:rsidRPr="001E068A">
          <w:rPr>
            <w:rStyle w:val="Hyperlink"/>
            <w:rFonts w:ascii="Times New Roman" w:eastAsia="Times New Roman" w:hAnsi="Times New Roman"/>
            <w:sz w:val="24"/>
            <w:szCs w:val="24"/>
            <w:lang w:eastAsia="pt-BR"/>
          </w:rPr>
          <w:t>http://doi.org/10.1590/0034-761220170289</w:t>
        </w:r>
      </w:hyperlink>
    </w:p>
    <w:p w14:paraId="25CC4CB9" w14:textId="77777777" w:rsidR="00573348" w:rsidRPr="00D15A99" w:rsidRDefault="00573348" w:rsidP="00D15A99">
      <w:pPr>
        <w:spacing w:after="0" w:line="240" w:lineRule="auto"/>
        <w:jc w:val="both"/>
        <w:rPr>
          <w:rFonts w:ascii="Times New Roman" w:eastAsia="Times New Roman" w:hAnsi="Times New Roman"/>
          <w:sz w:val="24"/>
          <w:szCs w:val="24"/>
          <w:lang w:eastAsia="pt-BR"/>
        </w:rPr>
      </w:pPr>
    </w:p>
    <w:p w14:paraId="02F7B80C" w14:textId="7DE42193" w:rsidR="00224121" w:rsidRDefault="003B26C6"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MOREIRA, M. B.</w:t>
      </w:r>
      <w:r>
        <w:rPr>
          <w:rFonts w:ascii="Times New Roman" w:hAnsi="Times New Roman"/>
          <w:color w:val="000000" w:themeColor="text1"/>
          <w:sz w:val="24"/>
          <w:szCs w:val="24"/>
        </w:rPr>
        <w:t>;</w:t>
      </w:r>
      <w:r w:rsidRPr="00D15A99">
        <w:rPr>
          <w:rFonts w:ascii="Times New Roman" w:hAnsi="Times New Roman"/>
          <w:color w:val="000000" w:themeColor="text1"/>
          <w:sz w:val="24"/>
          <w:szCs w:val="24"/>
        </w:rPr>
        <w:t xml:space="preserve"> MEDEIROS, C. A</w:t>
      </w:r>
      <w:r w:rsidR="00224121" w:rsidRPr="00D15A99">
        <w:rPr>
          <w:rFonts w:ascii="Times New Roman" w:hAnsi="Times New Roman"/>
          <w:color w:val="000000" w:themeColor="text1"/>
          <w:sz w:val="24"/>
          <w:szCs w:val="24"/>
        </w:rPr>
        <w:t xml:space="preserve">. </w:t>
      </w:r>
      <w:r w:rsidR="00680DEF" w:rsidRPr="00D15A99">
        <w:rPr>
          <w:rFonts w:ascii="Times New Roman" w:hAnsi="Times New Roman"/>
          <w:color w:val="000000" w:themeColor="text1"/>
          <w:sz w:val="24"/>
          <w:szCs w:val="24"/>
        </w:rPr>
        <w:t>d</w:t>
      </w:r>
      <w:r w:rsidR="00003FD0" w:rsidRPr="00D15A99">
        <w:rPr>
          <w:rFonts w:ascii="Times New Roman" w:hAnsi="Times New Roman"/>
          <w:color w:val="000000" w:themeColor="text1"/>
          <w:sz w:val="24"/>
          <w:szCs w:val="24"/>
        </w:rPr>
        <w:t>e</w:t>
      </w:r>
      <w:r w:rsidR="00224121" w:rsidRPr="00D15A99">
        <w:rPr>
          <w:rFonts w:ascii="Times New Roman" w:hAnsi="Times New Roman"/>
          <w:color w:val="000000" w:themeColor="text1"/>
          <w:sz w:val="24"/>
          <w:szCs w:val="24"/>
        </w:rPr>
        <w:t xml:space="preserve">. </w:t>
      </w:r>
      <w:r w:rsidR="00224121" w:rsidRPr="00D15A99">
        <w:rPr>
          <w:rFonts w:ascii="Times New Roman" w:hAnsi="Times New Roman"/>
          <w:b/>
          <w:bCs/>
          <w:color w:val="000000" w:themeColor="text1"/>
          <w:sz w:val="24"/>
          <w:szCs w:val="24"/>
        </w:rPr>
        <w:t>Princípios básicos de análise do comportamento</w:t>
      </w:r>
      <w:r w:rsidR="00224121" w:rsidRPr="00D15A99">
        <w:rPr>
          <w:rFonts w:ascii="Times New Roman" w:hAnsi="Times New Roman"/>
          <w:color w:val="000000" w:themeColor="text1"/>
          <w:sz w:val="24"/>
          <w:szCs w:val="24"/>
        </w:rPr>
        <w:t>. Porto Alegre: Artmed</w:t>
      </w:r>
      <w:r>
        <w:rPr>
          <w:rFonts w:ascii="Times New Roman" w:hAnsi="Times New Roman"/>
          <w:color w:val="000000" w:themeColor="text1"/>
          <w:sz w:val="24"/>
          <w:szCs w:val="24"/>
        </w:rPr>
        <w:t>, 2007.</w:t>
      </w:r>
    </w:p>
    <w:p w14:paraId="33E8EE94"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7B69DF33" w14:textId="0A156615" w:rsidR="00A90D73" w:rsidRDefault="00F0640B"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OLIVEIRA</w:t>
      </w:r>
      <w:r w:rsidR="00A90D73" w:rsidRPr="00D15A99">
        <w:rPr>
          <w:rFonts w:ascii="Times New Roman" w:hAnsi="Times New Roman"/>
          <w:color w:val="000000" w:themeColor="text1"/>
          <w:sz w:val="24"/>
          <w:szCs w:val="24"/>
        </w:rPr>
        <w:t>, A.</w:t>
      </w:r>
      <w:r w:rsidR="00EA4442" w:rsidRPr="00D15A99">
        <w:rPr>
          <w:rFonts w:ascii="Times New Roman" w:hAnsi="Times New Roman"/>
          <w:color w:val="000000" w:themeColor="text1"/>
          <w:sz w:val="24"/>
          <w:szCs w:val="24"/>
        </w:rPr>
        <w:t xml:space="preserve"> (2016). </w:t>
      </w:r>
      <w:r w:rsidR="00A90D73" w:rsidRPr="00D15A99">
        <w:rPr>
          <w:rFonts w:ascii="Times New Roman" w:hAnsi="Times New Roman"/>
          <w:b/>
          <w:bCs/>
          <w:color w:val="000000" w:themeColor="text1"/>
          <w:sz w:val="24"/>
          <w:szCs w:val="24"/>
        </w:rPr>
        <w:t>Comportamento de gestores de recursos públicos</w:t>
      </w:r>
      <w:r w:rsidR="00A90D73" w:rsidRPr="00FB064B">
        <w:rPr>
          <w:rFonts w:ascii="Times New Roman" w:hAnsi="Times New Roman"/>
          <w:color w:val="000000" w:themeColor="text1"/>
          <w:sz w:val="24"/>
          <w:szCs w:val="24"/>
        </w:rPr>
        <w:t>: identificação de contingências previstas e vigentes relativas à prestação de contas</w:t>
      </w:r>
      <w:r w:rsidRPr="00FB064B">
        <w:rPr>
          <w:rFonts w:ascii="Times New Roman" w:hAnsi="Times New Roman"/>
          <w:color w:val="000000" w:themeColor="text1"/>
          <w:sz w:val="24"/>
          <w:szCs w:val="24"/>
        </w:rPr>
        <w:t>.</w:t>
      </w:r>
      <w:r>
        <w:rPr>
          <w:rFonts w:ascii="Times New Roman" w:hAnsi="Times New Roman"/>
          <w:color w:val="000000" w:themeColor="text1"/>
          <w:sz w:val="24"/>
          <w:szCs w:val="24"/>
        </w:rPr>
        <w:t xml:space="preserve"> Tese de Doutorado, </w:t>
      </w:r>
      <w:r w:rsidR="00A90D73" w:rsidRPr="00D15A99">
        <w:rPr>
          <w:rFonts w:ascii="Times New Roman" w:hAnsi="Times New Roman"/>
          <w:color w:val="000000" w:themeColor="text1"/>
          <w:sz w:val="24"/>
          <w:szCs w:val="24"/>
        </w:rPr>
        <w:t>Universidade de Brasília, Brasília,</w:t>
      </w:r>
      <w:r w:rsidR="00645BE0" w:rsidRPr="00D15A99">
        <w:rPr>
          <w:rFonts w:ascii="Times New Roman" w:hAnsi="Times New Roman"/>
          <w:color w:val="000000" w:themeColor="text1"/>
          <w:sz w:val="24"/>
          <w:szCs w:val="24"/>
        </w:rPr>
        <w:t xml:space="preserve"> </w:t>
      </w:r>
      <w:r w:rsidR="00EA4442" w:rsidRPr="00D15A99">
        <w:rPr>
          <w:rFonts w:ascii="Times New Roman" w:hAnsi="Times New Roman"/>
          <w:color w:val="000000" w:themeColor="text1"/>
          <w:sz w:val="24"/>
          <w:szCs w:val="24"/>
        </w:rPr>
        <w:t>DF, Brasil</w:t>
      </w:r>
      <w:r>
        <w:rPr>
          <w:rFonts w:ascii="Times New Roman" w:hAnsi="Times New Roman"/>
          <w:color w:val="000000" w:themeColor="text1"/>
          <w:sz w:val="24"/>
          <w:szCs w:val="24"/>
        </w:rPr>
        <w:t>, 2016.</w:t>
      </w:r>
    </w:p>
    <w:p w14:paraId="71F9DD96"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139D15B3" w14:textId="34ABC9DA" w:rsidR="002915AC" w:rsidRDefault="00F0640B" w:rsidP="00D15A99">
      <w:pPr>
        <w:pStyle w:val="NormalWeb"/>
        <w:spacing w:before="0" w:beforeAutospacing="0" w:after="0" w:afterAutospacing="0"/>
        <w:jc w:val="both"/>
        <w:rPr>
          <w:color w:val="000000" w:themeColor="text1"/>
        </w:rPr>
      </w:pPr>
      <w:r w:rsidRPr="00D15A99">
        <w:rPr>
          <w:color w:val="000000" w:themeColor="text1"/>
        </w:rPr>
        <w:t>OLIVEIRA-CASTRO</w:t>
      </w:r>
      <w:r w:rsidR="002915AC" w:rsidRPr="00D15A99">
        <w:rPr>
          <w:color w:val="000000" w:themeColor="text1"/>
        </w:rPr>
        <w:t>, J. M.</w:t>
      </w:r>
      <w:r>
        <w:rPr>
          <w:color w:val="000000" w:themeColor="text1"/>
        </w:rPr>
        <w:t>;</w:t>
      </w:r>
      <w:r w:rsidR="002915AC" w:rsidRPr="00D15A99">
        <w:rPr>
          <w:color w:val="000000" w:themeColor="text1"/>
        </w:rPr>
        <w:t xml:space="preserve"> </w:t>
      </w:r>
      <w:r w:rsidRPr="00D15A99">
        <w:rPr>
          <w:color w:val="000000" w:themeColor="text1"/>
        </w:rPr>
        <w:t>OLIVEIRA</w:t>
      </w:r>
      <w:r w:rsidR="002915AC" w:rsidRPr="00D15A99">
        <w:rPr>
          <w:color w:val="000000" w:themeColor="text1"/>
        </w:rPr>
        <w:t xml:space="preserve">, A. </w:t>
      </w:r>
      <w:r w:rsidR="00EA4442" w:rsidRPr="00D15A99">
        <w:rPr>
          <w:color w:val="000000" w:themeColor="text1"/>
        </w:rPr>
        <w:t>d</w:t>
      </w:r>
      <w:r w:rsidR="002915AC" w:rsidRPr="00D15A99">
        <w:rPr>
          <w:color w:val="000000" w:themeColor="text1"/>
        </w:rPr>
        <w:t>e</w:t>
      </w:r>
      <w:r>
        <w:rPr>
          <w:color w:val="000000" w:themeColor="text1"/>
        </w:rPr>
        <w:t>;</w:t>
      </w:r>
      <w:r w:rsidR="002915AC" w:rsidRPr="00D15A99">
        <w:rPr>
          <w:color w:val="000000" w:themeColor="text1"/>
        </w:rPr>
        <w:t xml:space="preserve"> </w:t>
      </w:r>
      <w:r w:rsidRPr="00D15A99">
        <w:rPr>
          <w:color w:val="000000" w:themeColor="text1"/>
        </w:rPr>
        <w:t>AGUIAR</w:t>
      </w:r>
      <w:r w:rsidR="002915AC" w:rsidRPr="00D15A99">
        <w:rPr>
          <w:color w:val="000000" w:themeColor="text1"/>
        </w:rPr>
        <w:t xml:space="preserve">, J. C. </w:t>
      </w:r>
      <w:r w:rsidR="00EA4442" w:rsidRPr="00D15A99">
        <w:rPr>
          <w:color w:val="000000" w:themeColor="text1"/>
        </w:rPr>
        <w:t>d</w:t>
      </w:r>
      <w:r w:rsidR="002915AC" w:rsidRPr="00D15A99">
        <w:rPr>
          <w:color w:val="000000" w:themeColor="text1"/>
        </w:rPr>
        <w:t xml:space="preserve">e. </w:t>
      </w:r>
      <w:r w:rsidR="00003FD0" w:rsidRPr="00D15A99">
        <w:rPr>
          <w:color w:val="000000" w:themeColor="text1"/>
        </w:rPr>
        <w:t>Análise comportamental do direito</w:t>
      </w:r>
      <w:r w:rsidR="002915AC" w:rsidRPr="00D15A99">
        <w:rPr>
          <w:color w:val="000000" w:themeColor="text1"/>
        </w:rPr>
        <w:t xml:space="preserve">: aplicação de sanções pelo Tribunal de Contas da União a gestores com contas irregulares. </w:t>
      </w:r>
      <w:r w:rsidR="002915AC" w:rsidRPr="00D15A99">
        <w:rPr>
          <w:b/>
          <w:bCs/>
          <w:color w:val="000000" w:themeColor="text1"/>
        </w:rPr>
        <w:t>Revista de Estudos Empíricos Em Direito</w:t>
      </w:r>
      <w:r w:rsidR="002915AC" w:rsidRPr="00D15A99">
        <w:rPr>
          <w:color w:val="000000" w:themeColor="text1"/>
        </w:rPr>
        <w:t xml:space="preserve">, </w:t>
      </w:r>
      <w:r>
        <w:rPr>
          <w:color w:val="000000" w:themeColor="text1"/>
        </w:rPr>
        <w:t>v.</w:t>
      </w:r>
      <w:r w:rsidR="00F81F35">
        <w:rPr>
          <w:color w:val="000000" w:themeColor="text1"/>
        </w:rPr>
        <w:t xml:space="preserve"> </w:t>
      </w:r>
      <w:r w:rsidR="002915AC" w:rsidRPr="00D15A99">
        <w:rPr>
          <w:color w:val="000000" w:themeColor="text1"/>
        </w:rPr>
        <w:t>5</w:t>
      </w:r>
      <w:r>
        <w:rPr>
          <w:color w:val="000000" w:themeColor="text1"/>
        </w:rPr>
        <w:t>, n.</w:t>
      </w:r>
      <w:r w:rsidR="00F81F35">
        <w:rPr>
          <w:color w:val="000000" w:themeColor="text1"/>
        </w:rPr>
        <w:t xml:space="preserve"> </w:t>
      </w:r>
      <w:r w:rsidR="002915AC" w:rsidRPr="00D15A99">
        <w:rPr>
          <w:color w:val="000000" w:themeColor="text1"/>
        </w:rPr>
        <w:t>2,</w:t>
      </w:r>
      <w:r>
        <w:rPr>
          <w:color w:val="000000" w:themeColor="text1"/>
        </w:rPr>
        <w:t xml:space="preserve"> p.</w:t>
      </w:r>
      <w:r w:rsidR="002915AC" w:rsidRPr="00D15A99">
        <w:rPr>
          <w:color w:val="000000" w:themeColor="text1"/>
        </w:rPr>
        <w:t xml:space="preserve"> 146–161</w:t>
      </w:r>
      <w:r>
        <w:rPr>
          <w:color w:val="000000" w:themeColor="text1"/>
        </w:rPr>
        <w:t>, 2018</w:t>
      </w:r>
      <w:r w:rsidR="002915AC" w:rsidRPr="00D15A99">
        <w:rPr>
          <w:color w:val="000000" w:themeColor="text1"/>
        </w:rPr>
        <w:t>.</w:t>
      </w:r>
    </w:p>
    <w:p w14:paraId="11E06809" w14:textId="77777777" w:rsidR="00573348" w:rsidRPr="00D15A99" w:rsidRDefault="00573348" w:rsidP="00D15A99">
      <w:pPr>
        <w:pStyle w:val="NormalWeb"/>
        <w:spacing w:before="0" w:beforeAutospacing="0" w:after="0" w:afterAutospacing="0"/>
        <w:jc w:val="both"/>
        <w:rPr>
          <w:color w:val="000000" w:themeColor="text1"/>
        </w:rPr>
      </w:pPr>
    </w:p>
    <w:p w14:paraId="43190AFC" w14:textId="6903ED3F" w:rsidR="007B56D1" w:rsidRDefault="00F0640B"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PEREIRA</w:t>
      </w:r>
      <w:r w:rsidR="007B56D1" w:rsidRPr="00D15A99">
        <w:rPr>
          <w:rFonts w:ascii="Times New Roman" w:hAnsi="Times New Roman"/>
          <w:color w:val="000000" w:themeColor="text1"/>
          <w:sz w:val="24"/>
          <w:szCs w:val="24"/>
        </w:rPr>
        <w:t xml:space="preserve">, J. R. T. </w:t>
      </w:r>
      <w:r w:rsidR="007B56D1" w:rsidRPr="00D15A99">
        <w:rPr>
          <w:rFonts w:ascii="Times New Roman" w:hAnsi="Times New Roman"/>
          <w:b/>
          <w:bCs/>
          <w:color w:val="000000" w:themeColor="text1"/>
          <w:sz w:val="24"/>
          <w:szCs w:val="24"/>
        </w:rPr>
        <w:t xml:space="preserve">Gestão e Controle de Recursos Públicos – </w:t>
      </w:r>
      <w:r w:rsidR="007B56D1" w:rsidRPr="00FB064B">
        <w:rPr>
          <w:rFonts w:ascii="Times New Roman" w:hAnsi="Times New Roman"/>
          <w:color w:val="000000" w:themeColor="text1"/>
          <w:sz w:val="24"/>
          <w:szCs w:val="24"/>
        </w:rPr>
        <w:t>um estudo sobre a rejeição de prestação de contas nos governos municipais do Estado da Bahia</w:t>
      </w:r>
      <w:r w:rsidRPr="00FB064B">
        <w:rPr>
          <w:rFonts w:ascii="Times New Roman" w:hAnsi="Times New Roman"/>
          <w:color w:val="000000" w:themeColor="text1"/>
          <w:sz w:val="24"/>
          <w:szCs w:val="24"/>
        </w:rPr>
        <w:t>.</w:t>
      </w:r>
      <w:r>
        <w:rPr>
          <w:rFonts w:ascii="Times New Roman" w:hAnsi="Times New Roman"/>
          <w:b/>
          <w:bCs/>
          <w:color w:val="000000" w:themeColor="text1"/>
          <w:sz w:val="24"/>
          <w:szCs w:val="24"/>
        </w:rPr>
        <w:t xml:space="preserve"> </w:t>
      </w:r>
      <w:r w:rsidR="007B56D1" w:rsidRPr="00D15A99">
        <w:rPr>
          <w:rFonts w:ascii="Times New Roman" w:hAnsi="Times New Roman"/>
          <w:color w:val="000000" w:themeColor="text1"/>
          <w:sz w:val="24"/>
          <w:szCs w:val="24"/>
        </w:rPr>
        <w:t>Dissertação</w:t>
      </w:r>
      <w:r w:rsidR="00EA4442" w:rsidRPr="00D15A99">
        <w:rPr>
          <w:rFonts w:ascii="Times New Roman" w:hAnsi="Times New Roman"/>
          <w:color w:val="000000" w:themeColor="text1"/>
          <w:sz w:val="24"/>
          <w:szCs w:val="24"/>
        </w:rPr>
        <w:t xml:space="preserve"> de </w:t>
      </w:r>
      <w:r w:rsidR="007B56D1" w:rsidRPr="00D15A99">
        <w:rPr>
          <w:rFonts w:ascii="Times New Roman" w:hAnsi="Times New Roman"/>
          <w:color w:val="000000" w:themeColor="text1"/>
          <w:sz w:val="24"/>
          <w:szCs w:val="24"/>
        </w:rPr>
        <w:t>Mestrado</w:t>
      </w:r>
      <w:r>
        <w:rPr>
          <w:rFonts w:ascii="Times New Roman" w:hAnsi="Times New Roman"/>
          <w:color w:val="000000" w:themeColor="text1"/>
          <w:sz w:val="24"/>
          <w:szCs w:val="24"/>
        </w:rPr>
        <w:t>,</w:t>
      </w:r>
      <w:r w:rsidR="00EA4442" w:rsidRPr="00D15A99">
        <w:rPr>
          <w:rFonts w:ascii="Times New Roman" w:hAnsi="Times New Roman"/>
          <w:color w:val="000000" w:themeColor="text1"/>
          <w:sz w:val="24"/>
          <w:szCs w:val="24"/>
        </w:rPr>
        <w:t xml:space="preserve"> </w:t>
      </w:r>
      <w:r w:rsidR="007B56D1" w:rsidRPr="00D15A99">
        <w:rPr>
          <w:rFonts w:ascii="Times New Roman" w:hAnsi="Times New Roman"/>
          <w:color w:val="000000" w:themeColor="text1"/>
          <w:sz w:val="24"/>
          <w:szCs w:val="24"/>
        </w:rPr>
        <w:t>Universidade Federal da Bahia, Salvador</w:t>
      </w:r>
      <w:r w:rsidR="00EA4442" w:rsidRPr="00D15A99">
        <w:rPr>
          <w:rFonts w:ascii="Times New Roman" w:hAnsi="Times New Roman"/>
          <w:color w:val="000000" w:themeColor="text1"/>
          <w:sz w:val="24"/>
          <w:szCs w:val="24"/>
        </w:rPr>
        <w:t>, BA, Brasil</w:t>
      </w:r>
      <w:r>
        <w:rPr>
          <w:rFonts w:ascii="Times New Roman" w:hAnsi="Times New Roman"/>
          <w:color w:val="000000" w:themeColor="text1"/>
          <w:sz w:val="24"/>
          <w:szCs w:val="24"/>
        </w:rPr>
        <w:t>, 2010.</w:t>
      </w:r>
    </w:p>
    <w:p w14:paraId="56B16AC5"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0DAB5D24" w14:textId="3D6B8038" w:rsidR="00B1105B" w:rsidRDefault="00F0640B" w:rsidP="00D15A99">
      <w:pPr>
        <w:pStyle w:val="NormalWeb"/>
        <w:spacing w:before="0" w:beforeAutospacing="0" w:after="0" w:afterAutospacing="0"/>
        <w:jc w:val="both"/>
      </w:pPr>
      <w:r w:rsidRPr="00D15A99">
        <w:t>RESENDE, W. D. C.</w:t>
      </w:r>
      <w:r>
        <w:t>;</w:t>
      </w:r>
      <w:r w:rsidRPr="00D15A99">
        <w:t xml:space="preserve"> NASSIF, M</w:t>
      </w:r>
      <w:r w:rsidR="00B1105B" w:rsidRPr="00D15A99">
        <w:t xml:space="preserve">. E. Aplicação da lei de acesso à informação em portais de transparência governamentais brasileiros. </w:t>
      </w:r>
      <w:r w:rsidR="00B1105B" w:rsidRPr="00D15A99">
        <w:rPr>
          <w:b/>
          <w:bCs/>
        </w:rPr>
        <w:t xml:space="preserve">Encontros </w:t>
      </w:r>
      <w:proofErr w:type="spellStart"/>
      <w:r w:rsidR="00B1105B" w:rsidRPr="00D15A99">
        <w:rPr>
          <w:b/>
          <w:bCs/>
        </w:rPr>
        <w:t>Bibli</w:t>
      </w:r>
      <w:proofErr w:type="spellEnd"/>
      <w:r w:rsidR="00B1105B" w:rsidRPr="00D15A99">
        <w:rPr>
          <w:b/>
          <w:bCs/>
        </w:rPr>
        <w:t>: Revista Eletrônica de Biblioteconomia e Ciência Da Informação</w:t>
      </w:r>
      <w:r w:rsidR="00B1105B" w:rsidRPr="00D15A99">
        <w:t xml:space="preserve">, </w:t>
      </w:r>
      <w:r>
        <w:t>v.</w:t>
      </w:r>
      <w:r w:rsidR="007B44E3">
        <w:t xml:space="preserve"> </w:t>
      </w:r>
      <w:r w:rsidR="00B1105B" w:rsidRPr="00D15A99">
        <w:t>20</w:t>
      </w:r>
      <w:r>
        <w:t>, n.</w:t>
      </w:r>
      <w:r w:rsidR="007B44E3">
        <w:t xml:space="preserve"> </w:t>
      </w:r>
      <w:r w:rsidR="00B1105B" w:rsidRPr="00D15A99">
        <w:t xml:space="preserve">42, </w:t>
      </w:r>
      <w:r>
        <w:t xml:space="preserve">p. </w:t>
      </w:r>
      <w:r w:rsidR="00B1105B" w:rsidRPr="00D15A99">
        <w:t>1</w:t>
      </w:r>
      <w:r w:rsidR="00331610" w:rsidRPr="00D15A99">
        <w:t>-16</w:t>
      </w:r>
      <w:r>
        <w:t>, 2015</w:t>
      </w:r>
      <w:r w:rsidR="00B1105B" w:rsidRPr="00D15A99">
        <w:t xml:space="preserve">. </w:t>
      </w:r>
      <w:hyperlink r:id="rId21" w:history="1">
        <w:r w:rsidR="00573348" w:rsidRPr="001E068A">
          <w:rPr>
            <w:rStyle w:val="Hyperlink"/>
          </w:rPr>
          <w:t>http://doi.org/10.5007/1518-2924.2015v20n42p1</w:t>
        </w:r>
      </w:hyperlink>
    </w:p>
    <w:p w14:paraId="655D0DA2" w14:textId="77777777" w:rsidR="00573348" w:rsidRPr="00D15A99" w:rsidRDefault="00573348" w:rsidP="00D15A99">
      <w:pPr>
        <w:pStyle w:val="NormalWeb"/>
        <w:spacing w:before="0" w:beforeAutospacing="0" w:after="0" w:afterAutospacing="0"/>
        <w:jc w:val="both"/>
      </w:pPr>
    </w:p>
    <w:p w14:paraId="2FF105D8" w14:textId="6022BDE2" w:rsidR="00220F14" w:rsidRDefault="000E1B85" w:rsidP="00D15A99">
      <w:pPr>
        <w:pStyle w:val="NormalWeb"/>
        <w:spacing w:before="0" w:beforeAutospacing="0" w:after="0" w:afterAutospacing="0"/>
        <w:jc w:val="both"/>
      </w:pPr>
      <w:r w:rsidRPr="00D15A99">
        <w:t xml:space="preserve">ROSA, M. M. </w:t>
      </w:r>
      <w:proofErr w:type="spellStart"/>
      <w:r w:rsidR="008272D0">
        <w:t>da</w:t>
      </w:r>
      <w:proofErr w:type="spellEnd"/>
      <w:r w:rsidR="008272D0">
        <w:t>;</w:t>
      </w:r>
      <w:r w:rsidRPr="00D15A99">
        <w:t xml:space="preserve"> BERNARDO, F. D.</w:t>
      </w:r>
      <w:r w:rsidR="008272D0">
        <w:t>;</w:t>
      </w:r>
      <w:r w:rsidRPr="00D15A99">
        <w:t xml:space="preserve"> VICENTE, E. F. R.</w:t>
      </w:r>
      <w:r w:rsidR="008272D0">
        <w:t>;</w:t>
      </w:r>
      <w:r w:rsidRPr="00D15A99">
        <w:t xml:space="preserve"> PETRI, </w:t>
      </w:r>
      <w:r w:rsidR="00220F14" w:rsidRPr="00D15A99">
        <w:t xml:space="preserve">S. M. A Lei de Acesso à Informação como instrumento de controle social: diagnóstico dos municípios do sul do Brasil </w:t>
      </w:r>
      <w:r w:rsidR="00220F14" w:rsidRPr="00D15A99">
        <w:lastRenderedPageBreak/>
        <w:t>à luz do artigo 8</w:t>
      </w:r>
      <w:r w:rsidR="00220F14" w:rsidRPr="00D15A99">
        <w:rPr>
          <w:vertAlign w:val="superscript"/>
        </w:rPr>
        <w:t>o</w:t>
      </w:r>
      <w:r w:rsidR="00220F14" w:rsidRPr="00D15A99">
        <w:t xml:space="preserve"> da </w:t>
      </w:r>
      <w:r w:rsidR="00331610" w:rsidRPr="00D15A99">
        <w:t>L</w:t>
      </w:r>
      <w:r w:rsidR="00220F14" w:rsidRPr="00D15A99">
        <w:t>ei 12</w:t>
      </w:r>
      <w:r w:rsidR="00331610" w:rsidRPr="00D15A99">
        <w:t>.</w:t>
      </w:r>
      <w:r w:rsidR="00220F14" w:rsidRPr="00D15A99">
        <w:t xml:space="preserve">527/2011. </w:t>
      </w:r>
      <w:proofErr w:type="spellStart"/>
      <w:r w:rsidR="00220F14" w:rsidRPr="00D15A99">
        <w:rPr>
          <w:b/>
          <w:bCs/>
        </w:rPr>
        <w:t>Navus</w:t>
      </w:r>
      <w:proofErr w:type="spellEnd"/>
      <w:r w:rsidR="00220F14" w:rsidRPr="00D15A99">
        <w:rPr>
          <w:b/>
          <w:bCs/>
        </w:rPr>
        <w:t>: Revista de Gestão e Tecnologia</w:t>
      </w:r>
      <w:r w:rsidR="00220F14" w:rsidRPr="00D15A99">
        <w:t xml:space="preserve">, </w:t>
      </w:r>
      <w:r w:rsidR="008272D0">
        <w:t>v.</w:t>
      </w:r>
      <w:r w:rsidR="007B44E3">
        <w:t xml:space="preserve"> </w:t>
      </w:r>
      <w:r w:rsidR="00220F14" w:rsidRPr="00D15A99">
        <w:t>6</w:t>
      </w:r>
      <w:r w:rsidR="008272D0">
        <w:t>, n.</w:t>
      </w:r>
      <w:r w:rsidR="007B44E3">
        <w:t xml:space="preserve"> </w:t>
      </w:r>
      <w:r w:rsidR="00220F14" w:rsidRPr="00D15A99">
        <w:t xml:space="preserve">1, </w:t>
      </w:r>
      <w:r w:rsidR="008272D0">
        <w:t xml:space="preserve">p. </w:t>
      </w:r>
      <w:r w:rsidR="00220F14" w:rsidRPr="00D15A99">
        <w:t>72–87</w:t>
      </w:r>
      <w:r w:rsidR="008272D0">
        <w:t>, 2016.</w:t>
      </w:r>
      <w:r w:rsidR="00220F14" w:rsidRPr="00D15A99">
        <w:t xml:space="preserve"> </w:t>
      </w:r>
      <w:hyperlink r:id="rId22" w:history="1">
        <w:r w:rsidR="00573348" w:rsidRPr="001E068A">
          <w:rPr>
            <w:rStyle w:val="Hyperlink"/>
          </w:rPr>
          <w:t>http://doi.org/10.18815/navus.v6i1.359</w:t>
        </w:r>
      </w:hyperlink>
      <w:r w:rsidR="00220F14" w:rsidRPr="00D15A99">
        <w:t>.</w:t>
      </w:r>
    </w:p>
    <w:p w14:paraId="5845F4AD" w14:textId="77777777" w:rsidR="00573348" w:rsidRPr="00D15A99" w:rsidRDefault="00573348" w:rsidP="00D15A99">
      <w:pPr>
        <w:pStyle w:val="NormalWeb"/>
        <w:spacing w:before="0" w:beforeAutospacing="0" w:after="0" w:afterAutospacing="0"/>
        <w:jc w:val="both"/>
      </w:pPr>
    </w:p>
    <w:p w14:paraId="5FC91673" w14:textId="6D437A62" w:rsidR="00224121" w:rsidRDefault="008272D0"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SKINNER</w:t>
      </w:r>
      <w:r w:rsidR="00224121" w:rsidRPr="00D15A99">
        <w:rPr>
          <w:rFonts w:ascii="Times New Roman" w:hAnsi="Times New Roman"/>
          <w:color w:val="000000" w:themeColor="text1"/>
          <w:sz w:val="24"/>
          <w:szCs w:val="24"/>
        </w:rPr>
        <w:t>, B. F. Contingência do reforço. In</w:t>
      </w:r>
      <w:r>
        <w:rPr>
          <w:rFonts w:ascii="Times New Roman" w:hAnsi="Times New Roman"/>
          <w:color w:val="000000" w:themeColor="text1"/>
          <w:sz w:val="24"/>
          <w:szCs w:val="24"/>
        </w:rPr>
        <w:t>:</w:t>
      </w:r>
      <w:r w:rsidR="00224121" w:rsidRPr="00D15A99">
        <w:rPr>
          <w:rFonts w:ascii="Times New Roman" w:hAnsi="Times New Roman"/>
          <w:color w:val="000000" w:themeColor="text1"/>
          <w:sz w:val="24"/>
          <w:szCs w:val="24"/>
        </w:rPr>
        <w:t xml:space="preserve"> Pavlov, I. P. </w:t>
      </w:r>
      <w:r w:rsidR="00224121" w:rsidRPr="00D15A99">
        <w:rPr>
          <w:rFonts w:ascii="Times New Roman" w:hAnsi="Times New Roman"/>
          <w:b/>
          <w:bCs/>
          <w:color w:val="000000" w:themeColor="text1"/>
          <w:sz w:val="24"/>
          <w:szCs w:val="24"/>
        </w:rPr>
        <w:t>Os pensadores</w:t>
      </w:r>
      <w:r w:rsidR="00224121" w:rsidRPr="00D15A99">
        <w:rPr>
          <w:rFonts w:ascii="Times New Roman" w:hAnsi="Times New Roman"/>
          <w:color w:val="000000" w:themeColor="text1"/>
          <w:sz w:val="24"/>
          <w:szCs w:val="24"/>
        </w:rPr>
        <w:t xml:space="preserve">. Tradução: </w:t>
      </w:r>
      <w:r w:rsidR="00003FD0" w:rsidRPr="00D15A99">
        <w:rPr>
          <w:rFonts w:ascii="Times New Roman" w:hAnsi="Times New Roman"/>
          <w:color w:val="000000" w:themeColor="text1"/>
          <w:sz w:val="24"/>
          <w:szCs w:val="24"/>
        </w:rPr>
        <w:t>Moreno</w:t>
      </w:r>
      <w:r w:rsidR="00224121" w:rsidRPr="00D15A99">
        <w:rPr>
          <w:rFonts w:ascii="Times New Roman" w:hAnsi="Times New Roman"/>
          <w:color w:val="000000" w:themeColor="text1"/>
          <w:sz w:val="24"/>
          <w:szCs w:val="24"/>
        </w:rPr>
        <w:t xml:space="preserve">, R.; </w:t>
      </w:r>
      <w:proofErr w:type="spellStart"/>
      <w:r w:rsidR="00224121" w:rsidRPr="00D15A99">
        <w:rPr>
          <w:rFonts w:ascii="Times New Roman" w:hAnsi="Times New Roman"/>
          <w:color w:val="000000" w:themeColor="text1"/>
          <w:sz w:val="24"/>
          <w:szCs w:val="24"/>
        </w:rPr>
        <w:t>U</w:t>
      </w:r>
      <w:r w:rsidR="00003FD0" w:rsidRPr="00D15A99">
        <w:rPr>
          <w:rFonts w:ascii="Times New Roman" w:hAnsi="Times New Roman"/>
          <w:color w:val="000000" w:themeColor="text1"/>
          <w:sz w:val="24"/>
          <w:szCs w:val="24"/>
        </w:rPr>
        <w:t>flaker</w:t>
      </w:r>
      <w:proofErr w:type="spellEnd"/>
      <w:r w:rsidR="00224121" w:rsidRPr="00D15A99">
        <w:rPr>
          <w:rFonts w:ascii="Times New Roman" w:hAnsi="Times New Roman"/>
          <w:color w:val="000000" w:themeColor="text1"/>
          <w:sz w:val="24"/>
          <w:szCs w:val="24"/>
        </w:rPr>
        <w:t xml:space="preserve">, H. </w:t>
      </w:r>
      <w:r w:rsidR="00003FD0" w:rsidRPr="00D15A99">
        <w:rPr>
          <w:rFonts w:ascii="Times New Roman" w:hAnsi="Times New Roman"/>
          <w:color w:val="000000" w:themeColor="text1"/>
          <w:sz w:val="24"/>
          <w:szCs w:val="24"/>
        </w:rPr>
        <w:t xml:space="preserve">de </w:t>
      </w:r>
      <w:r w:rsidR="00224121" w:rsidRPr="00D15A99">
        <w:rPr>
          <w:rFonts w:ascii="Times New Roman" w:hAnsi="Times New Roman"/>
          <w:color w:val="000000" w:themeColor="text1"/>
          <w:sz w:val="24"/>
          <w:szCs w:val="24"/>
        </w:rPr>
        <w:t>A.</w:t>
      </w:r>
      <w:r w:rsidR="00331610" w:rsidRPr="00D15A99">
        <w:rPr>
          <w:rFonts w:ascii="Times New Roman" w:hAnsi="Times New Roman"/>
          <w:color w:val="000000" w:themeColor="text1"/>
          <w:sz w:val="24"/>
          <w:szCs w:val="24"/>
        </w:rPr>
        <w:t xml:space="preserve">, </w:t>
      </w:r>
      <w:r w:rsidR="00224121" w:rsidRPr="00D15A99">
        <w:rPr>
          <w:rFonts w:ascii="Times New Roman" w:hAnsi="Times New Roman"/>
          <w:color w:val="000000" w:themeColor="text1"/>
          <w:sz w:val="24"/>
          <w:szCs w:val="24"/>
        </w:rPr>
        <w:t>A</w:t>
      </w:r>
      <w:r w:rsidR="00003FD0" w:rsidRPr="00D15A99">
        <w:rPr>
          <w:rFonts w:ascii="Times New Roman" w:hAnsi="Times New Roman"/>
          <w:color w:val="000000" w:themeColor="text1"/>
          <w:sz w:val="24"/>
          <w:szCs w:val="24"/>
        </w:rPr>
        <w:t>ndreoli</w:t>
      </w:r>
      <w:r w:rsidR="00224121" w:rsidRPr="00D15A99">
        <w:rPr>
          <w:rFonts w:ascii="Times New Roman" w:hAnsi="Times New Roman"/>
          <w:color w:val="000000" w:themeColor="text1"/>
          <w:sz w:val="24"/>
          <w:szCs w:val="24"/>
        </w:rPr>
        <w:t xml:space="preserve">, </w:t>
      </w:r>
      <w:r w:rsidR="00331610" w:rsidRPr="00D15A99">
        <w:rPr>
          <w:rFonts w:ascii="Times New Roman" w:hAnsi="Times New Roman"/>
          <w:color w:val="000000" w:themeColor="text1"/>
          <w:sz w:val="24"/>
          <w:szCs w:val="24"/>
        </w:rPr>
        <w:t xml:space="preserve">E. </w:t>
      </w:r>
      <w:r w:rsidR="00224121" w:rsidRPr="00D15A99">
        <w:rPr>
          <w:rFonts w:ascii="Times New Roman" w:hAnsi="Times New Roman"/>
          <w:color w:val="000000" w:themeColor="text1"/>
          <w:sz w:val="24"/>
          <w:szCs w:val="24"/>
        </w:rPr>
        <w:t xml:space="preserve">O. M. São Paulo: </w:t>
      </w:r>
      <w:proofErr w:type="gramStart"/>
      <w:r w:rsidR="00224121" w:rsidRPr="00D15A99">
        <w:rPr>
          <w:rFonts w:ascii="Times New Roman" w:hAnsi="Times New Roman"/>
          <w:color w:val="000000" w:themeColor="text1"/>
          <w:sz w:val="24"/>
          <w:szCs w:val="24"/>
        </w:rPr>
        <w:t>Abril</w:t>
      </w:r>
      <w:proofErr w:type="gramEnd"/>
      <w:r w:rsidR="00224121" w:rsidRPr="00D15A99">
        <w:rPr>
          <w:rFonts w:ascii="Times New Roman" w:hAnsi="Times New Roman"/>
          <w:color w:val="000000" w:themeColor="text1"/>
          <w:sz w:val="24"/>
          <w:szCs w:val="24"/>
        </w:rPr>
        <w:t xml:space="preserve"> Cultura</w:t>
      </w:r>
      <w:r>
        <w:rPr>
          <w:rFonts w:ascii="Times New Roman" w:hAnsi="Times New Roman"/>
          <w:color w:val="000000" w:themeColor="text1"/>
          <w:sz w:val="24"/>
          <w:szCs w:val="24"/>
        </w:rPr>
        <w:t>, 1980</w:t>
      </w:r>
      <w:r w:rsidR="00224121" w:rsidRPr="00D15A99">
        <w:rPr>
          <w:rFonts w:ascii="Times New Roman" w:hAnsi="Times New Roman"/>
          <w:color w:val="000000" w:themeColor="text1"/>
          <w:sz w:val="24"/>
          <w:szCs w:val="24"/>
        </w:rPr>
        <w:t>.</w:t>
      </w:r>
    </w:p>
    <w:p w14:paraId="50BAEFBF"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406F1650" w14:textId="2E8C4CD4" w:rsidR="00224121" w:rsidRDefault="008272D0"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SKINNER,</w:t>
      </w:r>
      <w:r w:rsidR="00224121" w:rsidRPr="00D15A99">
        <w:rPr>
          <w:rFonts w:ascii="Times New Roman" w:hAnsi="Times New Roman"/>
          <w:color w:val="000000" w:themeColor="text1"/>
          <w:sz w:val="24"/>
          <w:szCs w:val="24"/>
        </w:rPr>
        <w:t xml:space="preserve"> B. F. </w:t>
      </w:r>
      <w:r w:rsidR="00224121" w:rsidRPr="00D15A99">
        <w:rPr>
          <w:rFonts w:ascii="Times New Roman" w:hAnsi="Times New Roman"/>
          <w:b/>
          <w:bCs/>
          <w:color w:val="000000" w:themeColor="text1"/>
          <w:sz w:val="24"/>
          <w:szCs w:val="24"/>
        </w:rPr>
        <w:t>Questões recentes da análise comportamental</w:t>
      </w:r>
      <w:r w:rsidR="00224121" w:rsidRPr="00D15A99">
        <w:rPr>
          <w:rFonts w:ascii="Times New Roman" w:hAnsi="Times New Roman"/>
          <w:color w:val="000000" w:themeColor="text1"/>
          <w:sz w:val="24"/>
          <w:szCs w:val="24"/>
        </w:rPr>
        <w:t>. Curitiba: Editora Papirus</w:t>
      </w:r>
      <w:r>
        <w:rPr>
          <w:rFonts w:ascii="Times New Roman" w:hAnsi="Times New Roman"/>
          <w:color w:val="000000" w:themeColor="text1"/>
          <w:sz w:val="24"/>
          <w:szCs w:val="24"/>
        </w:rPr>
        <w:t>, 1995.</w:t>
      </w:r>
    </w:p>
    <w:p w14:paraId="576C1DB5"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00B7E16B" w14:textId="69BC8789" w:rsidR="00224121" w:rsidRDefault="008272D0"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SKINNER,</w:t>
      </w:r>
      <w:r w:rsidR="00224121" w:rsidRPr="00D15A99">
        <w:rPr>
          <w:rFonts w:ascii="Times New Roman" w:hAnsi="Times New Roman"/>
          <w:color w:val="000000" w:themeColor="text1"/>
          <w:sz w:val="24"/>
          <w:szCs w:val="24"/>
        </w:rPr>
        <w:t xml:space="preserve"> B. F. Tradução: </w:t>
      </w:r>
      <w:r w:rsidR="00331610" w:rsidRPr="00D15A99">
        <w:rPr>
          <w:rFonts w:ascii="Times New Roman" w:hAnsi="Times New Roman"/>
          <w:color w:val="000000" w:themeColor="text1"/>
          <w:sz w:val="24"/>
          <w:szCs w:val="24"/>
        </w:rPr>
        <w:t>Todorov, J. C.</w:t>
      </w:r>
      <w:r>
        <w:rPr>
          <w:rFonts w:ascii="Times New Roman" w:hAnsi="Times New Roman"/>
          <w:color w:val="000000" w:themeColor="text1"/>
          <w:sz w:val="24"/>
          <w:szCs w:val="24"/>
        </w:rPr>
        <w:t xml:space="preserve">; </w:t>
      </w:r>
      <w:proofErr w:type="spellStart"/>
      <w:r w:rsidR="00331610" w:rsidRPr="00D15A99">
        <w:rPr>
          <w:rFonts w:ascii="Times New Roman" w:hAnsi="Times New Roman"/>
          <w:color w:val="000000" w:themeColor="text1"/>
          <w:sz w:val="24"/>
          <w:szCs w:val="24"/>
        </w:rPr>
        <w:t>Azzi</w:t>
      </w:r>
      <w:proofErr w:type="spellEnd"/>
      <w:r w:rsidR="00331610" w:rsidRPr="00D15A99">
        <w:rPr>
          <w:rFonts w:ascii="Times New Roman" w:hAnsi="Times New Roman"/>
          <w:color w:val="000000" w:themeColor="text1"/>
          <w:sz w:val="24"/>
          <w:szCs w:val="24"/>
        </w:rPr>
        <w:t>, R.</w:t>
      </w:r>
      <w:r w:rsidR="00224121" w:rsidRPr="00D15A99">
        <w:rPr>
          <w:rFonts w:ascii="Times New Roman" w:hAnsi="Times New Roman"/>
          <w:color w:val="000000" w:themeColor="text1"/>
          <w:sz w:val="24"/>
          <w:szCs w:val="24"/>
        </w:rPr>
        <w:t xml:space="preserve"> </w:t>
      </w:r>
      <w:r w:rsidR="00224121" w:rsidRPr="00D15A99">
        <w:rPr>
          <w:rFonts w:ascii="Times New Roman" w:hAnsi="Times New Roman"/>
          <w:b/>
          <w:bCs/>
          <w:color w:val="000000" w:themeColor="text1"/>
          <w:sz w:val="24"/>
          <w:szCs w:val="24"/>
        </w:rPr>
        <w:t>Ciência e comportamento humano.</w:t>
      </w:r>
      <w:r w:rsidR="00224121" w:rsidRPr="00D15A99">
        <w:rPr>
          <w:rFonts w:ascii="Times New Roman" w:hAnsi="Times New Roman"/>
          <w:color w:val="000000" w:themeColor="text1"/>
          <w:sz w:val="24"/>
          <w:szCs w:val="24"/>
        </w:rPr>
        <w:t xml:space="preserve"> São Paulo: Martins Fontes</w:t>
      </w:r>
      <w:r>
        <w:rPr>
          <w:rFonts w:ascii="Times New Roman" w:hAnsi="Times New Roman"/>
          <w:color w:val="000000" w:themeColor="text1"/>
          <w:sz w:val="24"/>
          <w:szCs w:val="24"/>
        </w:rPr>
        <w:t>, 2003.</w:t>
      </w:r>
    </w:p>
    <w:p w14:paraId="00A88A5C"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294F7DFE" w14:textId="603DA69C" w:rsidR="00224121" w:rsidRDefault="008272D0"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SKINNER</w:t>
      </w:r>
      <w:r w:rsidR="00224121" w:rsidRPr="00D15A99">
        <w:rPr>
          <w:rFonts w:ascii="Times New Roman" w:hAnsi="Times New Roman"/>
          <w:color w:val="000000" w:themeColor="text1"/>
          <w:sz w:val="24"/>
          <w:szCs w:val="24"/>
        </w:rPr>
        <w:t xml:space="preserve">, B. F. </w:t>
      </w:r>
      <w:r w:rsidR="00224121" w:rsidRPr="00D15A99">
        <w:rPr>
          <w:rFonts w:ascii="Times New Roman" w:hAnsi="Times New Roman"/>
          <w:b/>
          <w:bCs/>
          <w:color w:val="000000" w:themeColor="text1"/>
          <w:sz w:val="24"/>
          <w:szCs w:val="24"/>
        </w:rPr>
        <w:t>Sobre o behaviorismo</w:t>
      </w:r>
      <w:r>
        <w:rPr>
          <w:rFonts w:ascii="Times New Roman" w:hAnsi="Times New Roman"/>
          <w:color w:val="000000" w:themeColor="text1"/>
          <w:sz w:val="24"/>
          <w:szCs w:val="24"/>
        </w:rPr>
        <w:t xml:space="preserve">. </w:t>
      </w:r>
      <w:r w:rsidR="00224121" w:rsidRPr="00D15A99">
        <w:rPr>
          <w:rFonts w:ascii="Times New Roman" w:hAnsi="Times New Roman"/>
          <w:color w:val="000000" w:themeColor="text1"/>
          <w:sz w:val="24"/>
          <w:szCs w:val="24"/>
        </w:rPr>
        <w:t>10</w:t>
      </w:r>
      <w:r>
        <w:rPr>
          <w:rFonts w:ascii="Times New Roman" w:hAnsi="Times New Roman"/>
          <w:color w:val="000000" w:themeColor="text1"/>
          <w:sz w:val="24"/>
          <w:szCs w:val="24"/>
        </w:rPr>
        <w:t>. ed</w:t>
      </w:r>
      <w:r w:rsidR="00224121" w:rsidRPr="00D15A99">
        <w:rPr>
          <w:rFonts w:ascii="Times New Roman" w:hAnsi="Times New Roman"/>
          <w:color w:val="000000" w:themeColor="text1"/>
          <w:sz w:val="24"/>
          <w:szCs w:val="24"/>
        </w:rPr>
        <w:t xml:space="preserve">. São Paulo: Editora </w:t>
      </w:r>
      <w:proofErr w:type="spellStart"/>
      <w:r w:rsidR="00224121" w:rsidRPr="00D15A99">
        <w:rPr>
          <w:rFonts w:ascii="Times New Roman" w:hAnsi="Times New Roman"/>
          <w:color w:val="000000" w:themeColor="text1"/>
          <w:sz w:val="24"/>
          <w:szCs w:val="24"/>
        </w:rPr>
        <w:t>Cultrix</w:t>
      </w:r>
      <w:proofErr w:type="spellEnd"/>
      <w:r>
        <w:rPr>
          <w:rFonts w:ascii="Times New Roman" w:hAnsi="Times New Roman"/>
          <w:color w:val="000000" w:themeColor="text1"/>
          <w:sz w:val="24"/>
          <w:szCs w:val="24"/>
        </w:rPr>
        <w:t>, 1953/2006</w:t>
      </w:r>
      <w:r w:rsidR="00573348">
        <w:rPr>
          <w:rFonts w:ascii="Times New Roman" w:hAnsi="Times New Roman"/>
          <w:color w:val="000000" w:themeColor="text1"/>
          <w:sz w:val="24"/>
          <w:szCs w:val="24"/>
        </w:rPr>
        <w:t>.</w:t>
      </w:r>
    </w:p>
    <w:p w14:paraId="49D735F4" w14:textId="77777777" w:rsidR="00573348" w:rsidRPr="00D15A99" w:rsidRDefault="00573348" w:rsidP="00D15A99">
      <w:pPr>
        <w:spacing w:after="0" w:line="240" w:lineRule="auto"/>
        <w:jc w:val="both"/>
        <w:rPr>
          <w:rFonts w:ascii="Times New Roman" w:hAnsi="Times New Roman"/>
          <w:color w:val="000000" w:themeColor="text1"/>
          <w:sz w:val="24"/>
          <w:szCs w:val="24"/>
        </w:rPr>
      </w:pPr>
    </w:p>
    <w:p w14:paraId="173E65B5" w14:textId="2FDB6344" w:rsidR="00214757" w:rsidRDefault="008272D0" w:rsidP="00D15A99">
      <w:pPr>
        <w:spacing w:after="0" w:line="240" w:lineRule="auto"/>
        <w:jc w:val="both"/>
        <w:rPr>
          <w:rFonts w:ascii="Times New Roman" w:hAnsi="Times New Roman"/>
          <w:sz w:val="24"/>
          <w:szCs w:val="24"/>
        </w:rPr>
      </w:pPr>
      <w:r w:rsidRPr="00D15A99">
        <w:rPr>
          <w:rFonts w:ascii="Times New Roman" w:eastAsia="Times New Roman" w:hAnsi="Times New Roman"/>
          <w:color w:val="000000" w:themeColor="text1"/>
          <w:sz w:val="24"/>
          <w:szCs w:val="24"/>
          <w:lang w:eastAsia="pt-BR"/>
        </w:rPr>
        <w:t>SILVA</w:t>
      </w:r>
      <w:r w:rsidR="00214757" w:rsidRPr="00D15A99">
        <w:rPr>
          <w:rFonts w:ascii="Times New Roman" w:eastAsia="Times New Roman" w:hAnsi="Times New Roman"/>
          <w:color w:val="000000" w:themeColor="text1"/>
          <w:sz w:val="24"/>
          <w:szCs w:val="24"/>
          <w:lang w:eastAsia="pt-BR"/>
        </w:rPr>
        <w:t>, W. A. de O. e</w:t>
      </w:r>
      <w:r>
        <w:rPr>
          <w:rFonts w:ascii="Times New Roman" w:eastAsia="Times New Roman" w:hAnsi="Times New Roman"/>
          <w:color w:val="000000" w:themeColor="text1"/>
          <w:sz w:val="24"/>
          <w:szCs w:val="24"/>
          <w:lang w:eastAsia="pt-BR"/>
        </w:rPr>
        <w:t>;</w:t>
      </w:r>
      <w:r w:rsidR="00214757" w:rsidRPr="00D15A99">
        <w:rPr>
          <w:rFonts w:ascii="Times New Roman" w:eastAsia="Times New Roman" w:hAnsi="Times New Roman"/>
          <w:color w:val="000000" w:themeColor="text1"/>
          <w:sz w:val="24"/>
          <w:szCs w:val="24"/>
          <w:lang w:eastAsia="pt-BR"/>
        </w:rPr>
        <w:t xml:space="preserve"> </w:t>
      </w:r>
      <w:r w:rsidRPr="00D15A99">
        <w:rPr>
          <w:rFonts w:ascii="Times New Roman" w:eastAsia="Times New Roman" w:hAnsi="Times New Roman"/>
          <w:color w:val="000000" w:themeColor="text1"/>
          <w:sz w:val="24"/>
          <w:szCs w:val="24"/>
          <w:lang w:eastAsia="pt-BR"/>
        </w:rPr>
        <w:t xml:space="preserve">BRUNI, </w:t>
      </w:r>
      <w:r w:rsidR="00214757" w:rsidRPr="00D15A99">
        <w:rPr>
          <w:rFonts w:ascii="Times New Roman" w:eastAsia="Times New Roman" w:hAnsi="Times New Roman"/>
          <w:color w:val="000000" w:themeColor="text1"/>
          <w:sz w:val="24"/>
          <w:szCs w:val="24"/>
          <w:lang w:eastAsia="pt-BR"/>
        </w:rPr>
        <w:t xml:space="preserve">A. L. Variáveis socioeconômicas determinantes para a transparência pública passiva nos municípios brasileiros. </w:t>
      </w:r>
      <w:r w:rsidR="00214757" w:rsidRPr="00D15A99">
        <w:rPr>
          <w:rFonts w:ascii="Times New Roman" w:eastAsia="Times New Roman" w:hAnsi="Times New Roman"/>
          <w:b/>
          <w:bCs/>
          <w:color w:val="000000" w:themeColor="text1"/>
          <w:sz w:val="24"/>
          <w:szCs w:val="24"/>
          <w:lang w:eastAsia="pt-BR"/>
        </w:rPr>
        <w:t>Revista de Administração Pública</w:t>
      </w:r>
      <w:r w:rsidR="00214757" w:rsidRPr="00D15A99">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 xml:space="preserve">v. </w:t>
      </w:r>
      <w:r w:rsidR="00214757" w:rsidRPr="00D15A99">
        <w:rPr>
          <w:rFonts w:ascii="Times New Roman" w:eastAsia="Times New Roman" w:hAnsi="Times New Roman"/>
          <w:color w:val="000000" w:themeColor="text1"/>
          <w:sz w:val="24"/>
          <w:szCs w:val="24"/>
          <w:lang w:eastAsia="pt-BR"/>
        </w:rPr>
        <w:t>53</w:t>
      </w:r>
      <w:r>
        <w:rPr>
          <w:rFonts w:ascii="Times New Roman" w:eastAsia="Times New Roman" w:hAnsi="Times New Roman"/>
          <w:color w:val="000000" w:themeColor="text1"/>
          <w:sz w:val="24"/>
          <w:szCs w:val="24"/>
          <w:lang w:eastAsia="pt-BR"/>
        </w:rPr>
        <w:t>, n.</w:t>
      </w:r>
      <w:r w:rsidR="00F81F35">
        <w:rPr>
          <w:rFonts w:ascii="Times New Roman" w:eastAsia="Times New Roman" w:hAnsi="Times New Roman"/>
          <w:color w:val="000000" w:themeColor="text1"/>
          <w:sz w:val="24"/>
          <w:szCs w:val="24"/>
          <w:lang w:eastAsia="pt-BR"/>
        </w:rPr>
        <w:t xml:space="preserve"> </w:t>
      </w:r>
      <w:r w:rsidR="00214757" w:rsidRPr="00D15A99">
        <w:rPr>
          <w:rFonts w:ascii="Times New Roman" w:eastAsia="Times New Roman" w:hAnsi="Times New Roman"/>
          <w:color w:val="000000" w:themeColor="text1"/>
          <w:sz w:val="24"/>
          <w:szCs w:val="24"/>
          <w:lang w:eastAsia="pt-BR"/>
        </w:rPr>
        <w:t>2,</w:t>
      </w:r>
      <w:r>
        <w:rPr>
          <w:rFonts w:ascii="Times New Roman" w:eastAsia="Times New Roman" w:hAnsi="Times New Roman"/>
          <w:color w:val="000000" w:themeColor="text1"/>
          <w:sz w:val="24"/>
          <w:szCs w:val="24"/>
          <w:lang w:eastAsia="pt-BR"/>
        </w:rPr>
        <w:t xml:space="preserve"> p.</w:t>
      </w:r>
      <w:r w:rsidR="00214757" w:rsidRPr="00D15A99">
        <w:rPr>
          <w:rFonts w:ascii="Times New Roman" w:eastAsia="Times New Roman" w:hAnsi="Times New Roman"/>
          <w:color w:val="000000" w:themeColor="text1"/>
          <w:sz w:val="24"/>
          <w:szCs w:val="24"/>
          <w:lang w:eastAsia="pt-BR"/>
        </w:rPr>
        <w:t xml:space="preserve"> 415</w:t>
      </w:r>
      <w:r>
        <w:rPr>
          <w:rFonts w:ascii="Times New Roman" w:eastAsia="Times New Roman" w:hAnsi="Times New Roman"/>
          <w:color w:val="000000" w:themeColor="text1"/>
          <w:sz w:val="24"/>
          <w:szCs w:val="24"/>
          <w:lang w:eastAsia="pt-BR"/>
        </w:rPr>
        <w:t>-</w:t>
      </w:r>
      <w:r w:rsidR="00214757" w:rsidRPr="00D15A99">
        <w:rPr>
          <w:rFonts w:ascii="Times New Roman" w:eastAsia="Times New Roman" w:hAnsi="Times New Roman"/>
          <w:color w:val="000000" w:themeColor="text1"/>
          <w:sz w:val="24"/>
          <w:szCs w:val="24"/>
          <w:lang w:eastAsia="pt-BR"/>
        </w:rPr>
        <w:t>431</w:t>
      </w:r>
      <w:r>
        <w:rPr>
          <w:rFonts w:ascii="Times New Roman" w:eastAsia="Times New Roman" w:hAnsi="Times New Roman"/>
          <w:color w:val="000000" w:themeColor="text1"/>
          <w:sz w:val="24"/>
          <w:szCs w:val="24"/>
          <w:lang w:eastAsia="pt-BR"/>
        </w:rPr>
        <w:t>, 2019</w:t>
      </w:r>
      <w:r w:rsidR="00214757" w:rsidRPr="00D15A99">
        <w:rPr>
          <w:rFonts w:ascii="Times New Roman" w:eastAsia="Times New Roman" w:hAnsi="Times New Roman"/>
          <w:color w:val="000000" w:themeColor="text1"/>
          <w:sz w:val="24"/>
          <w:szCs w:val="24"/>
          <w:lang w:eastAsia="pt-BR"/>
        </w:rPr>
        <w:t xml:space="preserve">. </w:t>
      </w:r>
      <w:hyperlink r:id="rId23" w:history="1">
        <w:r w:rsidR="00573348" w:rsidRPr="001E068A">
          <w:rPr>
            <w:rStyle w:val="Hyperlink"/>
            <w:rFonts w:ascii="Times New Roman" w:hAnsi="Times New Roman"/>
            <w:sz w:val="24"/>
            <w:szCs w:val="24"/>
          </w:rPr>
          <w:t>http://doi.org/10.1590/0034-761220170383</w:t>
        </w:r>
      </w:hyperlink>
    </w:p>
    <w:p w14:paraId="45BE1C8E" w14:textId="77777777" w:rsidR="00573348" w:rsidRPr="00D15A99" w:rsidRDefault="00573348" w:rsidP="00D15A99">
      <w:pPr>
        <w:spacing w:after="0" w:line="240" w:lineRule="auto"/>
        <w:jc w:val="both"/>
        <w:rPr>
          <w:rFonts w:ascii="Times New Roman" w:eastAsia="Times New Roman" w:hAnsi="Times New Roman"/>
          <w:color w:val="000000" w:themeColor="text1"/>
          <w:sz w:val="24"/>
          <w:szCs w:val="24"/>
          <w:lang w:eastAsia="pt-BR"/>
        </w:rPr>
      </w:pPr>
    </w:p>
    <w:p w14:paraId="1AD958B7" w14:textId="035788AB" w:rsidR="00330330" w:rsidRDefault="00CA5F24" w:rsidP="00D15A99">
      <w:pPr>
        <w:pStyle w:val="NormalWeb"/>
        <w:spacing w:before="0" w:beforeAutospacing="0" w:after="0" w:afterAutospacing="0"/>
        <w:jc w:val="both"/>
      </w:pPr>
      <w:r w:rsidRPr="00D15A99">
        <w:t>SILVA</w:t>
      </w:r>
      <w:r w:rsidR="00330330" w:rsidRPr="00D15A99">
        <w:t>, R. L. da</w:t>
      </w:r>
      <w:r>
        <w:t>;</w:t>
      </w:r>
      <w:r w:rsidR="00330330" w:rsidRPr="00D15A99">
        <w:t xml:space="preserve"> </w:t>
      </w:r>
      <w:r w:rsidRPr="00D15A99">
        <w:t>HOCH</w:t>
      </w:r>
      <w:r w:rsidR="00330330" w:rsidRPr="00D15A99">
        <w:t>, P. A.</w:t>
      </w:r>
      <w:r>
        <w:t>;</w:t>
      </w:r>
      <w:r w:rsidR="00330330" w:rsidRPr="00D15A99">
        <w:t xml:space="preserve"> </w:t>
      </w:r>
      <w:r w:rsidRPr="00D15A99">
        <w:t>SANTOS</w:t>
      </w:r>
      <w:r w:rsidR="00330330" w:rsidRPr="00D15A99">
        <w:t xml:space="preserve">, N. de F. A lei de acesso à informação pública e o dever de transparência passiva do estado: uma análise do Serviço de Informações ao Cidadão (SIC) de sites públicos. </w:t>
      </w:r>
      <w:r w:rsidR="00962747">
        <w:t xml:space="preserve">In: </w:t>
      </w:r>
      <w:r w:rsidRPr="00962747">
        <w:t xml:space="preserve">II </w:t>
      </w:r>
      <w:r w:rsidR="00330330" w:rsidRPr="00962747">
        <w:t>Congresso Internacional de Direito e Contemporaneidade.</w:t>
      </w:r>
      <w:r w:rsidR="00330330" w:rsidRPr="00D15A99">
        <w:t xml:space="preserve"> Santa Maria</w:t>
      </w:r>
      <w:r w:rsidR="00331610" w:rsidRPr="00D15A99">
        <w:t xml:space="preserve">, </w:t>
      </w:r>
      <w:r w:rsidR="00330330" w:rsidRPr="00D15A99">
        <w:t>RS</w:t>
      </w:r>
      <w:r w:rsidR="00331610" w:rsidRPr="00D15A99">
        <w:t>, Brasil</w:t>
      </w:r>
      <w:r w:rsidR="00962747">
        <w:t xml:space="preserve">. </w:t>
      </w:r>
      <w:r w:rsidR="00962747" w:rsidRPr="00962747">
        <w:rPr>
          <w:b/>
          <w:bCs/>
        </w:rPr>
        <w:t xml:space="preserve">Anais </w:t>
      </w:r>
      <w:r w:rsidR="00962747">
        <w:t>[...]. Santa Maria, RS, Brasil,</w:t>
      </w:r>
      <w:r w:rsidR="00331610" w:rsidRPr="00D15A99">
        <w:t xml:space="preserve"> </w:t>
      </w:r>
      <w:r>
        <w:t>2013</w:t>
      </w:r>
      <w:r w:rsidR="00330330" w:rsidRPr="00D15A99">
        <w:t>.</w:t>
      </w:r>
    </w:p>
    <w:p w14:paraId="7CE3DF95" w14:textId="77777777" w:rsidR="00573348" w:rsidRPr="00D15A99" w:rsidRDefault="00573348" w:rsidP="00D15A99">
      <w:pPr>
        <w:pStyle w:val="NormalWeb"/>
        <w:spacing w:before="0" w:beforeAutospacing="0" w:after="0" w:afterAutospacing="0"/>
        <w:jc w:val="both"/>
      </w:pPr>
    </w:p>
    <w:p w14:paraId="47D05556" w14:textId="0E7BEB38" w:rsidR="00214757" w:rsidRDefault="00CA5F24" w:rsidP="00D15A99">
      <w:pPr>
        <w:spacing w:after="0" w:line="240" w:lineRule="auto"/>
        <w:jc w:val="both"/>
        <w:rPr>
          <w:rFonts w:ascii="Times New Roman" w:hAnsi="Times New Roman"/>
          <w:sz w:val="24"/>
        </w:rPr>
      </w:pPr>
      <w:r w:rsidRPr="00D15A99">
        <w:rPr>
          <w:rFonts w:ascii="Times New Roman" w:hAnsi="Times New Roman"/>
          <w:sz w:val="24"/>
          <w:lang w:val="en-US"/>
        </w:rPr>
        <w:t>SOL,</w:t>
      </w:r>
      <w:r w:rsidR="00214757" w:rsidRPr="00D15A99">
        <w:rPr>
          <w:rFonts w:ascii="Times New Roman" w:hAnsi="Times New Roman"/>
          <w:sz w:val="24"/>
          <w:lang w:val="en-US"/>
        </w:rPr>
        <w:t xml:space="preserve"> D. A. The institutional, economic and social determinants of local government transparency. </w:t>
      </w:r>
      <w:proofErr w:type="spellStart"/>
      <w:r w:rsidR="00214757" w:rsidRPr="00D15A99">
        <w:rPr>
          <w:rFonts w:ascii="Times New Roman" w:hAnsi="Times New Roman"/>
          <w:b/>
          <w:bCs/>
          <w:sz w:val="24"/>
        </w:rPr>
        <w:t>Journal</w:t>
      </w:r>
      <w:proofErr w:type="spellEnd"/>
      <w:r w:rsidR="00214757" w:rsidRPr="00D15A99">
        <w:rPr>
          <w:rFonts w:ascii="Times New Roman" w:hAnsi="Times New Roman"/>
          <w:b/>
          <w:bCs/>
          <w:sz w:val="24"/>
        </w:rPr>
        <w:t xml:space="preserve"> </w:t>
      </w:r>
      <w:proofErr w:type="spellStart"/>
      <w:r w:rsidR="00214757" w:rsidRPr="00D15A99">
        <w:rPr>
          <w:rFonts w:ascii="Times New Roman" w:hAnsi="Times New Roman"/>
          <w:b/>
          <w:bCs/>
          <w:sz w:val="24"/>
        </w:rPr>
        <w:t>of</w:t>
      </w:r>
      <w:proofErr w:type="spellEnd"/>
      <w:r w:rsidR="00214757" w:rsidRPr="00D15A99">
        <w:rPr>
          <w:rFonts w:ascii="Times New Roman" w:hAnsi="Times New Roman"/>
          <w:b/>
          <w:bCs/>
          <w:sz w:val="24"/>
        </w:rPr>
        <w:t xml:space="preserve"> Economic </w:t>
      </w:r>
      <w:proofErr w:type="spellStart"/>
      <w:r w:rsidR="00214757" w:rsidRPr="00D15A99">
        <w:rPr>
          <w:rFonts w:ascii="Times New Roman" w:hAnsi="Times New Roman"/>
          <w:b/>
          <w:bCs/>
          <w:sz w:val="24"/>
        </w:rPr>
        <w:t>Policy</w:t>
      </w:r>
      <w:proofErr w:type="spellEnd"/>
      <w:r w:rsidR="00214757" w:rsidRPr="00D15A99">
        <w:rPr>
          <w:rFonts w:ascii="Times New Roman" w:hAnsi="Times New Roman"/>
          <w:b/>
          <w:bCs/>
          <w:sz w:val="24"/>
        </w:rPr>
        <w:t xml:space="preserve"> </w:t>
      </w:r>
      <w:proofErr w:type="spellStart"/>
      <w:r w:rsidR="00214757" w:rsidRPr="00D15A99">
        <w:rPr>
          <w:rFonts w:ascii="Times New Roman" w:hAnsi="Times New Roman"/>
          <w:b/>
          <w:bCs/>
          <w:sz w:val="24"/>
        </w:rPr>
        <w:t>Reform</w:t>
      </w:r>
      <w:proofErr w:type="spellEnd"/>
      <w:r w:rsidR="00214757" w:rsidRPr="00D15A99">
        <w:rPr>
          <w:rFonts w:ascii="Times New Roman" w:hAnsi="Times New Roman"/>
          <w:sz w:val="24"/>
        </w:rPr>
        <w:t xml:space="preserve">, </w:t>
      </w:r>
      <w:r>
        <w:rPr>
          <w:rFonts w:ascii="Times New Roman" w:hAnsi="Times New Roman"/>
          <w:sz w:val="24"/>
        </w:rPr>
        <w:t>v.</w:t>
      </w:r>
      <w:r w:rsidR="007B44E3">
        <w:rPr>
          <w:rFonts w:ascii="Times New Roman" w:hAnsi="Times New Roman"/>
          <w:sz w:val="24"/>
        </w:rPr>
        <w:t xml:space="preserve"> </w:t>
      </w:r>
      <w:r w:rsidR="00214757" w:rsidRPr="00D15A99">
        <w:rPr>
          <w:rFonts w:ascii="Times New Roman" w:hAnsi="Times New Roman"/>
          <w:sz w:val="24"/>
        </w:rPr>
        <w:t>16</w:t>
      </w:r>
      <w:r>
        <w:rPr>
          <w:rFonts w:ascii="Times New Roman" w:hAnsi="Times New Roman"/>
          <w:sz w:val="24"/>
        </w:rPr>
        <w:t>, n.</w:t>
      </w:r>
      <w:r w:rsidR="007B44E3">
        <w:rPr>
          <w:rFonts w:ascii="Times New Roman" w:hAnsi="Times New Roman"/>
          <w:sz w:val="24"/>
        </w:rPr>
        <w:t xml:space="preserve"> </w:t>
      </w:r>
      <w:r w:rsidR="00214757" w:rsidRPr="00D15A99">
        <w:rPr>
          <w:rFonts w:ascii="Times New Roman" w:hAnsi="Times New Roman"/>
          <w:sz w:val="24"/>
        </w:rPr>
        <w:t>1</w:t>
      </w:r>
      <w:r w:rsidR="00331610" w:rsidRPr="00D15A99">
        <w:rPr>
          <w:rFonts w:ascii="Times New Roman" w:hAnsi="Times New Roman"/>
          <w:sz w:val="24"/>
        </w:rPr>
        <w:t>,</w:t>
      </w:r>
      <w:r>
        <w:rPr>
          <w:rFonts w:ascii="Times New Roman" w:hAnsi="Times New Roman"/>
          <w:sz w:val="24"/>
        </w:rPr>
        <w:t xml:space="preserve"> p.</w:t>
      </w:r>
      <w:r w:rsidR="00214757" w:rsidRPr="00D15A99">
        <w:rPr>
          <w:rFonts w:ascii="Times New Roman" w:hAnsi="Times New Roman"/>
          <w:sz w:val="24"/>
        </w:rPr>
        <w:t xml:space="preserve"> 90-107</w:t>
      </w:r>
      <w:r>
        <w:rPr>
          <w:rFonts w:ascii="Times New Roman" w:hAnsi="Times New Roman"/>
          <w:sz w:val="24"/>
        </w:rPr>
        <w:t>, 2013.</w:t>
      </w:r>
    </w:p>
    <w:p w14:paraId="5DF1CC49" w14:textId="77777777" w:rsidR="00573348" w:rsidRPr="00D15A99" w:rsidRDefault="00573348" w:rsidP="00D15A99">
      <w:pPr>
        <w:spacing w:after="0" w:line="240" w:lineRule="auto"/>
        <w:jc w:val="both"/>
        <w:rPr>
          <w:rFonts w:ascii="Times New Roman" w:hAnsi="Times New Roman"/>
          <w:color w:val="000000" w:themeColor="text1"/>
          <w:sz w:val="28"/>
          <w:szCs w:val="24"/>
        </w:rPr>
      </w:pPr>
    </w:p>
    <w:p w14:paraId="3A17CB19" w14:textId="42FB69B5" w:rsidR="004F1744" w:rsidRDefault="00CA5F24" w:rsidP="00D15A99">
      <w:pPr>
        <w:spacing w:after="0" w:line="240" w:lineRule="auto"/>
        <w:jc w:val="both"/>
        <w:rPr>
          <w:rFonts w:ascii="Times New Roman" w:hAnsi="Times New Roman"/>
          <w:color w:val="000000" w:themeColor="text1"/>
          <w:sz w:val="24"/>
          <w:szCs w:val="24"/>
          <w:lang w:val="en-US"/>
        </w:rPr>
      </w:pPr>
      <w:r w:rsidRPr="00D15A99">
        <w:rPr>
          <w:rFonts w:ascii="Times New Roman" w:hAnsi="Times New Roman"/>
          <w:color w:val="000000" w:themeColor="text1"/>
          <w:sz w:val="24"/>
          <w:szCs w:val="24"/>
          <w:lang w:val="en-US"/>
        </w:rPr>
        <w:t>TODOROV,</w:t>
      </w:r>
      <w:r w:rsidR="00192BD0" w:rsidRPr="00D15A99">
        <w:rPr>
          <w:rFonts w:ascii="Times New Roman" w:hAnsi="Times New Roman"/>
          <w:color w:val="000000" w:themeColor="text1"/>
          <w:sz w:val="24"/>
          <w:szCs w:val="24"/>
          <w:lang w:val="en-US"/>
        </w:rPr>
        <w:t xml:space="preserve"> J. C. Laws and the complex control of behavior. </w:t>
      </w:r>
      <w:r w:rsidR="00192BD0" w:rsidRPr="00D15A99">
        <w:rPr>
          <w:rFonts w:ascii="Times New Roman" w:hAnsi="Times New Roman"/>
          <w:b/>
          <w:bCs/>
          <w:color w:val="000000" w:themeColor="text1"/>
          <w:sz w:val="24"/>
          <w:szCs w:val="24"/>
          <w:lang w:val="en-US"/>
        </w:rPr>
        <w:t>Behavior and social issues</w:t>
      </w:r>
      <w:r w:rsidR="00192BD0" w:rsidRPr="00D15A99">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v. </w:t>
      </w:r>
      <w:r w:rsidR="00192BD0" w:rsidRPr="00D15A99">
        <w:rPr>
          <w:rFonts w:ascii="Times New Roman" w:hAnsi="Times New Roman"/>
          <w:color w:val="000000" w:themeColor="text1"/>
          <w:sz w:val="24"/>
          <w:szCs w:val="24"/>
          <w:lang w:val="en-US"/>
        </w:rPr>
        <w:t xml:space="preserve">14, </w:t>
      </w:r>
      <w:r>
        <w:rPr>
          <w:rFonts w:ascii="Times New Roman" w:hAnsi="Times New Roman"/>
          <w:color w:val="000000" w:themeColor="text1"/>
          <w:sz w:val="24"/>
          <w:szCs w:val="24"/>
          <w:lang w:val="en-US"/>
        </w:rPr>
        <w:t xml:space="preserve">p. </w:t>
      </w:r>
      <w:r w:rsidR="00192BD0" w:rsidRPr="00D15A99">
        <w:rPr>
          <w:rFonts w:ascii="Times New Roman" w:hAnsi="Times New Roman"/>
          <w:color w:val="000000" w:themeColor="text1"/>
          <w:sz w:val="24"/>
          <w:szCs w:val="24"/>
          <w:lang w:val="en-US"/>
        </w:rPr>
        <w:t>86-91</w:t>
      </w:r>
      <w:r>
        <w:rPr>
          <w:rFonts w:ascii="Times New Roman" w:hAnsi="Times New Roman"/>
          <w:color w:val="000000" w:themeColor="text1"/>
          <w:sz w:val="24"/>
          <w:szCs w:val="24"/>
          <w:lang w:val="en-US"/>
        </w:rPr>
        <w:t>, 2005.</w:t>
      </w:r>
    </w:p>
    <w:p w14:paraId="74F3CBCF" w14:textId="77777777" w:rsidR="00573348" w:rsidRPr="00D15A99" w:rsidRDefault="00573348" w:rsidP="00D15A99">
      <w:pPr>
        <w:spacing w:after="0" w:line="240" w:lineRule="auto"/>
        <w:jc w:val="both"/>
        <w:rPr>
          <w:rFonts w:ascii="Times New Roman" w:hAnsi="Times New Roman"/>
          <w:color w:val="000000" w:themeColor="text1"/>
          <w:sz w:val="24"/>
          <w:szCs w:val="24"/>
          <w:lang w:val="en-US"/>
        </w:rPr>
      </w:pPr>
    </w:p>
    <w:p w14:paraId="70938B8A" w14:textId="0C24B200" w:rsidR="004679A3" w:rsidRDefault="00CA5F24" w:rsidP="00D15A99">
      <w:pPr>
        <w:spacing w:after="0" w:line="240" w:lineRule="auto"/>
        <w:jc w:val="both"/>
        <w:rPr>
          <w:rFonts w:ascii="Times New Roman" w:eastAsia="Times New Roman" w:hAnsi="Times New Roman"/>
          <w:color w:val="000000" w:themeColor="text1"/>
          <w:sz w:val="24"/>
          <w:szCs w:val="24"/>
          <w:lang w:val="en-US" w:eastAsia="pt-BR"/>
        </w:rPr>
      </w:pPr>
      <w:r w:rsidRPr="00D15A99">
        <w:rPr>
          <w:rFonts w:ascii="Times New Roman" w:eastAsia="Times New Roman" w:hAnsi="Times New Roman"/>
          <w:color w:val="000000" w:themeColor="text1"/>
          <w:sz w:val="24"/>
          <w:szCs w:val="24"/>
          <w:lang w:val="en-US" w:eastAsia="pt-BR"/>
        </w:rPr>
        <w:t>ZETTLE, R. D.</w:t>
      </w:r>
      <w:r w:rsidR="002E13D5">
        <w:rPr>
          <w:rFonts w:ascii="Times New Roman" w:eastAsia="Times New Roman" w:hAnsi="Times New Roman"/>
          <w:color w:val="000000" w:themeColor="text1"/>
          <w:sz w:val="24"/>
          <w:szCs w:val="24"/>
          <w:lang w:val="en-US" w:eastAsia="pt-BR"/>
        </w:rPr>
        <w:t>;</w:t>
      </w:r>
      <w:r w:rsidRPr="00D15A99">
        <w:rPr>
          <w:rFonts w:ascii="Times New Roman" w:eastAsia="Times New Roman" w:hAnsi="Times New Roman"/>
          <w:color w:val="000000" w:themeColor="text1"/>
          <w:sz w:val="24"/>
          <w:szCs w:val="24"/>
          <w:lang w:val="en-US" w:eastAsia="pt-BR"/>
        </w:rPr>
        <w:t xml:space="preserve"> HAYES</w:t>
      </w:r>
      <w:r w:rsidR="004679A3" w:rsidRPr="00D15A99">
        <w:rPr>
          <w:rFonts w:ascii="Times New Roman" w:eastAsia="Times New Roman" w:hAnsi="Times New Roman"/>
          <w:color w:val="000000" w:themeColor="text1"/>
          <w:sz w:val="24"/>
          <w:szCs w:val="24"/>
          <w:lang w:val="en-US" w:eastAsia="pt-BR"/>
        </w:rPr>
        <w:t xml:space="preserve">, S. C. </w:t>
      </w:r>
      <w:r w:rsidR="004679A3" w:rsidRPr="00D15A99">
        <w:rPr>
          <w:rFonts w:ascii="Times New Roman" w:eastAsia="Times New Roman" w:hAnsi="Times New Roman"/>
          <w:b/>
          <w:bCs/>
          <w:color w:val="000000" w:themeColor="text1"/>
          <w:sz w:val="24"/>
          <w:szCs w:val="24"/>
          <w:lang w:val="en-US" w:eastAsia="pt-BR"/>
        </w:rPr>
        <w:t>Rule-governed behavior</w:t>
      </w:r>
      <w:r w:rsidR="004679A3" w:rsidRPr="00FB064B">
        <w:rPr>
          <w:rFonts w:ascii="Times New Roman" w:eastAsia="Times New Roman" w:hAnsi="Times New Roman"/>
          <w:color w:val="000000" w:themeColor="text1"/>
          <w:sz w:val="24"/>
          <w:szCs w:val="24"/>
          <w:lang w:val="en-US" w:eastAsia="pt-BR"/>
        </w:rPr>
        <w:t xml:space="preserve">: </w:t>
      </w:r>
      <w:r w:rsidR="00F14D6F" w:rsidRPr="00FB064B">
        <w:rPr>
          <w:rFonts w:ascii="Times New Roman" w:eastAsia="Times New Roman" w:hAnsi="Times New Roman"/>
          <w:color w:val="000000" w:themeColor="text1"/>
          <w:sz w:val="24"/>
          <w:szCs w:val="24"/>
          <w:lang w:val="en-US" w:eastAsia="pt-BR"/>
        </w:rPr>
        <w:t xml:space="preserve">a </w:t>
      </w:r>
      <w:r w:rsidR="004679A3" w:rsidRPr="00FB064B">
        <w:rPr>
          <w:rFonts w:ascii="Times New Roman" w:eastAsia="Times New Roman" w:hAnsi="Times New Roman"/>
          <w:color w:val="000000" w:themeColor="text1"/>
          <w:sz w:val="24"/>
          <w:szCs w:val="24"/>
          <w:lang w:val="en-US" w:eastAsia="pt-BR"/>
        </w:rPr>
        <w:t xml:space="preserve">potential theoretical framework for cognitive-behavioral therapy. </w:t>
      </w:r>
      <w:r w:rsidR="00635165" w:rsidRPr="00FB064B">
        <w:rPr>
          <w:rFonts w:ascii="Times New Roman" w:hAnsi="Times New Roman"/>
          <w:sz w:val="24"/>
          <w:szCs w:val="24"/>
          <w:shd w:val="clear" w:color="auto" w:fill="FFFFFF"/>
        </w:rPr>
        <w:t>In</w:t>
      </w:r>
      <w:r>
        <w:rPr>
          <w:rFonts w:ascii="Times New Roman" w:hAnsi="Times New Roman"/>
          <w:sz w:val="24"/>
          <w:szCs w:val="24"/>
          <w:shd w:val="clear" w:color="auto" w:fill="FFFFFF"/>
        </w:rPr>
        <w:t>:</w:t>
      </w:r>
      <w:r w:rsidR="00635165" w:rsidRPr="00D15A99">
        <w:rPr>
          <w:rFonts w:ascii="Times New Roman" w:hAnsi="Times New Roman"/>
          <w:sz w:val="24"/>
          <w:szCs w:val="24"/>
          <w:shd w:val="clear" w:color="auto" w:fill="FFFFFF"/>
        </w:rPr>
        <w:t xml:space="preserve"> S. C. Hayes (Ed.), </w:t>
      </w:r>
      <w:r w:rsidR="00635165" w:rsidRPr="00D15A99">
        <w:rPr>
          <w:rStyle w:val="nfase"/>
          <w:rFonts w:ascii="Times New Roman" w:hAnsi="Times New Roman"/>
          <w:i w:val="0"/>
          <w:iCs w:val="0"/>
          <w:sz w:val="24"/>
          <w:szCs w:val="24"/>
          <w:shd w:val="clear" w:color="auto" w:fill="FFFFFF"/>
        </w:rPr>
        <w:t xml:space="preserve">World </w:t>
      </w:r>
      <w:proofErr w:type="spellStart"/>
      <w:r w:rsidR="00635165" w:rsidRPr="00D15A99">
        <w:rPr>
          <w:rStyle w:val="nfase"/>
          <w:rFonts w:ascii="Times New Roman" w:hAnsi="Times New Roman"/>
          <w:i w:val="0"/>
          <w:iCs w:val="0"/>
          <w:sz w:val="24"/>
          <w:szCs w:val="24"/>
          <w:shd w:val="clear" w:color="auto" w:fill="FFFFFF"/>
        </w:rPr>
        <w:t>library</w:t>
      </w:r>
      <w:proofErr w:type="spellEnd"/>
      <w:r w:rsidR="00635165" w:rsidRPr="00D15A99">
        <w:rPr>
          <w:rStyle w:val="nfase"/>
          <w:rFonts w:ascii="Times New Roman" w:hAnsi="Times New Roman"/>
          <w:i w:val="0"/>
          <w:iCs w:val="0"/>
          <w:sz w:val="24"/>
          <w:szCs w:val="24"/>
          <w:shd w:val="clear" w:color="auto" w:fill="FFFFFF"/>
        </w:rPr>
        <w:t xml:space="preserve"> </w:t>
      </w:r>
      <w:proofErr w:type="spellStart"/>
      <w:r w:rsidR="00635165" w:rsidRPr="00D15A99">
        <w:rPr>
          <w:rStyle w:val="nfase"/>
          <w:rFonts w:ascii="Times New Roman" w:hAnsi="Times New Roman"/>
          <w:i w:val="0"/>
          <w:iCs w:val="0"/>
          <w:sz w:val="24"/>
          <w:szCs w:val="24"/>
          <w:shd w:val="clear" w:color="auto" w:fill="FFFFFF"/>
        </w:rPr>
        <w:t>of</w:t>
      </w:r>
      <w:proofErr w:type="spellEnd"/>
      <w:r w:rsidR="00635165" w:rsidRPr="00D15A99">
        <w:rPr>
          <w:rStyle w:val="nfase"/>
          <w:rFonts w:ascii="Times New Roman" w:hAnsi="Times New Roman"/>
          <w:i w:val="0"/>
          <w:iCs w:val="0"/>
          <w:sz w:val="24"/>
          <w:szCs w:val="24"/>
          <w:shd w:val="clear" w:color="auto" w:fill="FFFFFF"/>
        </w:rPr>
        <w:t xml:space="preserve"> mental </w:t>
      </w:r>
      <w:proofErr w:type="spellStart"/>
      <w:r w:rsidR="00635165" w:rsidRPr="00D15A99">
        <w:rPr>
          <w:rStyle w:val="nfase"/>
          <w:rFonts w:ascii="Times New Roman" w:hAnsi="Times New Roman"/>
          <w:i w:val="0"/>
          <w:iCs w:val="0"/>
          <w:sz w:val="24"/>
          <w:szCs w:val="24"/>
          <w:shd w:val="clear" w:color="auto" w:fill="FFFFFF"/>
        </w:rPr>
        <w:t>health</w:t>
      </w:r>
      <w:proofErr w:type="spellEnd"/>
      <w:r w:rsidR="00635165" w:rsidRPr="00D15A99">
        <w:rPr>
          <w:rStyle w:val="nfase"/>
          <w:rFonts w:ascii="Times New Roman" w:hAnsi="Times New Roman"/>
          <w:i w:val="0"/>
          <w:iCs w:val="0"/>
          <w:sz w:val="24"/>
          <w:szCs w:val="24"/>
          <w:shd w:val="clear" w:color="auto" w:fill="FFFFFF"/>
        </w:rPr>
        <w:t>.</w:t>
      </w:r>
      <w:r w:rsidR="00635165" w:rsidRPr="00D15A99">
        <w:rPr>
          <w:rFonts w:ascii="Times New Roman" w:eastAsia="Times New Roman" w:hAnsi="Times New Roman"/>
          <w:color w:val="000000" w:themeColor="text1"/>
          <w:sz w:val="24"/>
          <w:szCs w:val="24"/>
          <w:lang w:val="en-US" w:eastAsia="pt-BR"/>
        </w:rPr>
        <w:t xml:space="preserve"> </w:t>
      </w:r>
      <w:r w:rsidR="004679A3" w:rsidRPr="00D15A99">
        <w:rPr>
          <w:rFonts w:ascii="Times New Roman" w:eastAsia="Times New Roman" w:hAnsi="Times New Roman"/>
          <w:color w:val="000000" w:themeColor="text1"/>
          <w:sz w:val="24"/>
          <w:szCs w:val="24"/>
          <w:lang w:val="en-US" w:eastAsia="pt-BR"/>
        </w:rPr>
        <w:t>The Act in Context: The Canonical Papers of Steven C. Hayes</w:t>
      </w:r>
      <w:r w:rsidR="00635165" w:rsidRPr="00D15A99">
        <w:rPr>
          <w:rFonts w:ascii="Times New Roman" w:eastAsia="Times New Roman" w:hAnsi="Times New Roman"/>
          <w:color w:val="000000" w:themeColor="text1"/>
          <w:sz w:val="24"/>
          <w:szCs w:val="24"/>
          <w:lang w:val="en-US" w:eastAsia="pt-BR"/>
        </w:rPr>
        <w:t xml:space="preserve"> (3-37)</w:t>
      </w:r>
      <w:r w:rsidR="004679A3" w:rsidRPr="00D15A99">
        <w:rPr>
          <w:rFonts w:ascii="Times New Roman" w:eastAsia="Times New Roman" w:hAnsi="Times New Roman"/>
          <w:color w:val="000000" w:themeColor="text1"/>
          <w:sz w:val="24"/>
          <w:szCs w:val="24"/>
          <w:lang w:val="en-US" w:eastAsia="pt-BR"/>
        </w:rPr>
        <w:t xml:space="preserve">. </w:t>
      </w:r>
      <w:proofErr w:type="spellStart"/>
      <w:r w:rsidR="00635165" w:rsidRPr="00D15A99">
        <w:rPr>
          <w:rFonts w:ascii="Times New Roman" w:hAnsi="Times New Roman"/>
          <w:color w:val="333333"/>
          <w:sz w:val="24"/>
          <w:szCs w:val="24"/>
          <w:shd w:val="clear" w:color="auto" w:fill="FFFFFF"/>
        </w:rPr>
        <w:t>Routledge</w:t>
      </w:r>
      <w:proofErr w:type="spellEnd"/>
      <w:r w:rsidR="00635165" w:rsidRPr="00D15A99">
        <w:rPr>
          <w:rFonts w:ascii="Times New Roman" w:hAnsi="Times New Roman"/>
          <w:color w:val="333333"/>
          <w:sz w:val="24"/>
          <w:szCs w:val="24"/>
          <w:shd w:val="clear" w:color="auto" w:fill="FFFFFF"/>
        </w:rPr>
        <w:t xml:space="preserve">/Taylor &amp; Francis </w:t>
      </w:r>
      <w:proofErr w:type="spellStart"/>
      <w:r w:rsidR="00635165" w:rsidRPr="00D15A99">
        <w:rPr>
          <w:rFonts w:ascii="Times New Roman" w:hAnsi="Times New Roman"/>
          <w:color w:val="333333"/>
          <w:sz w:val="24"/>
          <w:szCs w:val="24"/>
          <w:shd w:val="clear" w:color="auto" w:fill="FFFFFF"/>
        </w:rPr>
        <w:t>Group</w:t>
      </w:r>
      <w:proofErr w:type="spellEnd"/>
      <w:r>
        <w:rPr>
          <w:rFonts w:ascii="Times New Roman" w:hAnsi="Times New Roman"/>
          <w:color w:val="333333"/>
          <w:sz w:val="24"/>
          <w:szCs w:val="24"/>
          <w:shd w:val="clear" w:color="auto" w:fill="FFFFFF"/>
        </w:rPr>
        <w:t xml:space="preserve">, </w:t>
      </w:r>
      <w:r w:rsidR="00DB5FB2">
        <w:rPr>
          <w:rFonts w:ascii="Times New Roman" w:hAnsi="Times New Roman"/>
          <w:color w:val="333333"/>
          <w:sz w:val="24"/>
          <w:szCs w:val="24"/>
          <w:shd w:val="clear" w:color="auto" w:fill="FFFFFF"/>
        </w:rPr>
        <w:t>1982</w:t>
      </w:r>
      <w:r>
        <w:rPr>
          <w:rFonts w:ascii="Times New Roman" w:hAnsi="Times New Roman"/>
          <w:color w:val="333333"/>
          <w:sz w:val="24"/>
          <w:szCs w:val="24"/>
          <w:shd w:val="clear" w:color="auto" w:fill="FFFFFF"/>
        </w:rPr>
        <w:t xml:space="preserve">. </w:t>
      </w:r>
      <w:r w:rsidR="00635165" w:rsidRPr="00D15A99">
        <w:rPr>
          <w:rFonts w:ascii="Times New Roman" w:eastAsia="Times New Roman" w:hAnsi="Times New Roman"/>
          <w:color w:val="000000" w:themeColor="text1"/>
          <w:sz w:val="24"/>
          <w:szCs w:val="24"/>
          <w:lang w:val="en-US" w:eastAsia="pt-BR"/>
        </w:rPr>
        <w:t xml:space="preserve"> </w:t>
      </w:r>
      <w:hyperlink r:id="rId24" w:history="1">
        <w:r w:rsidR="00573348" w:rsidRPr="001E068A">
          <w:rPr>
            <w:rStyle w:val="Hyperlink"/>
            <w:rFonts w:ascii="Times New Roman" w:eastAsia="Times New Roman" w:hAnsi="Times New Roman"/>
            <w:sz w:val="24"/>
            <w:szCs w:val="24"/>
            <w:lang w:val="en-US" w:eastAsia="pt-BR"/>
          </w:rPr>
          <w:t>http://doi.org/10.4324/9781315745138</w:t>
        </w:r>
      </w:hyperlink>
    </w:p>
    <w:p w14:paraId="43C90724" w14:textId="77777777" w:rsidR="00573348" w:rsidRPr="00D15A99" w:rsidRDefault="00573348" w:rsidP="00D15A99">
      <w:pPr>
        <w:spacing w:after="0" w:line="240" w:lineRule="auto"/>
        <w:jc w:val="both"/>
        <w:rPr>
          <w:rFonts w:ascii="Times New Roman" w:eastAsia="Times New Roman" w:hAnsi="Times New Roman"/>
          <w:color w:val="000000" w:themeColor="text1"/>
          <w:sz w:val="24"/>
          <w:szCs w:val="24"/>
          <w:lang w:val="en-US" w:eastAsia="pt-BR"/>
        </w:rPr>
      </w:pPr>
    </w:p>
    <w:p w14:paraId="0CAEE79A" w14:textId="5081E1FD" w:rsidR="007B56D1" w:rsidRPr="00D15A99" w:rsidRDefault="00CA5F24" w:rsidP="00D15A99">
      <w:pPr>
        <w:spacing w:after="0" w:line="240" w:lineRule="auto"/>
        <w:jc w:val="both"/>
        <w:rPr>
          <w:rFonts w:ascii="Times New Roman" w:hAnsi="Times New Roman"/>
          <w:color w:val="000000" w:themeColor="text1"/>
          <w:sz w:val="24"/>
          <w:szCs w:val="24"/>
        </w:rPr>
      </w:pPr>
      <w:r w:rsidRPr="00D15A99">
        <w:rPr>
          <w:rFonts w:ascii="Times New Roman" w:hAnsi="Times New Roman"/>
          <w:color w:val="000000" w:themeColor="text1"/>
          <w:sz w:val="24"/>
          <w:szCs w:val="24"/>
        </w:rPr>
        <w:t>WOOLDRIDGE</w:t>
      </w:r>
      <w:r w:rsidR="008B6943" w:rsidRPr="00D15A99">
        <w:rPr>
          <w:rFonts w:ascii="Times New Roman" w:hAnsi="Times New Roman"/>
          <w:color w:val="000000" w:themeColor="text1"/>
          <w:sz w:val="24"/>
          <w:szCs w:val="24"/>
        </w:rPr>
        <w:t xml:space="preserve">, J. M. </w:t>
      </w:r>
      <w:r w:rsidR="008B6943" w:rsidRPr="00D15A99">
        <w:rPr>
          <w:rFonts w:ascii="Times New Roman" w:hAnsi="Times New Roman"/>
          <w:b/>
          <w:bCs/>
          <w:color w:val="000000" w:themeColor="text1"/>
          <w:sz w:val="24"/>
          <w:szCs w:val="24"/>
        </w:rPr>
        <w:t>Introdução à econometria: uma abordagem moderna</w:t>
      </w:r>
      <w:r w:rsidR="008B6943" w:rsidRPr="00D15A99">
        <w:rPr>
          <w:rFonts w:ascii="Times New Roman" w:hAnsi="Times New Roman"/>
          <w:color w:val="000000" w:themeColor="text1"/>
          <w:sz w:val="24"/>
          <w:szCs w:val="24"/>
        </w:rPr>
        <w:t xml:space="preserve">. São Paulo: </w:t>
      </w:r>
      <w:proofErr w:type="spellStart"/>
      <w:r w:rsidR="008B6943" w:rsidRPr="00D15A99">
        <w:rPr>
          <w:rFonts w:ascii="Times New Roman" w:hAnsi="Times New Roman"/>
          <w:color w:val="000000" w:themeColor="text1"/>
          <w:sz w:val="24"/>
          <w:szCs w:val="24"/>
        </w:rPr>
        <w:t>Cengage</w:t>
      </w:r>
      <w:proofErr w:type="spellEnd"/>
      <w:r w:rsidR="008B6943" w:rsidRPr="00D15A99">
        <w:rPr>
          <w:rFonts w:ascii="Times New Roman" w:hAnsi="Times New Roman"/>
          <w:color w:val="000000" w:themeColor="text1"/>
          <w:sz w:val="24"/>
          <w:szCs w:val="24"/>
        </w:rPr>
        <w:t xml:space="preserve"> Learning</w:t>
      </w:r>
      <w:r w:rsidR="00F108B3">
        <w:rPr>
          <w:rFonts w:ascii="Times New Roman" w:hAnsi="Times New Roman"/>
          <w:color w:val="000000" w:themeColor="text1"/>
          <w:sz w:val="24"/>
          <w:szCs w:val="24"/>
        </w:rPr>
        <w:t>, 2010.</w:t>
      </w:r>
    </w:p>
    <w:sectPr w:rsidR="007B56D1" w:rsidRPr="00D15A99" w:rsidSect="00091195">
      <w:footerReference w:type="default" r:id="rId2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1215D" w14:textId="77777777" w:rsidR="00BF65A8" w:rsidRDefault="00BF65A8" w:rsidP="003A20F2">
      <w:pPr>
        <w:spacing w:after="0" w:line="240" w:lineRule="auto"/>
      </w:pPr>
      <w:r>
        <w:separator/>
      </w:r>
    </w:p>
  </w:endnote>
  <w:endnote w:type="continuationSeparator" w:id="0">
    <w:p w14:paraId="6B23B1B9" w14:textId="77777777" w:rsidR="00BF65A8" w:rsidRDefault="00BF65A8" w:rsidP="003A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650889"/>
      <w:docPartObj>
        <w:docPartGallery w:val="Page Numbers (Bottom of Page)"/>
        <w:docPartUnique/>
      </w:docPartObj>
    </w:sdtPr>
    <w:sdtEndPr>
      <w:rPr>
        <w:rFonts w:ascii="Times New Roman" w:hAnsi="Times New Roman"/>
        <w:sz w:val="20"/>
        <w:szCs w:val="20"/>
      </w:rPr>
    </w:sdtEndPr>
    <w:sdtContent>
      <w:p w14:paraId="5F1BC5A6" w14:textId="3BCC6327" w:rsidR="005A2B69" w:rsidRPr="005A2B69" w:rsidRDefault="005A2B69">
        <w:pPr>
          <w:pStyle w:val="Rodap"/>
          <w:jc w:val="right"/>
          <w:rPr>
            <w:rFonts w:ascii="Times New Roman" w:hAnsi="Times New Roman"/>
            <w:sz w:val="20"/>
            <w:szCs w:val="20"/>
          </w:rPr>
        </w:pPr>
        <w:r w:rsidRPr="005A2B69">
          <w:rPr>
            <w:rFonts w:ascii="Times New Roman" w:hAnsi="Times New Roman"/>
            <w:sz w:val="20"/>
            <w:szCs w:val="20"/>
          </w:rPr>
          <w:fldChar w:fldCharType="begin"/>
        </w:r>
        <w:r w:rsidRPr="005A2B69">
          <w:rPr>
            <w:rFonts w:ascii="Times New Roman" w:hAnsi="Times New Roman"/>
            <w:sz w:val="20"/>
            <w:szCs w:val="20"/>
          </w:rPr>
          <w:instrText>PAGE   \* MERGEFORMAT</w:instrText>
        </w:r>
        <w:r w:rsidRPr="005A2B69">
          <w:rPr>
            <w:rFonts w:ascii="Times New Roman" w:hAnsi="Times New Roman"/>
            <w:sz w:val="20"/>
            <w:szCs w:val="20"/>
          </w:rPr>
          <w:fldChar w:fldCharType="separate"/>
        </w:r>
        <w:r w:rsidRPr="005A2B69">
          <w:rPr>
            <w:rFonts w:ascii="Times New Roman" w:hAnsi="Times New Roman"/>
            <w:sz w:val="20"/>
            <w:szCs w:val="20"/>
          </w:rPr>
          <w:t>2</w:t>
        </w:r>
        <w:r w:rsidRPr="005A2B69">
          <w:rPr>
            <w:rFonts w:ascii="Times New Roman" w:hAnsi="Times New Roman"/>
            <w:sz w:val="20"/>
            <w:szCs w:val="20"/>
          </w:rPr>
          <w:fldChar w:fldCharType="end"/>
        </w:r>
      </w:p>
    </w:sdtContent>
  </w:sdt>
  <w:p w14:paraId="38CD1345" w14:textId="77777777" w:rsidR="005A2B69" w:rsidRDefault="005A2B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9D603" w14:textId="77777777" w:rsidR="00BF65A8" w:rsidRDefault="00BF65A8" w:rsidP="003A20F2">
      <w:pPr>
        <w:spacing w:after="0" w:line="240" w:lineRule="auto"/>
      </w:pPr>
      <w:r>
        <w:separator/>
      </w:r>
    </w:p>
  </w:footnote>
  <w:footnote w:type="continuationSeparator" w:id="0">
    <w:p w14:paraId="032C4785" w14:textId="77777777" w:rsidR="00BF65A8" w:rsidRDefault="00BF65A8" w:rsidP="003A2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12111"/>
    <w:multiLevelType w:val="hybridMultilevel"/>
    <w:tmpl w:val="A0AA12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E6453A"/>
    <w:multiLevelType w:val="hybridMultilevel"/>
    <w:tmpl w:val="A97EDA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CD53B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
  </w:num>
  <w:num w:numId="2">
    <w:abstractNumId w:val="1"/>
  </w:num>
  <w:num w:numId="3">
    <w:abstractNumId w:val="2"/>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B7"/>
    <w:rsid w:val="000011E8"/>
    <w:rsid w:val="00003EAE"/>
    <w:rsid w:val="00003FD0"/>
    <w:rsid w:val="00013E6F"/>
    <w:rsid w:val="00016724"/>
    <w:rsid w:val="00024788"/>
    <w:rsid w:val="00027501"/>
    <w:rsid w:val="0003010C"/>
    <w:rsid w:val="0003269D"/>
    <w:rsid w:val="0003595F"/>
    <w:rsid w:val="00040147"/>
    <w:rsid w:val="00041958"/>
    <w:rsid w:val="00044513"/>
    <w:rsid w:val="00052584"/>
    <w:rsid w:val="00053DA7"/>
    <w:rsid w:val="0005512C"/>
    <w:rsid w:val="00055480"/>
    <w:rsid w:val="000578BF"/>
    <w:rsid w:val="00064500"/>
    <w:rsid w:val="00064689"/>
    <w:rsid w:val="00064C2D"/>
    <w:rsid w:val="00065B6B"/>
    <w:rsid w:val="00065C53"/>
    <w:rsid w:val="0006613A"/>
    <w:rsid w:val="00067661"/>
    <w:rsid w:val="0007035E"/>
    <w:rsid w:val="000810F8"/>
    <w:rsid w:val="000859A1"/>
    <w:rsid w:val="00085C11"/>
    <w:rsid w:val="00091195"/>
    <w:rsid w:val="00092476"/>
    <w:rsid w:val="0009247F"/>
    <w:rsid w:val="000A01C9"/>
    <w:rsid w:val="000A221F"/>
    <w:rsid w:val="000A3939"/>
    <w:rsid w:val="000A43C0"/>
    <w:rsid w:val="000A4679"/>
    <w:rsid w:val="000B6B45"/>
    <w:rsid w:val="000C04CD"/>
    <w:rsid w:val="000C15B5"/>
    <w:rsid w:val="000D0F4D"/>
    <w:rsid w:val="000D13D8"/>
    <w:rsid w:val="000D1872"/>
    <w:rsid w:val="000D3EAF"/>
    <w:rsid w:val="000D4EFE"/>
    <w:rsid w:val="000D70EA"/>
    <w:rsid w:val="000E1B85"/>
    <w:rsid w:val="000E28E5"/>
    <w:rsid w:val="000E3E57"/>
    <w:rsid w:val="000E402B"/>
    <w:rsid w:val="000E4342"/>
    <w:rsid w:val="000E6AAF"/>
    <w:rsid w:val="000E70F5"/>
    <w:rsid w:val="000F0954"/>
    <w:rsid w:val="000F0A73"/>
    <w:rsid w:val="000F41BA"/>
    <w:rsid w:val="000F5840"/>
    <w:rsid w:val="000F6673"/>
    <w:rsid w:val="00100376"/>
    <w:rsid w:val="00102A80"/>
    <w:rsid w:val="00103047"/>
    <w:rsid w:val="001047D9"/>
    <w:rsid w:val="00104A29"/>
    <w:rsid w:val="00105928"/>
    <w:rsid w:val="0010699B"/>
    <w:rsid w:val="00106A2F"/>
    <w:rsid w:val="00111610"/>
    <w:rsid w:val="00111A71"/>
    <w:rsid w:val="00115CF1"/>
    <w:rsid w:val="00116F20"/>
    <w:rsid w:val="00117487"/>
    <w:rsid w:val="00120A84"/>
    <w:rsid w:val="00124742"/>
    <w:rsid w:val="00125802"/>
    <w:rsid w:val="001311D5"/>
    <w:rsid w:val="00131D4F"/>
    <w:rsid w:val="0013428E"/>
    <w:rsid w:val="00137F06"/>
    <w:rsid w:val="0014237C"/>
    <w:rsid w:val="0014336C"/>
    <w:rsid w:val="00143D8F"/>
    <w:rsid w:val="0015232E"/>
    <w:rsid w:val="00153B08"/>
    <w:rsid w:val="00154F68"/>
    <w:rsid w:val="0015501A"/>
    <w:rsid w:val="00160538"/>
    <w:rsid w:val="0016162B"/>
    <w:rsid w:val="001647A6"/>
    <w:rsid w:val="00165FEA"/>
    <w:rsid w:val="00166A87"/>
    <w:rsid w:val="001679AD"/>
    <w:rsid w:val="00167C1D"/>
    <w:rsid w:val="00171A2D"/>
    <w:rsid w:val="0017656F"/>
    <w:rsid w:val="00181537"/>
    <w:rsid w:val="00183364"/>
    <w:rsid w:val="00183A28"/>
    <w:rsid w:val="00183A64"/>
    <w:rsid w:val="00192BD0"/>
    <w:rsid w:val="00193858"/>
    <w:rsid w:val="001A25BD"/>
    <w:rsid w:val="001A66DC"/>
    <w:rsid w:val="001B0624"/>
    <w:rsid w:val="001B3823"/>
    <w:rsid w:val="001B7218"/>
    <w:rsid w:val="001C1100"/>
    <w:rsid w:val="001C5BCD"/>
    <w:rsid w:val="001D0D3E"/>
    <w:rsid w:val="001D2345"/>
    <w:rsid w:val="001D78EF"/>
    <w:rsid w:val="001E0B72"/>
    <w:rsid w:val="001E104E"/>
    <w:rsid w:val="001E1A8C"/>
    <w:rsid w:val="001E1D3F"/>
    <w:rsid w:val="001E5AD8"/>
    <w:rsid w:val="001E7F94"/>
    <w:rsid w:val="001F4839"/>
    <w:rsid w:val="001F638C"/>
    <w:rsid w:val="00204273"/>
    <w:rsid w:val="0021128C"/>
    <w:rsid w:val="002133C0"/>
    <w:rsid w:val="00214757"/>
    <w:rsid w:val="00215124"/>
    <w:rsid w:val="002166F8"/>
    <w:rsid w:val="0021730A"/>
    <w:rsid w:val="0022025B"/>
    <w:rsid w:val="00220750"/>
    <w:rsid w:val="00220F14"/>
    <w:rsid w:val="00223B86"/>
    <w:rsid w:val="00224121"/>
    <w:rsid w:val="00230515"/>
    <w:rsid w:val="0023166B"/>
    <w:rsid w:val="00235147"/>
    <w:rsid w:val="00235B39"/>
    <w:rsid w:val="00243E5F"/>
    <w:rsid w:val="00244112"/>
    <w:rsid w:val="002455C3"/>
    <w:rsid w:val="00247187"/>
    <w:rsid w:val="00251448"/>
    <w:rsid w:val="00252712"/>
    <w:rsid w:val="00252962"/>
    <w:rsid w:val="00265A79"/>
    <w:rsid w:val="00270CCE"/>
    <w:rsid w:val="00281B23"/>
    <w:rsid w:val="00284DF6"/>
    <w:rsid w:val="00290009"/>
    <w:rsid w:val="002915AC"/>
    <w:rsid w:val="00293098"/>
    <w:rsid w:val="00293467"/>
    <w:rsid w:val="00295915"/>
    <w:rsid w:val="002A0BFE"/>
    <w:rsid w:val="002A3917"/>
    <w:rsid w:val="002A5F2E"/>
    <w:rsid w:val="002B127B"/>
    <w:rsid w:val="002B391F"/>
    <w:rsid w:val="002B584F"/>
    <w:rsid w:val="002C3D24"/>
    <w:rsid w:val="002C4434"/>
    <w:rsid w:val="002C583B"/>
    <w:rsid w:val="002C6F59"/>
    <w:rsid w:val="002D22B8"/>
    <w:rsid w:val="002D2B14"/>
    <w:rsid w:val="002D6E8E"/>
    <w:rsid w:val="002E05C5"/>
    <w:rsid w:val="002E13D5"/>
    <w:rsid w:val="002E24A8"/>
    <w:rsid w:val="002E4853"/>
    <w:rsid w:val="002E6802"/>
    <w:rsid w:val="002E7724"/>
    <w:rsid w:val="002F00E0"/>
    <w:rsid w:val="002F18A1"/>
    <w:rsid w:val="002F2231"/>
    <w:rsid w:val="002F226E"/>
    <w:rsid w:val="002F4637"/>
    <w:rsid w:val="002F6F00"/>
    <w:rsid w:val="002F76E1"/>
    <w:rsid w:val="00300972"/>
    <w:rsid w:val="0030312F"/>
    <w:rsid w:val="0031706B"/>
    <w:rsid w:val="00317B4F"/>
    <w:rsid w:val="00321FBB"/>
    <w:rsid w:val="00323ABF"/>
    <w:rsid w:val="00324041"/>
    <w:rsid w:val="00325F0C"/>
    <w:rsid w:val="00330330"/>
    <w:rsid w:val="00331610"/>
    <w:rsid w:val="003321B3"/>
    <w:rsid w:val="00332201"/>
    <w:rsid w:val="00333840"/>
    <w:rsid w:val="0034303D"/>
    <w:rsid w:val="00344D8B"/>
    <w:rsid w:val="0034584F"/>
    <w:rsid w:val="00346FDE"/>
    <w:rsid w:val="003476A6"/>
    <w:rsid w:val="0035517D"/>
    <w:rsid w:val="00357907"/>
    <w:rsid w:val="00360CB2"/>
    <w:rsid w:val="003620FE"/>
    <w:rsid w:val="00362739"/>
    <w:rsid w:val="00362F08"/>
    <w:rsid w:val="00362FF3"/>
    <w:rsid w:val="00371043"/>
    <w:rsid w:val="003832C3"/>
    <w:rsid w:val="00385E27"/>
    <w:rsid w:val="003900AD"/>
    <w:rsid w:val="00390CB6"/>
    <w:rsid w:val="00393647"/>
    <w:rsid w:val="00395F0D"/>
    <w:rsid w:val="003A00EA"/>
    <w:rsid w:val="003A0B59"/>
    <w:rsid w:val="003A200A"/>
    <w:rsid w:val="003A20F2"/>
    <w:rsid w:val="003A3AC4"/>
    <w:rsid w:val="003A42A1"/>
    <w:rsid w:val="003A6459"/>
    <w:rsid w:val="003B0F82"/>
    <w:rsid w:val="003B26C6"/>
    <w:rsid w:val="003B3F38"/>
    <w:rsid w:val="003C190B"/>
    <w:rsid w:val="003C641C"/>
    <w:rsid w:val="003C6C8E"/>
    <w:rsid w:val="003D0A20"/>
    <w:rsid w:val="003D1263"/>
    <w:rsid w:val="003D15A7"/>
    <w:rsid w:val="003D2578"/>
    <w:rsid w:val="003D2C1F"/>
    <w:rsid w:val="003D38C7"/>
    <w:rsid w:val="003D6D51"/>
    <w:rsid w:val="003E1703"/>
    <w:rsid w:val="003E24C5"/>
    <w:rsid w:val="003E3F7A"/>
    <w:rsid w:val="004030AC"/>
    <w:rsid w:val="004044EE"/>
    <w:rsid w:val="004133D6"/>
    <w:rsid w:val="00413C22"/>
    <w:rsid w:val="0041401F"/>
    <w:rsid w:val="00415E54"/>
    <w:rsid w:val="00420107"/>
    <w:rsid w:val="004203E4"/>
    <w:rsid w:val="004232B5"/>
    <w:rsid w:val="0043235B"/>
    <w:rsid w:val="0043294A"/>
    <w:rsid w:val="004348EA"/>
    <w:rsid w:val="00435E5D"/>
    <w:rsid w:val="00437093"/>
    <w:rsid w:val="0044183C"/>
    <w:rsid w:val="00443846"/>
    <w:rsid w:val="00444730"/>
    <w:rsid w:val="004462C5"/>
    <w:rsid w:val="004478E9"/>
    <w:rsid w:val="00451088"/>
    <w:rsid w:val="004510C6"/>
    <w:rsid w:val="004537B3"/>
    <w:rsid w:val="00453855"/>
    <w:rsid w:val="00456AEB"/>
    <w:rsid w:val="004606AA"/>
    <w:rsid w:val="00463839"/>
    <w:rsid w:val="00466C3E"/>
    <w:rsid w:val="004679A3"/>
    <w:rsid w:val="004713DD"/>
    <w:rsid w:val="004716CD"/>
    <w:rsid w:val="00471AAE"/>
    <w:rsid w:val="00477788"/>
    <w:rsid w:val="00490574"/>
    <w:rsid w:val="004915BD"/>
    <w:rsid w:val="00491E0F"/>
    <w:rsid w:val="004959D6"/>
    <w:rsid w:val="004A0750"/>
    <w:rsid w:val="004A476E"/>
    <w:rsid w:val="004A5739"/>
    <w:rsid w:val="004A5A7B"/>
    <w:rsid w:val="004A6FF5"/>
    <w:rsid w:val="004B1EC5"/>
    <w:rsid w:val="004B5E0C"/>
    <w:rsid w:val="004B783D"/>
    <w:rsid w:val="004C27F6"/>
    <w:rsid w:val="004C30A2"/>
    <w:rsid w:val="004C335F"/>
    <w:rsid w:val="004D0D2A"/>
    <w:rsid w:val="004D4395"/>
    <w:rsid w:val="004D4468"/>
    <w:rsid w:val="004D723F"/>
    <w:rsid w:val="004E09E8"/>
    <w:rsid w:val="004F0A08"/>
    <w:rsid w:val="004F1744"/>
    <w:rsid w:val="004F1EF1"/>
    <w:rsid w:val="004F244D"/>
    <w:rsid w:val="004F5D4E"/>
    <w:rsid w:val="004F60B9"/>
    <w:rsid w:val="00500917"/>
    <w:rsid w:val="00501C7C"/>
    <w:rsid w:val="00503D21"/>
    <w:rsid w:val="005043F1"/>
    <w:rsid w:val="00504AE1"/>
    <w:rsid w:val="00505655"/>
    <w:rsid w:val="005074DA"/>
    <w:rsid w:val="00507CC3"/>
    <w:rsid w:val="00511B57"/>
    <w:rsid w:val="00515240"/>
    <w:rsid w:val="00515F77"/>
    <w:rsid w:val="005162BC"/>
    <w:rsid w:val="0051734F"/>
    <w:rsid w:val="00517B34"/>
    <w:rsid w:val="0052061D"/>
    <w:rsid w:val="005208F1"/>
    <w:rsid w:val="00520A56"/>
    <w:rsid w:val="0052343D"/>
    <w:rsid w:val="00530D25"/>
    <w:rsid w:val="005320B4"/>
    <w:rsid w:val="00534AE6"/>
    <w:rsid w:val="0053560B"/>
    <w:rsid w:val="005360BD"/>
    <w:rsid w:val="005370F5"/>
    <w:rsid w:val="00537B5C"/>
    <w:rsid w:val="00537C07"/>
    <w:rsid w:val="0054065D"/>
    <w:rsid w:val="0054092F"/>
    <w:rsid w:val="00542EA5"/>
    <w:rsid w:val="00546235"/>
    <w:rsid w:val="00551F08"/>
    <w:rsid w:val="005543A5"/>
    <w:rsid w:val="00563EE7"/>
    <w:rsid w:val="0056408C"/>
    <w:rsid w:val="0056480C"/>
    <w:rsid w:val="005678B8"/>
    <w:rsid w:val="00570D06"/>
    <w:rsid w:val="00572E57"/>
    <w:rsid w:val="00572EEE"/>
    <w:rsid w:val="00573348"/>
    <w:rsid w:val="00575A1E"/>
    <w:rsid w:val="00577D80"/>
    <w:rsid w:val="00580591"/>
    <w:rsid w:val="00583C86"/>
    <w:rsid w:val="0058706D"/>
    <w:rsid w:val="00596D1F"/>
    <w:rsid w:val="00596D84"/>
    <w:rsid w:val="005A2019"/>
    <w:rsid w:val="005A2B69"/>
    <w:rsid w:val="005A389E"/>
    <w:rsid w:val="005A3E1B"/>
    <w:rsid w:val="005A3EF6"/>
    <w:rsid w:val="005A5ABC"/>
    <w:rsid w:val="005B03FE"/>
    <w:rsid w:val="005B37FD"/>
    <w:rsid w:val="005C473C"/>
    <w:rsid w:val="005C51C3"/>
    <w:rsid w:val="005D17E5"/>
    <w:rsid w:val="005D23F6"/>
    <w:rsid w:val="005D51A5"/>
    <w:rsid w:val="005D6F30"/>
    <w:rsid w:val="005D7FD8"/>
    <w:rsid w:val="005E08D7"/>
    <w:rsid w:val="005E114D"/>
    <w:rsid w:val="005E28B8"/>
    <w:rsid w:val="005E2975"/>
    <w:rsid w:val="005E33AF"/>
    <w:rsid w:val="005E6D62"/>
    <w:rsid w:val="005E7EE4"/>
    <w:rsid w:val="005F0467"/>
    <w:rsid w:val="005F2FC8"/>
    <w:rsid w:val="005F4305"/>
    <w:rsid w:val="006000D1"/>
    <w:rsid w:val="0060148C"/>
    <w:rsid w:val="0060706F"/>
    <w:rsid w:val="00607323"/>
    <w:rsid w:val="0061161C"/>
    <w:rsid w:val="006134FE"/>
    <w:rsid w:val="0061413A"/>
    <w:rsid w:val="00614856"/>
    <w:rsid w:val="00631F9E"/>
    <w:rsid w:val="00632B66"/>
    <w:rsid w:val="006337E6"/>
    <w:rsid w:val="00635165"/>
    <w:rsid w:val="006421AC"/>
    <w:rsid w:val="00645BE0"/>
    <w:rsid w:val="00645C99"/>
    <w:rsid w:val="0064774B"/>
    <w:rsid w:val="006642AE"/>
    <w:rsid w:val="00671291"/>
    <w:rsid w:val="00675978"/>
    <w:rsid w:val="00676D8C"/>
    <w:rsid w:val="006776A0"/>
    <w:rsid w:val="006806F6"/>
    <w:rsid w:val="00680DEF"/>
    <w:rsid w:val="00681A47"/>
    <w:rsid w:val="00686C9F"/>
    <w:rsid w:val="0068706A"/>
    <w:rsid w:val="00691330"/>
    <w:rsid w:val="00695B49"/>
    <w:rsid w:val="006A4C5F"/>
    <w:rsid w:val="006B4279"/>
    <w:rsid w:val="006B4FC6"/>
    <w:rsid w:val="006B6124"/>
    <w:rsid w:val="006C0D77"/>
    <w:rsid w:val="006C2AE9"/>
    <w:rsid w:val="006C56EB"/>
    <w:rsid w:val="006C68FE"/>
    <w:rsid w:val="006C76FD"/>
    <w:rsid w:val="006C7BA0"/>
    <w:rsid w:val="006C7BCE"/>
    <w:rsid w:val="006D239A"/>
    <w:rsid w:val="006D2C9E"/>
    <w:rsid w:val="006D34EB"/>
    <w:rsid w:val="006D5062"/>
    <w:rsid w:val="006D64B7"/>
    <w:rsid w:val="006D6BEB"/>
    <w:rsid w:val="006D7D8C"/>
    <w:rsid w:val="006E4AFE"/>
    <w:rsid w:val="006E5079"/>
    <w:rsid w:val="006E6457"/>
    <w:rsid w:val="006F00C7"/>
    <w:rsid w:val="006F0A3A"/>
    <w:rsid w:val="006F0B6F"/>
    <w:rsid w:val="006F0BBD"/>
    <w:rsid w:val="006F1515"/>
    <w:rsid w:val="006F50A5"/>
    <w:rsid w:val="0070005D"/>
    <w:rsid w:val="00700450"/>
    <w:rsid w:val="007021C4"/>
    <w:rsid w:val="007028D5"/>
    <w:rsid w:val="00705E12"/>
    <w:rsid w:val="007066C6"/>
    <w:rsid w:val="00706A0C"/>
    <w:rsid w:val="00710D4B"/>
    <w:rsid w:val="00711832"/>
    <w:rsid w:val="007142D4"/>
    <w:rsid w:val="0071700B"/>
    <w:rsid w:val="00722D3A"/>
    <w:rsid w:val="00725BDD"/>
    <w:rsid w:val="007304BC"/>
    <w:rsid w:val="00731824"/>
    <w:rsid w:val="00735D28"/>
    <w:rsid w:val="0074007F"/>
    <w:rsid w:val="0074035E"/>
    <w:rsid w:val="0074260A"/>
    <w:rsid w:val="00743677"/>
    <w:rsid w:val="007465A9"/>
    <w:rsid w:val="00747FDC"/>
    <w:rsid w:val="0075044C"/>
    <w:rsid w:val="00750DAD"/>
    <w:rsid w:val="00754578"/>
    <w:rsid w:val="007554A3"/>
    <w:rsid w:val="0076093E"/>
    <w:rsid w:val="00760C38"/>
    <w:rsid w:val="00766189"/>
    <w:rsid w:val="007668EA"/>
    <w:rsid w:val="00766C2B"/>
    <w:rsid w:val="0077091E"/>
    <w:rsid w:val="00771CF1"/>
    <w:rsid w:val="00772A20"/>
    <w:rsid w:val="00773041"/>
    <w:rsid w:val="00781A07"/>
    <w:rsid w:val="00782F5B"/>
    <w:rsid w:val="00783776"/>
    <w:rsid w:val="00784387"/>
    <w:rsid w:val="00791591"/>
    <w:rsid w:val="00793382"/>
    <w:rsid w:val="007942A4"/>
    <w:rsid w:val="0079511A"/>
    <w:rsid w:val="007B0DCE"/>
    <w:rsid w:val="007B1B75"/>
    <w:rsid w:val="007B1F6B"/>
    <w:rsid w:val="007B44E3"/>
    <w:rsid w:val="007B56D1"/>
    <w:rsid w:val="007B678A"/>
    <w:rsid w:val="007B7394"/>
    <w:rsid w:val="007C6A87"/>
    <w:rsid w:val="007C73E7"/>
    <w:rsid w:val="007C7A96"/>
    <w:rsid w:val="007D5E62"/>
    <w:rsid w:val="007D7548"/>
    <w:rsid w:val="007E08E7"/>
    <w:rsid w:val="007E1506"/>
    <w:rsid w:val="007E183A"/>
    <w:rsid w:val="007E5605"/>
    <w:rsid w:val="007F439D"/>
    <w:rsid w:val="007F5086"/>
    <w:rsid w:val="008003E7"/>
    <w:rsid w:val="008005E4"/>
    <w:rsid w:val="00800C9A"/>
    <w:rsid w:val="008013C0"/>
    <w:rsid w:val="008022AF"/>
    <w:rsid w:val="00802D8F"/>
    <w:rsid w:val="008036EE"/>
    <w:rsid w:val="0080690F"/>
    <w:rsid w:val="008131D1"/>
    <w:rsid w:val="008145DB"/>
    <w:rsid w:val="0081694E"/>
    <w:rsid w:val="00821FB0"/>
    <w:rsid w:val="0082224D"/>
    <w:rsid w:val="008226B7"/>
    <w:rsid w:val="00825541"/>
    <w:rsid w:val="008272D0"/>
    <w:rsid w:val="008300C9"/>
    <w:rsid w:val="00830399"/>
    <w:rsid w:val="00832D5C"/>
    <w:rsid w:val="00833266"/>
    <w:rsid w:val="00837516"/>
    <w:rsid w:val="00837EE8"/>
    <w:rsid w:val="008419B0"/>
    <w:rsid w:val="008419D0"/>
    <w:rsid w:val="00841BB9"/>
    <w:rsid w:val="00844C2A"/>
    <w:rsid w:val="0085146E"/>
    <w:rsid w:val="00855DB6"/>
    <w:rsid w:val="00867EF5"/>
    <w:rsid w:val="00870A41"/>
    <w:rsid w:val="00873634"/>
    <w:rsid w:val="00873916"/>
    <w:rsid w:val="00881A96"/>
    <w:rsid w:val="00881E9F"/>
    <w:rsid w:val="00882A2D"/>
    <w:rsid w:val="00887423"/>
    <w:rsid w:val="008919BE"/>
    <w:rsid w:val="00893E87"/>
    <w:rsid w:val="00897150"/>
    <w:rsid w:val="00897369"/>
    <w:rsid w:val="008A181E"/>
    <w:rsid w:val="008A7DA6"/>
    <w:rsid w:val="008B451D"/>
    <w:rsid w:val="008B5C12"/>
    <w:rsid w:val="008B6348"/>
    <w:rsid w:val="008B6943"/>
    <w:rsid w:val="008C0E0A"/>
    <w:rsid w:val="008C128A"/>
    <w:rsid w:val="008D0B8D"/>
    <w:rsid w:val="008D19C6"/>
    <w:rsid w:val="008D3C33"/>
    <w:rsid w:val="008D41AD"/>
    <w:rsid w:val="008D4AC3"/>
    <w:rsid w:val="008D7C8C"/>
    <w:rsid w:val="008E0824"/>
    <w:rsid w:val="008E2627"/>
    <w:rsid w:val="008E6C82"/>
    <w:rsid w:val="008F072D"/>
    <w:rsid w:val="008F0975"/>
    <w:rsid w:val="008F7D13"/>
    <w:rsid w:val="009011D7"/>
    <w:rsid w:val="00905046"/>
    <w:rsid w:val="00905858"/>
    <w:rsid w:val="00912A52"/>
    <w:rsid w:val="00915396"/>
    <w:rsid w:val="00921956"/>
    <w:rsid w:val="00924B58"/>
    <w:rsid w:val="00925FAB"/>
    <w:rsid w:val="009275F7"/>
    <w:rsid w:val="00927F22"/>
    <w:rsid w:val="00932C58"/>
    <w:rsid w:val="00933A1A"/>
    <w:rsid w:val="00936C8D"/>
    <w:rsid w:val="009371CF"/>
    <w:rsid w:val="009400EE"/>
    <w:rsid w:val="009412A8"/>
    <w:rsid w:val="009451D2"/>
    <w:rsid w:val="00951648"/>
    <w:rsid w:val="00951E5C"/>
    <w:rsid w:val="00951F57"/>
    <w:rsid w:val="00956CDD"/>
    <w:rsid w:val="00962747"/>
    <w:rsid w:val="009662B8"/>
    <w:rsid w:val="009679E7"/>
    <w:rsid w:val="00967AED"/>
    <w:rsid w:val="00972FEC"/>
    <w:rsid w:val="00973382"/>
    <w:rsid w:val="00973BD2"/>
    <w:rsid w:val="009748D5"/>
    <w:rsid w:val="00974D24"/>
    <w:rsid w:val="00980B78"/>
    <w:rsid w:val="009826C4"/>
    <w:rsid w:val="0098327F"/>
    <w:rsid w:val="00983397"/>
    <w:rsid w:val="00987A31"/>
    <w:rsid w:val="009917D0"/>
    <w:rsid w:val="009944EB"/>
    <w:rsid w:val="00994816"/>
    <w:rsid w:val="00994C20"/>
    <w:rsid w:val="009951DE"/>
    <w:rsid w:val="00996A3F"/>
    <w:rsid w:val="009A015B"/>
    <w:rsid w:val="009A0936"/>
    <w:rsid w:val="009A0D7C"/>
    <w:rsid w:val="009A1ECC"/>
    <w:rsid w:val="009A1F0B"/>
    <w:rsid w:val="009A2E8F"/>
    <w:rsid w:val="009A3FE6"/>
    <w:rsid w:val="009A6C35"/>
    <w:rsid w:val="009A6FA9"/>
    <w:rsid w:val="009A7736"/>
    <w:rsid w:val="009B1BC2"/>
    <w:rsid w:val="009B2FD7"/>
    <w:rsid w:val="009B7E54"/>
    <w:rsid w:val="009C5038"/>
    <w:rsid w:val="009C6437"/>
    <w:rsid w:val="009D18EE"/>
    <w:rsid w:val="009E1ACA"/>
    <w:rsid w:val="009E2D7C"/>
    <w:rsid w:val="009E3C9C"/>
    <w:rsid w:val="009E7B30"/>
    <w:rsid w:val="009E7C55"/>
    <w:rsid w:val="009F48BB"/>
    <w:rsid w:val="009F7AAD"/>
    <w:rsid w:val="00A031B7"/>
    <w:rsid w:val="00A04A1B"/>
    <w:rsid w:val="00A12D5D"/>
    <w:rsid w:val="00A23C6B"/>
    <w:rsid w:val="00A2774F"/>
    <w:rsid w:val="00A27F8B"/>
    <w:rsid w:val="00A30275"/>
    <w:rsid w:val="00A324B0"/>
    <w:rsid w:val="00A3535A"/>
    <w:rsid w:val="00A355FA"/>
    <w:rsid w:val="00A43088"/>
    <w:rsid w:val="00A50185"/>
    <w:rsid w:val="00A502F5"/>
    <w:rsid w:val="00A5100D"/>
    <w:rsid w:val="00A52B5B"/>
    <w:rsid w:val="00A5354A"/>
    <w:rsid w:val="00A53D89"/>
    <w:rsid w:val="00A546EB"/>
    <w:rsid w:val="00A55A9B"/>
    <w:rsid w:val="00A613DC"/>
    <w:rsid w:val="00A6183E"/>
    <w:rsid w:val="00A63677"/>
    <w:rsid w:val="00A64B05"/>
    <w:rsid w:val="00A665DA"/>
    <w:rsid w:val="00A705B6"/>
    <w:rsid w:val="00A70F92"/>
    <w:rsid w:val="00A71060"/>
    <w:rsid w:val="00A71A70"/>
    <w:rsid w:val="00A72F5C"/>
    <w:rsid w:val="00A73272"/>
    <w:rsid w:val="00A733F4"/>
    <w:rsid w:val="00A73FB3"/>
    <w:rsid w:val="00A75DBB"/>
    <w:rsid w:val="00A8671A"/>
    <w:rsid w:val="00A90730"/>
    <w:rsid w:val="00A90D73"/>
    <w:rsid w:val="00A910C1"/>
    <w:rsid w:val="00A94D74"/>
    <w:rsid w:val="00A9576C"/>
    <w:rsid w:val="00A97D98"/>
    <w:rsid w:val="00AA26DE"/>
    <w:rsid w:val="00AA39DB"/>
    <w:rsid w:val="00AA3FDB"/>
    <w:rsid w:val="00AA604C"/>
    <w:rsid w:val="00AA6A40"/>
    <w:rsid w:val="00AB13C8"/>
    <w:rsid w:val="00AB25AC"/>
    <w:rsid w:val="00AB5291"/>
    <w:rsid w:val="00AB5656"/>
    <w:rsid w:val="00AB674B"/>
    <w:rsid w:val="00AB6C28"/>
    <w:rsid w:val="00AC3E3B"/>
    <w:rsid w:val="00AC4F43"/>
    <w:rsid w:val="00AC7152"/>
    <w:rsid w:val="00AC723F"/>
    <w:rsid w:val="00AD083D"/>
    <w:rsid w:val="00AD1E9D"/>
    <w:rsid w:val="00AD5FF1"/>
    <w:rsid w:val="00AE1F42"/>
    <w:rsid w:val="00AE2EA1"/>
    <w:rsid w:val="00AF0EEB"/>
    <w:rsid w:val="00AF2894"/>
    <w:rsid w:val="00AF46B2"/>
    <w:rsid w:val="00AF4EE3"/>
    <w:rsid w:val="00AF56DC"/>
    <w:rsid w:val="00AF5FEE"/>
    <w:rsid w:val="00B0105D"/>
    <w:rsid w:val="00B05F1D"/>
    <w:rsid w:val="00B07A1B"/>
    <w:rsid w:val="00B1081A"/>
    <w:rsid w:val="00B10FDB"/>
    <w:rsid w:val="00B1105B"/>
    <w:rsid w:val="00B20E6A"/>
    <w:rsid w:val="00B2254A"/>
    <w:rsid w:val="00B24219"/>
    <w:rsid w:val="00B27AB1"/>
    <w:rsid w:val="00B34086"/>
    <w:rsid w:val="00B41D35"/>
    <w:rsid w:val="00B43670"/>
    <w:rsid w:val="00B44820"/>
    <w:rsid w:val="00B45713"/>
    <w:rsid w:val="00B46273"/>
    <w:rsid w:val="00B53623"/>
    <w:rsid w:val="00B56D8C"/>
    <w:rsid w:val="00B56F5C"/>
    <w:rsid w:val="00B63CC9"/>
    <w:rsid w:val="00B670FC"/>
    <w:rsid w:val="00B708E5"/>
    <w:rsid w:val="00B76247"/>
    <w:rsid w:val="00B77CBC"/>
    <w:rsid w:val="00B84AC9"/>
    <w:rsid w:val="00B85F83"/>
    <w:rsid w:val="00B92294"/>
    <w:rsid w:val="00B936BB"/>
    <w:rsid w:val="00B9604D"/>
    <w:rsid w:val="00B968AD"/>
    <w:rsid w:val="00B97AE2"/>
    <w:rsid w:val="00B97CBF"/>
    <w:rsid w:val="00B97F4D"/>
    <w:rsid w:val="00BA3998"/>
    <w:rsid w:val="00BA3FB5"/>
    <w:rsid w:val="00BA7B4C"/>
    <w:rsid w:val="00BA7D4F"/>
    <w:rsid w:val="00BB2DC4"/>
    <w:rsid w:val="00BB5701"/>
    <w:rsid w:val="00BC0134"/>
    <w:rsid w:val="00BC6F95"/>
    <w:rsid w:val="00BE17E1"/>
    <w:rsid w:val="00BE673D"/>
    <w:rsid w:val="00BF01FF"/>
    <w:rsid w:val="00BF05F2"/>
    <w:rsid w:val="00BF1D72"/>
    <w:rsid w:val="00BF2A11"/>
    <w:rsid w:val="00BF2B5C"/>
    <w:rsid w:val="00BF3D58"/>
    <w:rsid w:val="00BF438C"/>
    <w:rsid w:val="00BF4488"/>
    <w:rsid w:val="00BF54E5"/>
    <w:rsid w:val="00BF65A8"/>
    <w:rsid w:val="00BF6600"/>
    <w:rsid w:val="00C0165F"/>
    <w:rsid w:val="00C03731"/>
    <w:rsid w:val="00C07396"/>
    <w:rsid w:val="00C079FF"/>
    <w:rsid w:val="00C130BA"/>
    <w:rsid w:val="00C137ED"/>
    <w:rsid w:val="00C200F4"/>
    <w:rsid w:val="00C21B07"/>
    <w:rsid w:val="00C22F23"/>
    <w:rsid w:val="00C2339A"/>
    <w:rsid w:val="00C27328"/>
    <w:rsid w:val="00C3359E"/>
    <w:rsid w:val="00C429A2"/>
    <w:rsid w:val="00C42A4E"/>
    <w:rsid w:val="00C4618A"/>
    <w:rsid w:val="00C46EDE"/>
    <w:rsid w:val="00C52E1B"/>
    <w:rsid w:val="00C5425E"/>
    <w:rsid w:val="00C606CC"/>
    <w:rsid w:val="00C62433"/>
    <w:rsid w:val="00C65128"/>
    <w:rsid w:val="00C65592"/>
    <w:rsid w:val="00C675EC"/>
    <w:rsid w:val="00C77158"/>
    <w:rsid w:val="00C83998"/>
    <w:rsid w:val="00C919E2"/>
    <w:rsid w:val="00C93518"/>
    <w:rsid w:val="00C96692"/>
    <w:rsid w:val="00C96985"/>
    <w:rsid w:val="00CA2883"/>
    <w:rsid w:val="00CA30C3"/>
    <w:rsid w:val="00CA3EA9"/>
    <w:rsid w:val="00CA5F24"/>
    <w:rsid w:val="00CA6B40"/>
    <w:rsid w:val="00CA7CD5"/>
    <w:rsid w:val="00CB0184"/>
    <w:rsid w:val="00CB03D9"/>
    <w:rsid w:val="00CB09B8"/>
    <w:rsid w:val="00CB1329"/>
    <w:rsid w:val="00CB1459"/>
    <w:rsid w:val="00CB1581"/>
    <w:rsid w:val="00CB17EA"/>
    <w:rsid w:val="00CB4D35"/>
    <w:rsid w:val="00CB506D"/>
    <w:rsid w:val="00CB5422"/>
    <w:rsid w:val="00CC0BD2"/>
    <w:rsid w:val="00CC54C3"/>
    <w:rsid w:val="00CC6A04"/>
    <w:rsid w:val="00CD0A13"/>
    <w:rsid w:val="00CD3ECB"/>
    <w:rsid w:val="00CD404A"/>
    <w:rsid w:val="00CD48E9"/>
    <w:rsid w:val="00CD7130"/>
    <w:rsid w:val="00CD72BC"/>
    <w:rsid w:val="00CE01F9"/>
    <w:rsid w:val="00CE2BEB"/>
    <w:rsid w:val="00CE4146"/>
    <w:rsid w:val="00CE486F"/>
    <w:rsid w:val="00CE7AD3"/>
    <w:rsid w:val="00CE7EA2"/>
    <w:rsid w:val="00CF0899"/>
    <w:rsid w:val="00CF1C13"/>
    <w:rsid w:val="00CF5315"/>
    <w:rsid w:val="00CF79B6"/>
    <w:rsid w:val="00D00FB3"/>
    <w:rsid w:val="00D03011"/>
    <w:rsid w:val="00D031D1"/>
    <w:rsid w:val="00D03E36"/>
    <w:rsid w:val="00D04505"/>
    <w:rsid w:val="00D04DC6"/>
    <w:rsid w:val="00D06E10"/>
    <w:rsid w:val="00D10887"/>
    <w:rsid w:val="00D11596"/>
    <w:rsid w:val="00D15A99"/>
    <w:rsid w:val="00D15F06"/>
    <w:rsid w:val="00D20272"/>
    <w:rsid w:val="00D21FA3"/>
    <w:rsid w:val="00D22D49"/>
    <w:rsid w:val="00D23002"/>
    <w:rsid w:val="00D23FCD"/>
    <w:rsid w:val="00D2607B"/>
    <w:rsid w:val="00D26D12"/>
    <w:rsid w:val="00D331F9"/>
    <w:rsid w:val="00D3543F"/>
    <w:rsid w:val="00D42F36"/>
    <w:rsid w:val="00D50C90"/>
    <w:rsid w:val="00D62999"/>
    <w:rsid w:val="00D62D26"/>
    <w:rsid w:val="00D638C0"/>
    <w:rsid w:val="00D67929"/>
    <w:rsid w:val="00D72FE1"/>
    <w:rsid w:val="00D7578B"/>
    <w:rsid w:val="00D771F3"/>
    <w:rsid w:val="00D871C3"/>
    <w:rsid w:val="00D87428"/>
    <w:rsid w:val="00D905FB"/>
    <w:rsid w:val="00D932AB"/>
    <w:rsid w:val="00D96E64"/>
    <w:rsid w:val="00DA4580"/>
    <w:rsid w:val="00DA79D6"/>
    <w:rsid w:val="00DB0469"/>
    <w:rsid w:val="00DB2CF3"/>
    <w:rsid w:val="00DB3459"/>
    <w:rsid w:val="00DB41E0"/>
    <w:rsid w:val="00DB5302"/>
    <w:rsid w:val="00DB5FB2"/>
    <w:rsid w:val="00DC1B37"/>
    <w:rsid w:val="00DC26CF"/>
    <w:rsid w:val="00DC31C1"/>
    <w:rsid w:val="00DC4DC8"/>
    <w:rsid w:val="00DC534E"/>
    <w:rsid w:val="00DC7B81"/>
    <w:rsid w:val="00DC7D92"/>
    <w:rsid w:val="00DC7DAB"/>
    <w:rsid w:val="00DC7DD7"/>
    <w:rsid w:val="00DD0097"/>
    <w:rsid w:val="00DD0154"/>
    <w:rsid w:val="00DD0F60"/>
    <w:rsid w:val="00DD6638"/>
    <w:rsid w:val="00DD66BF"/>
    <w:rsid w:val="00DE0718"/>
    <w:rsid w:val="00DE2DF4"/>
    <w:rsid w:val="00DE7A28"/>
    <w:rsid w:val="00DF3C54"/>
    <w:rsid w:val="00DF48A8"/>
    <w:rsid w:val="00E00D7D"/>
    <w:rsid w:val="00E0536C"/>
    <w:rsid w:val="00E059F5"/>
    <w:rsid w:val="00E06D68"/>
    <w:rsid w:val="00E11A41"/>
    <w:rsid w:val="00E140F3"/>
    <w:rsid w:val="00E146B5"/>
    <w:rsid w:val="00E14D25"/>
    <w:rsid w:val="00E15861"/>
    <w:rsid w:val="00E15919"/>
    <w:rsid w:val="00E222F0"/>
    <w:rsid w:val="00E22578"/>
    <w:rsid w:val="00E259D4"/>
    <w:rsid w:val="00E301D7"/>
    <w:rsid w:val="00E3172D"/>
    <w:rsid w:val="00E34AFF"/>
    <w:rsid w:val="00E37AD7"/>
    <w:rsid w:val="00E4066D"/>
    <w:rsid w:val="00E41C3E"/>
    <w:rsid w:val="00E43A84"/>
    <w:rsid w:val="00E4752A"/>
    <w:rsid w:val="00E505AD"/>
    <w:rsid w:val="00E50661"/>
    <w:rsid w:val="00E52567"/>
    <w:rsid w:val="00E5257B"/>
    <w:rsid w:val="00E564CB"/>
    <w:rsid w:val="00E56B5C"/>
    <w:rsid w:val="00E577DF"/>
    <w:rsid w:val="00E6505B"/>
    <w:rsid w:val="00E65678"/>
    <w:rsid w:val="00E70A30"/>
    <w:rsid w:val="00E71F80"/>
    <w:rsid w:val="00E727DF"/>
    <w:rsid w:val="00E73621"/>
    <w:rsid w:val="00E73DBE"/>
    <w:rsid w:val="00E77158"/>
    <w:rsid w:val="00E81B52"/>
    <w:rsid w:val="00E81ED4"/>
    <w:rsid w:val="00E843D9"/>
    <w:rsid w:val="00E923C2"/>
    <w:rsid w:val="00E936DE"/>
    <w:rsid w:val="00E97AC2"/>
    <w:rsid w:val="00EA25AD"/>
    <w:rsid w:val="00EA3384"/>
    <w:rsid w:val="00EA36C0"/>
    <w:rsid w:val="00EA4442"/>
    <w:rsid w:val="00EA6C93"/>
    <w:rsid w:val="00EB2F1E"/>
    <w:rsid w:val="00EB4FF5"/>
    <w:rsid w:val="00EB5C6F"/>
    <w:rsid w:val="00EB62A8"/>
    <w:rsid w:val="00EB6AEA"/>
    <w:rsid w:val="00EB7150"/>
    <w:rsid w:val="00EB75CB"/>
    <w:rsid w:val="00EC157E"/>
    <w:rsid w:val="00EC3621"/>
    <w:rsid w:val="00EC3A97"/>
    <w:rsid w:val="00EC3B53"/>
    <w:rsid w:val="00EC535A"/>
    <w:rsid w:val="00ED0F5B"/>
    <w:rsid w:val="00ED1B8E"/>
    <w:rsid w:val="00ED5C14"/>
    <w:rsid w:val="00ED7542"/>
    <w:rsid w:val="00EE4A09"/>
    <w:rsid w:val="00EE7719"/>
    <w:rsid w:val="00EF03AB"/>
    <w:rsid w:val="00EF113D"/>
    <w:rsid w:val="00EF7984"/>
    <w:rsid w:val="00F00F51"/>
    <w:rsid w:val="00F0640B"/>
    <w:rsid w:val="00F07009"/>
    <w:rsid w:val="00F079EC"/>
    <w:rsid w:val="00F108B3"/>
    <w:rsid w:val="00F14D6F"/>
    <w:rsid w:val="00F169DF"/>
    <w:rsid w:val="00F22BFA"/>
    <w:rsid w:val="00F23776"/>
    <w:rsid w:val="00F260EF"/>
    <w:rsid w:val="00F266D5"/>
    <w:rsid w:val="00F31030"/>
    <w:rsid w:val="00F4030C"/>
    <w:rsid w:val="00F40605"/>
    <w:rsid w:val="00F421A9"/>
    <w:rsid w:val="00F43327"/>
    <w:rsid w:val="00F43EFB"/>
    <w:rsid w:val="00F44554"/>
    <w:rsid w:val="00F44892"/>
    <w:rsid w:val="00F50D5B"/>
    <w:rsid w:val="00F55686"/>
    <w:rsid w:val="00F56027"/>
    <w:rsid w:val="00F56320"/>
    <w:rsid w:val="00F563F1"/>
    <w:rsid w:val="00F56CBE"/>
    <w:rsid w:val="00F670C2"/>
    <w:rsid w:val="00F745A5"/>
    <w:rsid w:val="00F75038"/>
    <w:rsid w:val="00F76065"/>
    <w:rsid w:val="00F76799"/>
    <w:rsid w:val="00F803AD"/>
    <w:rsid w:val="00F81F35"/>
    <w:rsid w:val="00F836E0"/>
    <w:rsid w:val="00F83DD5"/>
    <w:rsid w:val="00F87AA7"/>
    <w:rsid w:val="00F901C3"/>
    <w:rsid w:val="00F90601"/>
    <w:rsid w:val="00F941C2"/>
    <w:rsid w:val="00F9582E"/>
    <w:rsid w:val="00F96889"/>
    <w:rsid w:val="00F97112"/>
    <w:rsid w:val="00F977F5"/>
    <w:rsid w:val="00FA1DB6"/>
    <w:rsid w:val="00FA450E"/>
    <w:rsid w:val="00FB064B"/>
    <w:rsid w:val="00FB4B0B"/>
    <w:rsid w:val="00FB59BD"/>
    <w:rsid w:val="00FC4960"/>
    <w:rsid w:val="00FD024D"/>
    <w:rsid w:val="00FD141D"/>
    <w:rsid w:val="00FD1E93"/>
    <w:rsid w:val="00FD2BBA"/>
    <w:rsid w:val="00FD3745"/>
    <w:rsid w:val="00FD4D50"/>
    <w:rsid w:val="00FD6D6B"/>
    <w:rsid w:val="00FD7142"/>
    <w:rsid w:val="00FD7E4E"/>
    <w:rsid w:val="00FD7FB8"/>
    <w:rsid w:val="00FE078D"/>
    <w:rsid w:val="00FE1968"/>
    <w:rsid w:val="00FE5912"/>
    <w:rsid w:val="00FE6B08"/>
    <w:rsid w:val="00FF0AB4"/>
    <w:rsid w:val="00FF33A7"/>
    <w:rsid w:val="00FF6107"/>
    <w:rsid w:val="00FF6810"/>
    <w:rsid w:val="00FF76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4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833266"/>
    <w:pPr>
      <w:keepNext/>
      <w:keepLines/>
      <w:numPr>
        <w:numId w:val="1"/>
      </w:numPr>
      <w:spacing w:after="0" w:line="240" w:lineRule="auto"/>
      <w:outlineLvl w:val="0"/>
    </w:pPr>
    <w:rPr>
      <w:rFonts w:ascii="Times New Roman" w:eastAsia="Times New Roman" w:hAnsi="Times New Roman"/>
      <w:b/>
      <w:bCs/>
      <w:sz w:val="24"/>
      <w:szCs w:val="28"/>
    </w:rPr>
  </w:style>
  <w:style w:type="paragraph" w:styleId="Ttulo2">
    <w:name w:val="heading 2"/>
    <w:basedOn w:val="Normal"/>
    <w:next w:val="Normal"/>
    <w:link w:val="Ttulo2Char"/>
    <w:uiPriority w:val="9"/>
    <w:unhideWhenUsed/>
    <w:qFormat/>
    <w:rsid w:val="00833266"/>
    <w:pPr>
      <w:keepNext/>
      <w:keepLines/>
      <w:numPr>
        <w:ilvl w:val="1"/>
        <w:numId w:val="1"/>
      </w:numPr>
      <w:spacing w:after="0" w:line="240" w:lineRule="auto"/>
      <w:outlineLvl w:val="1"/>
    </w:pPr>
    <w:rPr>
      <w:rFonts w:ascii="Times New Roman" w:eastAsia="Times New Roman" w:hAnsi="Times New Roman"/>
      <w:b/>
      <w:bCs/>
      <w:sz w:val="24"/>
      <w:szCs w:val="26"/>
    </w:rPr>
  </w:style>
  <w:style w:type="paragraph" w:styleId="Ttulo3">
    <w:name w:val="heading 3"/>
    <w:basedOn w:val="Normal"/>
    <w:next w:val="Normal"/>
    <w:link w:val="Ttulo3Char"/>
    <w:uiPriority w:val="9"/>
    <w:unhideWhenUsed/>
    <w:qFormat/>
    <w:rsid w:val="007B0DCE"/>
    <w:pPr>
      <w:keepNext/>
      <w:keepLines/>
      <w:numPr>
        <w:ilvl w:val="2"/>
        <w:numId w:val="1"/>
      </w:numPr>
      <w:spacing w:after="0" w:line="240" w:lineRule="auto"/>
      <w:outlineLvl w:val="2"/>
    </w:pPr>
    <w:rPr>
      <w:rFonts w:ascii="Times New Roman" w:eastAsia="Times New Roman" w:hAnsi="Times New Roman"/>
      <w:b/>
      <w:bCs/>
      <w:sz w:val="24"/>
    </w:rPr>
  </w:style>
  <w:style w:type="paragraph" w:styleId="Ttulo4">
    <w:name w:val="heading 4"/>
    <w:basedOn w:val="Normal"/>
    <w:next w:val="Normal"/>
    <w:link w:val="Ttulo4Char"/>
    <w:uiPriority w:val="9"/>
    <w:semiHidden/>
    <w:unhideWhenUsed/>
    <w:qFormat/>
    <w:rsid w:val="00833266"/>
    <w:pPr>
      <w:keepNext/>
      <w:keepLines/>
      <w:numPr>
        <w:ilvl w:val="3"/>
        <w:numId w:val="1"/>
      </w:numPr>
      <w:spacing w:before="200" w:after="0"/>
      <w:outlineLvl w:val="3"/>
    </w:pPr>
    <w:rPr>
      <w:rFonts w:ascii="Cambria" w:eastAsia="Times New Roman" w:hAnsi="Cambria"/>
      <w:b/>
      <w:bCs/>
      <w:i/>
      <w:iCs/>
      <w:color w:val="4F81BD"/>
    </w:rPr>
  </w:style>
  <w:style w:type="paragraph" w:styleId="Ttulo5">
    <w:name w:val="heading 5"/>
    <w:basedOn w:val="Normal"/>
    <w:next w:val="Normal"/>
    <w:link w:val="Ttulo5Char"/>
    <w:uiPriority w:val="9"/>
    <w:semiHidden/>
    <w:unhideWhenUsed/>
    <w:qFormat/>
    <w:rsid w:val="00833266"/>
    <w:pPr>
      <w:keepNext/>
      <w:keepLines/>
      <w:numPr>
        <w:ilvl w:val="4"/>
        <w:numId w:val="1"/>
      </w:numPr>
      <w:spacing w:before="200" w:after="0"/>
      <w:outlineLvl w:val="4"/>
    </w:pPr>
    <w:rPr>
      <w:rFonts w:ascii="Cambria" w:eastAsia="Times New Roman" w:hAnsi="Cambria"/>
      <w:color w:val="243F60"/>
    </w:rPr>
  </w:style>
  <w:style w:type="paragraph" w:styleId="Ttulo6">
    <w:name w:val="heading 6"/>
    <w:basedOn w:val="Normal"/>
    <w:next w:val="Normal"/>
    <w:link w:val="Ttulo6Char"/>
    <w:uiPriority w:val="9"/>
    <w:semiHidden/>
    <w:unhideWhenUsed/>
    <w:qFormat/>
    <w:rsid w:val="00833266"/>
    <w:pPr>
      <w:keepNext/>
      <w:keepLines/>
      <w:numPr>
        <w:ilvl w:val="5"/>
        <w:numId w:val="1"/>
      </w:numPr>
      <w:spacing w:before="200" w:after="0"/>
      <w:outlineLvl w:val="5"/>
    </w:pPr>
    <w:rPr>
      <w:rFonts w:ascii="Cambria" w:eastAsia="Times New Roman" w:hAnsi="Cambria"/>
      <w:i/>
      <w:iCs/>
      <w:color w:val="243F60"/>
    </w:rPr>
  </w:style>
  <w:style w:type="paragraph" w:styleId="Ttulo7">
    <w:name w:val="heading 7"/>
    <w:basedOn w:val="Normal"/>
    <w:next w:val="Normal"/>
    <w:link w:val="Ttulo7Char"/>
    <w:uiPriority w:val="9"/>
    <w:semiHidden/>
    <w:unhideWhenUsed/>
    <w:qFormat/>
    <w:rsid w:val="00833266"/>
    <w:pPr>
      <w:keepNext/>
      <w:keepLines/>
      <w:numPr>
        <w:ilvl w:val="6"/>
        <w:numId w:val="1"/>
      </w:numPr>
      <w:spacing w:before="200" w:after="0"/>
      <w:outlineLvl w:val="6"/>
    </w:pPr>
    <w:rPr>
      <w:rFonts w:ascii="Cambria" w:eastAsia="Times New Roman" w:hAnsi="Cambria"/>
      <w:i/>
      <w:iCs/>
      <w:color w:val="404040"/>
    </w:rPr>
  </w:style>
  <w:style w:type="paragraph" w:styleId="Ttulo8">
    <w:name w:val="heading 8"/>
    <w:basedOn w:val="Normal"/>
    <w:next w:val="Normal"/>
    <w:link w:val="Ttulo8Char"/>
    <w:uiPriority w:val="9"/>
    <w:semiHidden/>
    <w:unhideWhenUsed/>
    <w:qFormat/>
    <w:rsid w:val="00833266"/>
    <w:pPr>
      <w:keepNext/>
      <w:keepLines/>
      <w:numPr>
        <w:ilvl w:val="7"/>
        <w:numId w:val="1"/>
      </w:numPr>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har"/>
    <w:uiPriority w:val="9"/>
    <w:semiHidden/>
    <w:unhideWhenUsed/>
    <w:qFormat/>
    <w:rsid w:val="00833266"/>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rsid w:val="002D2B14"/>
    <w:rPr>
      <w:rFonts w:ascii="TimesNewRomanPSMT" w:hAnsi="TimesNewRomanPSMT" w:hint="default"/>
      <w:b w:val="0"/>
      <w:bCs w:val="0"/>
      <w:i w:val="0"/>
      <w:iCs w:val="0"/>
      <w:color w:val="00000A"/>
      <w:sz w:val="24"/>
      <w:szCs w:val="24"/>
    </w:rPr>
  </w:style>
  <w:style w:type="character" w:customStyle="1" w:styleId="fontstyle21">
    <w:name w:val="fontstyle21"/>
    <w:rsid w:val="002D2B14"/>
    <w:rPr>
      <w:rFonts w:ascii="Calibri" w:hAnsi="Calibri" w:hint="default"/>
      <w:b w:val="0"/>
      <w:bCs w:val="0"/>
      <w:i w:val="0"/>
      <w:iCs w:val="0"/>
      <w:color w:val="00000A"/>
      <w:sz w:val="22"/>
      <w:szCs w:val="22"/>
    </w:rPr>
  </w:style>
  <w:style w:type="table" w:styleId="Tabelacomgrade">
    <w:name w:val="Table Grid"/>
    <w:basedOn w:val="Tabelanormal"/>
    <w:uiPriority w:val="59"/>
    <w:rsid w:val="003E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833266"/>
    <w:rPr>
      <w:rFonts w:ascii="Times New Roman" w:eastAsia="Times New Roman" w:hAnsi="Times New Roman" w:cs="Times New Roman"/>
      <w:b/>
      <w:bCs/>
      <w:sz w:val="24"/>
      <w:szCs w:val="28"/>
    </w:rPr>
  </w:style>
  <w:style w:type="character" w:customStyle="1" w:styleId="Ttulo2Char">
    <w:name w:val="Título 2 Char"/>
    <w:link w:val="Ttulo2"/>
    <w:uiPriority w:val="9"/>
    <w:rsid w:val="00833266"/>
    <w:rPr>
      <w:rFonts w:ascii="Times New Roman" w:eastAsia="Times New Roman" w:hAnsi="Times New Roman" w:cs="Times New Roman"/>
      <w:b/>
      <w:bCs/>
      <w:sz w:val="24"/>
      <w:szCs w:val="26"/>
    </w:rPr>
  </w:style>
  <w:style w:type="character" w:customStyle="1" w:styleId="Ttulo3Char">
    <w:name w:val="Título 3 Char"/>
    <w:link w:val="Ttulo3"/>
    <w:uiPriority w:val="9"/>
    <w:rsid w:val="007B0DCE"/>
    <w:rPr>
      <w:rFonts w:ascii="Times New Roman" w:eastAsia="Times New Roman" w:hAnsi="Times New Roman" w:cs="Times New Roman"/>
      <w:b/>
      <w:bCs/>
      <w:sz w:val="24"/>
    </w:rPr>
  </w:style>
  <w:style w:type="character" w:customStyle="1" w:styleId="Ttulo4Char">
    <w:name w:val="Título 4 Char"/>
    <w:link w:val="Ttulo4"/>
    <w:uiPriority w:val="9"/>
    <w:semiHidden/>
    <w:rsid w:val="00833266"/>
    <w:rPr>
      <w:rFonts w:ascii="Cambria" w:eastAsia="Times New Roman" w:hAnsi="Cambria" w:cs="Times New Roman"/>
      <w:b/>
      <w:bCs/>
      <w:i/>
      <w:iCs/>
      <w:color w:val="4F81BD"/>
    </w:rPr>
  </w:style>
  <w:style w:type="character" w:customStyle="1" w:styleId="Ttulo5Char">
    <w:name w:val="Título 5 Char"/>
    <w:link w:val="Ttulo5"/>
    <w:uiPriority w:val="9"/>
    <w:semiHidden/>
    <w:rsid w:val="00833266"/>
    <w:rPr>
      <w:rFonts w:ascii="Cambria" w:eastAsia="Times New Roman" w:hAnsi="Cambria" w:cs="Times New Roman"/>
      <w:color w:val="243F60"/>
    </w:rPr>
  </w:style>
  <w:style w:type="character" w:customStyle="1" w:styleId="Ttulo6Char">
    <w:name w:val="Título 6 Char"/>
    <w:link w:val="Ttulo6"/>
    <w:uiPriority w:val="9"/>
    <w:semiHidden/>
    <w:rsid w:val="00833266"/>
    <w:rPr>
      <w:rFonts w:ascii="Cambria" w:eastAsia="Times New Roman" w:hAnsi="Cambria" w:cs="Times New Roman"/>
      <w:i/>
      <w:iCs/>
      <w:color w:val="243F60"/>
    </w:rPr>
  </w:style>
  <w:style w:type="character" w:customStyle="1" w:styleId="Ttulo7Char">
    <w:name w:val="Título 7 Char"/>
    <w:link w:val="Ttulo7"/>
    <w:uiPriority w:val="9"/>
    <w:semiHidden/>
    <w:rsid w:val="00833266"/>
    <w:rPr>
      <w:rFonts w:ascii="Cambria" w:eastAsia="Times New Roman" w:hAnsi="Cambria" w:cs="Times New Roman"/>
      <w:i/>
      <w:iCs/>
      <w:color w:val="404040"/>
    </w:rPr>
  </w:style>
  <w:style w:type="character" w:customStyle="1" w:styleId="Ttulo8Char">
    <w:name w:val="Título 8 Char"/>
    <w:link w:val="Ttulo8"/>
    <w:uiPriority w:val="9"/>
    <w:semiHidden/>
    <w:rsid w:val="00833266"/>
    <w:rPr>
      <w:rFonts w:ascii="Cambria" w:eastAsia="Times New Roman" w:hAnsi="Cambria" w:cs="Times New Roman"/>
      <w:color w:val="404040"/>
      <w:sz w:val="20"/>
      <w:szCs w:val="20"/>
    </w:rPr>
  </w:style>
  <w:style w:type="character" w:customStyle="1" w:styleId="Ttulo9Char">
    <w:name w:val="Título 9 Char"/>
    <w:link w:val="Ttulo9"/>
    <w:uiPriority w:val="9"/>
    <w:semiHidden/>
    <w:rsid w:val="00833266"/>
    <w:rPr>
      <w:rFonts w:ascii="Cambria" w:eastAsia="Times New Roman" w:hAnsi="Cambria" w:cs="Times New Roman"/>
      <w:i/>
      <w:iCs/>
      <w:color w:val="404040"/>
      <w:sz w:val="20"/>
      <w:szCs w:val="20"/>
    </w:rPr>
  </w:style>
  <w:style w:type="paragraph" w:styleId="NormalWeb">
    <w:name w:val="Normal (Web)"/>
    <w:basedOn w:val="Normal"/>
    <w:uiPriority w:val="99"/>
    <w:unhideWhenUsed/>
    <w:rsid w:val="0022412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itartb">
    <w:name w:val="titartb"/>
    <w:basedOn w:val="Normal"/>
    <w:rsid w:val="00882A2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ubt">
    <w:name w:val="subt"/>
    <w:basedOn w:val="Fontepargpadro"/>
    <w:rsid w:val="00882A2D"/>
  </w:style>
  <w:style w:type="paragraph" w:customStyle="1" w:styleId="titartb1">
    <w:name w:val="titartb1"/>
    <w:basedOn w:val="Normal"/>
    <w:rsid w:val="00882A2D"/>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ubt1">
    <w:name w:val="subt1"/>
    <w:basedOn w:val="Fontepargpadro"/>
    <w:rsid w:val="00882A2D"/>
  </w:style>
  <w:style w:type="paragraph" w:customStyle="1" w:styleId="artigo">
    <w:name w:val="artigo"/>
    <w:basedOn w:val="Normal"/>
    <w:rsid w:val="00882A2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fo">
    <w:name w:val="paragrafo"/>
    <w:basedOn w:val="Normal"/>
    <w:rsid w:val="00882A2D"/>
    <w:pPr>
      <w:spacing w:before="100" w:beforeAutospacing="1" w:after="100" w:afterAutospacing="1" w:line="240" w:lineRule="auto"/>
    </w:pPr>
    <w:rPr>
      <w:rFonts w:ascii="Times New Roman" w:eastAsia="Times New Roman" w:hAnsi="Times New Roman"/>
      <w:sz w:val="24"/>
      <w:szCs w:val="24"/>
      <w:lang w:eastAsia="pt-BR"/>
    </w:rPr>
  </w:style>
  <w:style w:type="paragraph" w:styleId="Textodemacro">
    <w:name w:val="macro"/>
    <w:basedOn w:val="Normal"/>
    <w:link w:val="TextodemacroChar"/>
    <w:uiPriority w:val="99"/>
    <w:semiHidden/>
    <w:unhideWhenUsed/>
    <w:rsid w:val="007554A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macroChar">
    <w:name w:val="Texto de macro Char"/>
    <w:link w:val="Textodemacro"/>
    <w:uiPriority w:val="99"/>
    <w:semiHidden/>
    <w:rsid w:val="007554A3"/>
    <w:rPr>
      <w:rFonts w:ascii="Times New Roman" w:eastAsia="Times New Roman" w:hAnsi="Times New Roman" w:cs="Times New Roman"/>
      <w:sz w:val="24"/>
      <w:szCs w:val="24"/>
      <w:lang w:eastAsia="pt-BR"/>
    </w:rPr>
  </w:style>
  <w:style w:type="paragraph" w:customStyle="1" w:styleId="Default">
    <w:name w:val="Default"/>
    <w:rsid w:val="00317B4F"/>
    <w:pPr>
      <w:autoSpaceDE w:val="0"/>
      <w:autoSpaceDN w:val="0"/>
      <w:adjustRightInd w:val="0"/>
    </w:pPr>
    <w:rPr>
      <w:rFonts w:ascii="Times New Roman" w:hAnsi="Times New Roman"/>
      <w:color w:val="000000"/>
      <w:sz w:val="24"/>
      <w:szCs w:val="24"/>
      <w:lang w:eastAsia="en-US"/>
    </w:rPr>
  </w:style>
  <w:style w:type="paragraph" w:customStyle="1" w:styleId="Pa15">
    <w:name w:val="Pa15"/>
    <w:basedOn w:val="Default"/>
    <w:next w:val="Default"/>
    <w:uiPriority w:val="99"/>
    <w:rsid w:val="00103047"/>
    <w:pPr>
      <w:spacing w:line="241" w:lineRule="atLeast"/>
    </w:pPr>
    <w:rPr>
      <w:rFonts w:ascii="Minion Pro" w:hAnsi="Minion Pro"/>
      <w:color w:val="auto"/>
    </w:rPr>
  </w:style>
  <w:style w:type="paragraph" w:styleId="PargrafodaLista">
    <w:name w:val="List Paragraph"/>
    <w:basedOn w:val="Normal"/>
    <w:uiPriority w:val="34"/>
    <w:qFormat/>
    <w:rsid w:val="00CC6A04"/>
    <w:pPr>
      <w:spacing w:after="160" w:line="259" w:lineRule="auto"/>
      <w:ind w:left="720"/>
      <w:contextualSpacing/>
    </w:pPr>
  </w:style>
  <w:style w:type="paragraph" w:styleId="Cabealho">
    <w:name w:val="header"/>
    <w:basedOn w:val="Normal"/>
    <w:link w:val="CabealhoChar"/>
    <w:uiPriority w:val="99"/>
    <w:unhideWhenUsed/>
    <w:rsid w:val="003A20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0F2"/>
  </w:style>
  <w:style w:type="paragraph" w:styleId="Rodap">
    <w:name w:val="footer"/>
    <w:basedOn w:val="Normal"/>
    <w:link w:val="RodapChar"/>
    <w:uiPriority w:val="99"/>
    <w:unhideWhenUsed/>
    <w:rsid w:val="003A20F2"/>
    <w:pPr>
      <w:tabs>
        <w:tab w:val="center" w:pos="4252"/>
        <w:tab w:val="right" w:pos="8504"/>
      </w:tabs>
      <w:spacing w:after="0" w:line="240" w:lineRule="auto"/>
    </w:pPr>
  </w:style>
  <w:style w:type="character" w:customStyle="1" w:styleId="RodapChar">
    <w:name w:val="Rodapé Char"/>
    <w:basedOn w:val="Fontepargpadro"/>
    <w:link w:val="Rodap"/>
    <w:uiPriority w:val="99"/>
    <w:rsid w:val="003A20F2"/>
  </w:style>
  <w:style w:type="paragraph" w:styleId="Textodebalo">
    <w:name w:val="Balloon Text"/>
    <w:basedOn w:val="Normal"/>
    <w:link w:val="TextodebaloChar"/>
    <w:uiPriority w:val="99"/>
    <w:semiHidden/>
    <w:unhideWhenUsed/>
    <w:rsid w:val="000E402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E402B"/>
    <w:rPr>
      <w:rFonts w:ascii="Tahoma" w:hAnsi="Tahoma" w:cs="Tahoma"/>
      <w:sz w:val="16"/>
      <w:szCs w:val="16"/>
    </w:rPr>
  </w:style>
  <w:style w:type="character" w:styleId="Forte">
    <w:name w:val="Strong"/>
    <w:uiPriority w:val="22"/>
    <w:qFormat/>
    <w:rsid w:val="00F941C2"/>
    <w:rPr>
      <w:b/>
      <w:bCs/>
    </w:rPr>
  </w:style>
  <w:style w:type="character" w:styleId="Hyperlink">
    <w:name w:val="Hyperlink"/>
    <w:uiPriority w:val="99"/>
    <w:unhideWhenUsed/>
    <w:rsid w:val="00F941C2"/>
    <w:rPr>
      <w:color w:val="0000FF"/>
      <w:u w:val="single"/>
    </w:rPr>
  </w:style>
  <w:style w:type="table" w:customStyle="1" w:styleId="TabeladeGradeClara1">
    <w:name w:val="Tabela de Grade Clara1"/>
    <w:basedOn w:val="Tabelanormal"/>
    <w:uiPriority w:val="40"/>
    <w:rsid w:val="00BC01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rio">
    <w:name w:val="annotation reference"/>
    <w:uiPriority w:val="99"/>
    <w:semiHidden/>
    <w:unhideWhenUsed/>
    <w:rsid w:val="008E2627"/>
    <w:rPr>
      <w:sz w:val="16"/>
      <w:szCs w:val="16"/>
    </w:rPr>
  </w:style>
  <w:style w:type="paragraph" w:styleId="Textodecomentrio">
    <w:name w:val="annotation text"/>
    <w:basedOn w:val="Normal"/>
    <w:link w:val="TextodecomentrioChar"/>
    <w:uiPriority w:val="99"/>
    <w:semiHidden/>
    <w:unhideWhenUsed/>
    <w:rsid w:val="008E2627"/>
    <w:rPr>
      <w:sz w:val="20"/>
      <w:szCs w:val="20"/>
    </w:rPr>
  </w:style>
  <w:style w:type="character" w:customStyle="1" w:styleId="TextodecomentrioChar">
    <w:name w:val="Texto de comentário Char"/>
    <w:link w:val="Textodecomentrio"/>
    <w:uiPriority w:val="99"/>
    <w:semiHidden/>
    <w:rsid w:val="008E2627"/>
    <w:rPr>
      <w:lang w:eastAsia="en-US"/>
    </w:rPr>
  </w:style>
  <w:style w:type="paragraph" w:styleId="Assuntodocomentrio">
    <w:name w:val="annotation subject"/>
    <w:basedOn w:val="Textodecomentrio"/>
    <w:next w:val="Textodecomentrio"/>
    <w:link w:val="AssuntodocomentrioChar"/>
    <w:uiPriority w:val="99"/>
    <w:semiHidden/>
    <w:unhideWhenUsed/>
    <w:rsid w:val="008E2627"/>
    <w:rPr>
      <w:b/>
      <w:bCs/>
    </w:rPr>
  </w:style>
  <w:style w:type="character" w:customStyle="1" w:styleId="AssuntodocomentrioChar">
    <w:name w:val="Assunto do comentário Char"/>
    <w:link w:val="Assuntodocomentrio"/>
    <w:uiPriority w:val="99"/>
    <w:semiHidden/>
    <w:rsid w:val="008E2627"/>
    <w:rPr>
      <w:b/>
      <w:bCs/>
      <w:lang w:eastAsia="en-US"/>
    </w:rPr>
  </w:style>
  <w:style w:type="character" w:styleId="TextodoEspaoReservado">
    <w:name w:val="Placeholder Text"/>
    <w:basedOn w:val="Fontepargpadro"/>
    <w:uiPriority w:val="99"/>
    <w:semiHidden/>
    <w:rsid w:val="00580591"/>
    <w:rPr>
      <w:color w:val="808080"/>
    </w:rPr>
  </w:style>
  <w:style w:type="character" w:styleId="MenoPendente">
    <w:name w:val="Unresolved Mention"/>
    <w:basedOn w:val="Fontepargpadro"/>
    <w:uiPriority w:val="99"/>
    <w:semiHidden/>
    <w:unhideWhenUsed/>
    <w:rsid w:val="00DC26CF"/>
    <w:rPr>
      <w:color w:val="605E5C"/>
      <w:shd w:val="clear" w:color="auto" w:fill="E1DFDD"/>
    </w:rPr>
  </w:style>
  <w:style w:type="character" w:styleId="nfase">
    <w:name w:val="Emphasis"/>
    <w:basedOn w:val="Fontepargpadro"/>
    <w:uiPriority w:val="20"/>
    <w:qFormat/>
    <w:rsid w:val="00635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6144">
      <w:bodyDiv w:val="1"/>
      <w:marLeft w:val="0"/>
      <w:marRight w:val="0"/>
      <w:marTop w:val="0"/>
      <w:marBottom w:val="0"/>
      <w:divBdr>
        <w:top w:val="none" w:sz="0" w:space="0" w:color="auto"/>
        <w:left w:val="none" w:sz="0" w:space="0" w:color="auto"/>
        <w:bottom w:val="none" w:sz="0" w:space="0" w:color="auto"/>
        <w:right w:val="none" w:sz="0" w:space="0" w:color="auto"/>
      </w:divBdr>
    </w:div>
    <w:div w:id="12387813">
      <w:bodyDiv w:val="1"/>
      <w:marLeft w:val="0"/>
      <w:marRight w:val="0"/>
      <w:marTop w:val="0"/>
      <w:marBottom w:val="0"/>
      <w:divBdr>
        <w:top w:val="none" w:sz="0" w:space="0" w:color="auto"/>
        <w:left w:val="none" w:sz="0" w:space="0" w:color="auto"/>
        <w:bottom w:val="none" w:sz="0" w:space="0" w:color="auto"/>
        <w:right w:val="none" w:sz="0" w:space="0" w:color="auto"/>
      </w:divBdr>
    </w:div>
    <w:div w:id="100876371">
      <w:bodyDiv w:val="1"/>
      <w:marLeft w:val="0"/>
      <w:marRight w:val="0"/>
      <w:marTop w:val="0"/>
      <w:marBottom w:val="0"/>
      <w:divBdr>
        <w:top w:val="none" w:sz="0" w:space="0" w:color="auto"/>
        <w:left w:val="none" w:sz="0" w:space="0" w:color="auto"/>
        <w:bottom w:val="none" w:sz="0" w:space="0" w:color="auto"/>
        <w:right w:val="none" w:sz="0" w:space="0" w:color="auto"/>
      </w:divBdr>
    </w:div>
    <w:div w:id="139657583">
      <w:bodyDiv w:val="1"/>
      <w:marLeft w:val="0"/>
      <w:marRight w:val="0"/>
      <w:marTop w:val="0"/>
      <w:marBottom w:val="0"/>
      <w:divBdr>
        <w:top w:val="none" w:sz="0" w:space="0" w:color="auto"/>
        <w:left w:val="none" w:sz="0" w:space="0" w:color="auto"/>
        <w:bottom w:val="none" w:sz="0" w:space="0" w:color="auto"/>
        <w:right w:val="none" w:sz="0" w:space="0" w:color="auto"/>
      </w:divBdr>
    </w:div>
    <w:div w:id="188420054">
      <w:bodyDiv w:val="1"/>
      <w:marLeft w:val="0"/>
      <w:marRight w:val="0"/>
      <w:marTop w:val="0"/>
      <w:marBottom w:val="0"/>
      <w:divBdr>
        <w:top w:val="none" w:sz="0" w:space="0" w:color="auto"/>
        <w:left w:val="none" w:sz="0" w:space="0" w:color="auto"/>
        <w:bottom w:val="none" w:sz="0" w:space="0" w:color="auto"/>
        <w:right w:val="none" w:sz="0" w:space="0" w:color="auto"/>
      </w:divBdr>
    </w:div>
    <w:div w:id="204220116">
      <w:bodyDiv w:val="1"/>
      <w:marLeft w:val="0"/>
      <w:marRight w:val="0"/>
      <w:marTop w:val="0"/>
      <w:marBottom w:val="0"/>
      <w:divBdr>
        <w:top w:val="none" w:sz="0" w:space="0" w:color="auto"/>
        <w:left w:val="none" w:sz="0" w:space="0" w:color="auto"/>
        <w:bottom w:val="none" w:sz="0" w:space="0" w:color="auto"/>
        <w:right w:val="none" w:sz="0" w:space="0" w:color="auto"/>
      </w:divBdr>
    </w:div>
    <w:div w:id="297106354">
      <w:bodyDiv w:val="1"/>
      <w:marLeft w:val="0"/>
      <w:marRight w:val="0"/>
      <w:marTop w:val="0"/>
      <w:marBottom w:val="0"/>
      <w:divBdr>
        <w:top w:val="none" w:sz="0" w:space="0" w:color="auto"/>
        <w:left w:val="none" w:sz="0" w:space="0" w:color="auto"/>
        <w:bottom w:val="none" w:sz="0" w:space="0" w:color="auto"/>
        <w:right w:val="none" w:sz="0" w:space="0" w:color="auto"/>
      </w:divBdr>
    </w:div>
    <w:div w:id="388110137">
      <w:bodyDiv w:val="1"/>
      <w:marLeft w:val="0"/>
      <w:marRight w:val="0"/>
      <w:marTop w:val="0"/>
      <w:marBottom w:val="0"/>
      <w:divBdr>
        <w:top w:val="none" w:sz="0" w:space="0" w:color="auto"/>
        <w:left w:val="none" w:sz="0" w:space="0" w:color="auto"/>
        <w:bottom w:val="none" w:sz="0" w:space="0" w:color="auto"/>
        <w:right w:val="none" w:sz="0" w:space="0" w:color="auto"/>
      </w:divBdr>
    </w:div>
    <w:div w:id="393698519">
      <w:bodyDiv w:val="1"/>
      <w:marLeft w:val="0"/>
      <w:marRight w:val="0"/>
      <w:marTop w:val="0"/>
      <w:marBottom w:val="0"/>
      <w:divBdr>
        <w:top w:val="none" w:sz="0" w:space="0" w:color="auto"/>
        <w:left w:val="none" w:sz="0" w:space="0" w:color="auto"/>
        <w:bottom w:val="none" w:sz="0" w:space="0" w:color="auto"/>
        <w:right w:val="none" w:sz="0" w:space="0" w:color="auto"/>
      </w:divBdr>
    </w:div>
    <w:div w:id="471943759">
      <w:bodyDiv w:val="1"/>
      <w:marLeft w:val="0"/>
      <w:marRight w:val="0"/>
      <w:marTop w:val="0"/>
      <w:marBottom w:val="0"/>
      <w:divBdr>
        <w:top w:val="none" w:sz="0" w:space="0" w:color="auto"/>
        <w:left w:val="none" w:sz="0" w:space="0" w:color="auto"/>
        <w:bottom w:val="none" w:sz="0" w:space="0" w:color="auto"/>
        <w:right w:val="none" w:sz="0" w:space="0" w:color="auto"/>
      </w:divBdr>
    </w:div>
    <w:div w:id="475878915">
      <w:bodyDiv w:val="1"/>
      <w:marLeft w:val="0"/>
      <w:marRight w:val="0"/>
      <w:marTop w:val="0"/>
      <w:marBottom w:val="0"/>
      <w:divBdr>
        <w:top w:val="none" w:sz="0" w:space="0" w:color="auto"/>
        <w:left w:val="none" w:sz="0" w:space="0" w:color="auto"/>
        <w:bottom w:val="none" w:sz="0" w:space="0" w:color="auto"/>
        <w:right w:val="none" w:sz="0" w:space="0" w:color="auto"/>
      </w:divBdr>
    </w:div>
    <w:div w:id="493617549">
      <w:bodyDiv w:val="1"/>
      <w:marLeft w:val="0"/>
      <w:marRight w:val="0"/>
      <w:marTop w:val="0"/>
      <w:marBottom w:val="0"/>
      <w:divBdr>
        <w:top w:val="none" w:sz="0" w:space="0" w:color="auto"/>
        <w:left w:val="none" w:sz="0" w:space="0" w:color="auto"/>
        <w:bottom w:val="none" w:sz="0" w:space="0" w:color="auto"/>
        <w:right w:val="none" w:sz="0" w:space="0" w:color="auto"/>
      </w:divBdr>
    </w:div>
    <w:div w:id="555971305">
      <w:bodyDiv w:val="1"/>
      <w:marLeft w:val="0"/>
      <w:marRight w:val="0"/>
      <w:marTop w:val="0"/>
      <w:marBottom w:val="0"/>
      <w:divBdr>
        <w:top w:val="none" w:sz="0" w:space="0" w:color="auto"/>
        <w:left w:val="none" w:sz="0" w:space="0" w:color="auto"/>
        <w:bottom w:val="none" w:sz="0" w:space="0" w:color="auto"/>
        <w:right w:val="none" w:sz="0" w:space="0" w:color="auto"/>
      </w:divBdr>
    </w:div>
    <w:div w:id="560674354">
      <w:bodyDiv w:val="1"/>
      <w:marLeft w:val="0"/>
      <w:marRight w:val="0"/>
      <w:marTop w:val="0"/>
      <w:marBottom w:val="0"/>
      <w:divBdr>
        <w:top w:val="none" w:sz="0" w:space="0" w:color="auto"/>
        <w:left w:val="none" w:sz="0" w:space="0" w:color="auto"/>
        <w:bottom w:val="none" w:sz="0" w:space="0" w:color="auto"/>
        <w:right w:val="none" w:sz="0" w:space="0" w:color="auto"/>
      </w:divBdr>
    </w:div>
    <w:div w:id="582494314">
      <w:bodyDiv w:val="1"/>
      <w:marLeft w:val="0"/>
      <w:marRight w:val="0"/>
      <w:marTop w:val="0"/>
      <w:marBottom w:val="0"/>
      <w:divBdr>
        <w:top w:val="none" w:sz="0" w:space="0" w:color="auto"/>
        <w:left w:val="none" w:sz="0" w:space="0" w:color="auto"/>
        <w:bottom w:val="none" w:sz="0" w:space="0" w:color="auto"/>
        <w:right w:val="none" w:sz="0" w:space="0" w:color="auto"/>
      </w:divBdr>
    </w:div>
    <w:div w:id="599096741">
      <w:bodyDiv w:val="1"/>
      <w:marLeft w:val="0"/>
      <w:marRight w:val="0"/>
      <w:marTop w:val="0"/>
      <w:marBottom w:val="0"/>
      <w:divBdr>
        <w:top w:val="none" w:sz="0" w:space="0" w:color="auto"/>
        <w:left w:val="none" w:sz="0" w:space="0" w:color="auto"/>
        <w:bottom w:val="none" w:sz="0" w:space="0" w:color="auto"/>
        <w:right w:val="none" w:sz="0" w:space="0" w:color="auto"/>
      </w:divBdr>
    </w:div>
    <w:div w:id="599725596">
      <w:bodyDiv w:val="1"/>
      <w:marLeft w:val="0"/>
      <w:marRight w:val="0"/>
      <w:marTop w:val="0"/>
      <w:marBottom w:val="0"/>
      <w:divBdr>
        <w:top w:val="none" w:sz="0" w:space="0" w:color="auto"/>
        <w:left w:val="none" w:sz="0" w:space="0" w:color="auto"/>
        <w:bottom w:val="none" w:sz="0" w:space="0" w:color="auto"/>
        <w:right w:val="none" w:sz="0" w:space="0" w:color="auto"/>
      </w:divBdr>
    </w:div>
    <w:div w:id="660696256">
      <w:bodyDiv w:val="1"/>
      <w:marLeft w:val="0"/>
      <w:marRight w:val="0"/>
      <w:marTop w:val="0"/>
      <w:marBottom w:val="0"/>
      <w:divBdr>
        <w:top w:val="none" w:sz="0" w:space="0" w:color="auto"/>
        <w:left w:val="none" w:sz="0" w:space="0" w:color="auto"/>
        <w:bottom w:val="none" w:sz="0" w:space="0" w:color="auto"/>
        <w:right w:val="none" w:sz="0" w:space="0" w:color="auto"/>
      </w:divBdr>
    </w:div>
    <w:div w:id="673846901">
      <w:bodyDiv w:val="1"/>
      <w:marLeft w:val="0"/>
      <w:marRight w:val="0"/>
      <w:marTop w:val="0"/>
      <w:marBottom w:val="0"/>
      <w:divBdr>
        <w:top w:val="none" w:sz="0" w:space="0" w:color="auto"/>
        <w:left w:val="none" w:sz="0" w:space="0" w:color="auto"/>
        <w:bottom w:val="none" w:sz="0" w:space="0" w:color="auto"/>
        <w:right w:val="none" w:sz="0" w:space="0" w:color="auto"/>
      </w:divBdr>
    </w:div>
    <w:div w:id="720057788">
      <w:bodyDiv w:val="1"/>
      <w:marLeft w:val="0"/>
      <w:marRight w:val="0"/>
      <w:marTop w:val="0"/>
      <w:marBottom w:val="0"/>
      <w:divBdr>
        <w:top w:val="none" w:sz="0" w:space="0" w:color="auto"/>
        <w:left w:val="none" w:sz="0" w:space="0" w:color="auto"/>
        <w:bottom w:val="none" w:sz="0" w:space="0" w:color="auto"/>
        <w:right w:val="none" w:sz="0" w:space="0" w:color="auto"/>
      </w:divBdr>
    </w:div>
    <w:div w:id="744911749">
      <w:bodyDiv w:val="1"/>
      <w:marLeft w:val="0"/>
      <w:marRight w:val="0"/>
      <w:marTop w:val="0"/>
      <w:marBottom w:val="0"/>
      <w:divBdr>
        <w:top w:val="none" w:sz="0" w:space="0" w:color="auto"/>
        <w:left w:val="none" w:sz="0" w:space="0" w:color="auto"/>
        <w:bottom w:val="none" w:sz="0" w:space="0" w:color="auto"/>
        <w:right w:val="none" w:sz="0" w:space="0" w:color="auto"/>
      </w:divBdr>
    </w:div>
    <w:div w:id="776826510">
      <w:bodyDiv w:val="1"/>
      <w:marLeft w:val="0"/>
      <w:marRight w:val="0"/>
      <w:marTop w:val="0"/>
      <w:marBottom w:val="0"/>
      <w:divBdr>
        <w:top w:val="none" w:sz="0" w:space="0" w:color="auto"/>
        <w:left w:val="none" w:sz="0" w:space="0" w:color="auto"/>
        <w:bottom w:val="none" w:sz="0" w:space="0" w:color="auto"/>
        <w:right w:val="none" w:sz="0" w:space="0" w:color="auto"/>
      </w:divBdr>
    </w:div>
    <w:div w:id="857155308">
      <w:bodyDiv w:val="1"/>
      <w:marLeft w:val="0"/>
      <w:marRight w:val="0"/>
      <w:marTop w:val="0"/>
      <w:marBottom w:val="0"/>
      <w:divBdr>
        <w:top w:val="none" w:sz="0" w:space="0" w:color="auto"/>
        <w:left w:val="none" w:sz="0" w:space="0" w:color="auto"/>
        <w:bottom w:val="none" w:sz="0" w:space="0" w:color="auto"/>
        <w:right w:val="none" w:sz="0" w:space="0" w:color="auto"/>
      </w:divBdr>
    </w:div>
    <w:div w:id="951741673">
      <w:bodyDiv w:val="1"/>
      <w:marLeft w:val="0"/>
      <w:marRight w:val="0"/>
      <w:marTop w:val="0"/>
      <w:marBottom w:val="0"/>
      <w:divBdr>
        <w:top w:val="none" w:sz="0" w:space="0" w:color="auto"/>
        <w:left w:val="none" w:sz="0" w:space="0" w:color="auto"/>
        <w:bottom w:val="none" w:sz="0" w:space="0" w:color="auto"/>
        <w:right w:val="none" w:sz="0" w:space="0" w:color="auto"/>
      </w:divBdr>
    </w:div>
    <w:div w:id="1000432319">
      <w:bodyDiv w:val="1"/>
      <w:marLeft w:val="0"/>
      <w:marRight w:val="0"/>
      <w:marTop w:val="0"/>
      <w:marBottom w:val="0"/>
      <w:divBdr>
        <w:top w:val="none" w:sz="0" w:space="0" w:color="auto"/>
        <w:left w:val="none" w:sz="0" w:space="0" w:color="auto"/>
        <w:bottom w:val="none" w:sz="0" w:space="0" w:color="auto"/>
        <w:right w:val="none" w:sz="0" w:space="0" w:color="auto"/>
      </w:divBdr>
    </w:div>
    <w:div w:id="1030104242">
      <w:bodyDiv w:val="1"/>
      <w:marLeft w:val="0"/>
      <w:marRight w:val="0"/>
      <w:marTop w:val="0"/>
      <w:marBottom w:val="0"/>
      <w:divBdr>
        <w:top w:val="none" w:sz="0" w:space="0" w:color="auto"/>
        <w:left w:val="none" w:sz="0" w:space="0" w:color="auto"/>
        <w:bottom w:val="none" w:sz="0" w:space="0" w:color="auto"/>
        <w:right w:val="none" w:sz="0" w:space="0" w:color="auto"/>
      </w:divBdr>
    </w:div>
    <w:div w:id="1064178949">
      <w:bodyDiv w:val="1"/>
      <w:marLeft w:val="0"/>
      <w:marRight w:val="0"/>
      <w:marTop w:val="0"/>
      <w:marBottom w:val="0"/>
      <w:divBdr>
        <w:top w:val="none" w:sz="0" w:space="0" w:color="auto"/>
        <w:left w:val="none" w:sz="0" w:space="0" w:color="auto"/>
        <w:bottom w:val="none" w:sz="0" w:space="0" w:color="auto"/>
        <w:right w:val="none" w:sz="0" w:space="0" w:color="auto"/>
      </w:divBdr>
    </w:div>
    <w:div w:id="1070931677">
      <w:bodyDiv w:val="1"/>
      <w:marLeft w:val="0"/>
      <w:marRight w:val="0"/>
      <w:marTop w:val="0"/>
      <w:marBottom w:val="0"/>
      <w:divBdr>
        <w:top w:val="none" w:sz="0" w:space="0" w:color="auto"/>
        <w:left w:val="none" w:sz="0" w:space="0" w:color="auto"/>
        <w:bottom w:val="none" w:sz="0" w:space="0" w:color="auto"/>
        <w:right w:val="none" w:sz="0" w:space="0" w:color="auto"/>
      </w:divBdr>
    </w:div>
    <w:div w:id="1081365924">
      <w:bodyDiv w:val="1"/>
      <w:marLeft w:val="0"/>
      <w:marRight w:val="0"/>
      <w:marTop w:val="0"/>
      <w:marBottom w:val="0"/>
      <w:divBdr>
        <w:top w:val="none" w:sz="0" w:space="0" w:color="auto"/>
        <w:left w:val="none" w:sz="0" w:space="0" w:color="auto"/>
        <w:bottom w:val="none" w:sz="0" w:space="0" w:color="auto"/>
        <w:right w:val="none" w:sz="0" w:space="0" w:color="auto"/>
      </w:divBdr>
    </w:div>
    <w:div w:id="1088846791">
      <w:bodyDiv w:val="1"/>
      <w:marLeft w:val="0"/>
      <w:marRight w:val="0"/>
      <w:marTop w:val="0"/>
      <w:marBottom w:val="0"/>
      <w:divBdr>
        <w:top w:val="none" w:sz="0" w:space="0" w:color="auto"/>
        <w:left w:val="none" w:sz="0" w:space="0" w:color="auto"/>
        <w:bottom w:val="none" w:sz="0" w:space="0" w:color="auto"/>
        <w:right w:val="none" w:sz="0" w:space="0" w:color="auto"/>
      </w:divBdr>
    </w:div>
    <w:div w:id="1136027487">
      <w:bodyDiv w:val="1"/>
      <w:marLeft w:val="0"/>
      <w:marRight w:val="0"/>
      <w:marTop w:val="0"/>
      <w:marBottom w:val="0"/>
      <w:divBdr>
        <w:top w:val="none" w:sz="0" w:space="0" w:color="auto"/>
        <w:left w:val="none" w:sz="0" w:space="0" w:color="auto"/>
        <w:bottom w:val="none" w:sz="0" w:space="0" w:color="auto"/>
        <w:right w:val="none" w:sz="0" w:space="0" w:color="auto"/>
      </w:divBdr>
    </w:div>
    <w:div w:id="1178033698">
      <w:bodyDiv w:val="1"/>
      <w:marLeft w:val="0"/>
      <w:marRight w:val="0"/>
      <w:marTop w:val="0"/>
      <w:marBottom w:val="0"/>
      <w:divBdr>
        <w:top w:val="none" w:sz="0" w:space="0" w:color="auto"/>
        <w:left w:val="none" w:sz="0" w:space="0" w:color="auto"/>
        <w:bottom w:val="none" w:sz="0" w:space="0" w:color="auto"/>
        <w:right w:val="none" w:sz="0" w:space="0" w:color="auto"/>
      </w:divBdr>
    </w:div>
    <w:div w:id="1397625136">
      <w:bodyDiv w:val="1"/>
      <w:marLeft w:val="0"/>
      <w:marRight w:val="0"/>
      <w:marTop w:val="0"/>
      <w:marBottom w:val="0"/>
      <w:divBdr>
        <w:top w:val="none" w:sz="0" w:space="0" w:color="auto"/>
        <w:left w:val="none" w:sz="0" w:space="0" w:color="auto"/>
        <w:bottom w:val="none" w:sz="0" w:space="0" w:color="auto"/>
        <w:right w:val="none" w:sz="0" w:space="0" w:color="auto"/>
      </w:divBdr>
    </w:div>
    <w:div w:id="1414430021">
      <w:bodyDiv w:val="1"/>
      <w:marLeft w:val="0"/>
      <w:marRight w:val="0"/>
      <w:marTop w:val="0"/>
      <w:marBottom w:val="0"/>
      <w:divBdr>
        <w:top w:val="none" w:sz="0" w:space="0" w:color="auto"/>
        <w:left w:val="none" w:sz="0" w:space="0" w:color="auto"/>
        <w:bottom w:val="none" w:sz="0" w:space="0" w:color="auto"/>
        <w:right w:val="none" w:sz="0" w:space="0" w:color="auto"/>
      </w:divBdr>
    </w:div>
    <w:div w:id="1431967873">
      <w:bodyDiv w:val="1"/>
      <w:marLeft w:val="0"/>
      <w:marRight w:val="0"/>
      <w:marTop w:val="0"/>
      <w:marBottom w:val="0"/>
      <w:divBdr>
        <w:top w:val="none" w:sz="0" w:space="0" w:color="auto"/>
        <w:left w:val="none" w:sz="0" w:space="0" w:color="auto"/>
        <w:bottom w:val="none" w:sz="0" w:space="0" w:color="auto"/>
        <w:right w:val="none" w:sz="0" w:space="0" w:color="auto"/>
      </w:divBdr>
    </w:div>
    <w:div w:id="1505171358">
      <w:bodyDiv w:val="1"/>
      <w:marLeft w:val="0"/>
      <w:marRight w:val="0"/>
      <w:marTop w:val="0"/>
      <w:marBottom w:val="0"/>
      <w:divBdr>
        <w:top w:val="none" w:sz="0" w:space="0" w:color="auto"/>
        <w:left w:val="none" w:sz="0" w:space="0" w:color="auto"/>
        <w:bottom w:val="none" w:sz="0" w:space="0" w:color="auto"/>
        <w:right w:val="none" w:sz="0" w:space="0" w:color="auto"/>
      </w:divBdr>
    </w:div>
    <w:div w:id="1515614270">
      <w:bodyDiv w:val="1"/>
      <w:marLeft w:val="0"/>
      <w:marRight w:val="0"/>
      <w:marTop w:val="0"/>
      <w:marBottom w:val="0"/>
      <w:divBdr>
        <w:top w:val="none" w:sz="0" w:space="0" w:color="auto"/>
        <w:left w:val="none" w:sz="0" w:space="0" w:color="auto"/>
        <w:bottom w:val="none" w:sz="0" w:space="0" w:color="auto"/>
        <w:right w:val="none" w:sz="0" w:space="0" w:color="auto"/>
      </w:divBdr>
    </w:div>
    <w:div w:id="1527060898">
      <w:bodyDiv w:val="1"/>
      <w:marLeft w:val="0"/>
      <w:marRight w:val="0"/>
      <w:marTop w:val="0"/>
      <w:marBottom w:val="0"/>
      <w:divBdr>
        <w:top w:val="none" w:sz="0" w:space="0" w:color="auto"/>
        <w:left w:val="none" w:sz="0" w:space="0" w:color="auto"/>
        <w:bottom w:val="none" w:sz="0" w:space="0" w:color="auto"/>
        <w:right w:val="none" w:sz="0" w:space="0" w:color="auto"/>
      </w:divBdr>
    </w:div>
    <w:div w:id="1549106200">
      <w:bodyDiv w:val="1"/>
      <w:marLeft w:val="0"/>
      <w:marRight w:val="0"/>
      <w:marTop w:val="0"/>
      <w:marBottom w:val="0"/>
      <w:divBdr>
        <w:top w:val="none" w:sz="0" w:space="0" w:color="auto"/>
        <w:left w:val="none" w:sz="0" w:space="0" w:color="auto"/>
        <w:bottom w:val="none" w:sz="0" w:space="0" w:color="auto"/>
        <w:right w:val="none" w:sz="0" w:space="0" w:color="auto"/>
      </w:divBdr>
    </w:div>
    <w:div w:id="1582249223">
      <w:bodyDiv w:val="1"/>
      <w:marLeft w:val="0"/>
      <w:marRight w:val="0"/>
      <w:marTop w:val="0"/>
      <w:marBottom w:val="0"/>
      <w:divBdr>
        <w:top w:val="none" w:sz="0" w:space="0" w:color="auto"/>
        <w:left w:val="none" w:sz="0" w:space="0" w:color="auto"/>
        <w:bottom w:val="none" w:sz="0" w:space="0" w:color="auto"/>
        <w:right w:val="none" w:sz="0" w:space="0" w:color="auto"/>
      </w:divBdr>
    </w:div>
    <w:div w:id="1582836451">
      <w:bodyDiv w:val="1"/>
      <w:marLeft w:val="0"/>
      <w:marRight w:val="0"/>
      <w:marTop w:val="0"/>
      <w:marBottom w:val="0"/>
      <w:divBdr>
        <w:top w:val="none" w:sz="0" w:space="0" w:color="auto"/>
        <w:left w:val="none" w:sz="0" w:space="0" w:color="auto"/>
        <w:bottom w:val="none" w:sz="0" w:space="0" w:color="auto"/>
        <w:right w:val="none" w:sz="0" w:space="0" w:color="auto"/>
      </w:divBdr>
    </w:div>
    <w:div w:id="1653870089">
      <w:bodyDiv w:val="1"/>
      <w:marLeft w:val="0"/>
      <w:marRight w:val="0"/>
      <w:marTop w:val="0"/>
      <w:marBottom w:val="0"/>
      <w:divBdr>
        <w:top w:val="none" w:sz="0" w:space="0" w:color="auto"/>
        <w:left w:val="none" w:sz="0" w:space="0" w:color="auto"/>
        <w:bottom w:val="none" w:sz="0" w:space="0" w:color="auto"/>
        <w:right w:val="none" w:sz="0" w:space="0" w:color="auto"/>
      </w:divBdr>
    </w:div>
    <w:div w:id="1667781470">
      <w:bodyDiv w:val="1"/>
      <w:marLeft w:val="0"/>
      <w:marRight w:val="0"/>
      <w:marTop w:val="0"/>
      <w:marBottom w:val="0"/>
      <w:divBdr>
        <w:top w:val="none" w:sz="0" w:space="0" w:color="auto"/>
        <w:left w:val="none" w:sz="0" w:space="0" w:color="auto"/>
        <w:bottom w:val="none" w:sz="0" w:space="0" w:color="auto"/>
        <w:right w:val="none" w:sz="0" w:space="0" w:color="auto"/>
      </w:divBdr>
    </w:div>
    <w:div w:id="1708796903">
      <w:bodyDiv w:val="1"/>
      <w:marLeft w:val="0"/>
      <w:marRight w:val="0"/>
      <w:marTop w:val="0"/>
      <w:marBottom w:val="0"/>
      <w:divBdr>
        <w:top w:val="none" w:sz="0" w:space="0" w:color="auto"/>
        <w:left w:val="none" w:sz="0" w:space="0" w:color="auto"/>
        <w:bottom w:val="none" w:sz="0" w:space="0" w:color="auto"/>
        <w:right w:val="none" w:sz="0" w:space="0" w:color="auto"/>
      </w:divBdr>
    </w:div>
    <w:div w:id="1722243252">
      <w:bodyDiv w:val="1"/>
      <w:marLeft w:val="0"/>
      <w:marRight w:val="0"/>
      <w:marTop w:val="0"/>
      <w:marBottom w:val="0"/>
      <w:divBdr>
        <w:top w:val="none" w:sz="0" w:space="0" w:color="auto"/>
        <w:left w:val="none" w:sz="0" w:space="0" w:color="auto"/>
        <w:bottom w:val="none" w:sz="0" w:space="0" w:color="auto"/>
        <w:right w:val="none" w:sz="0" w:space="0" w:color="auto"/>
      </w:divBdr>
    </w:div>
    <w:div w:id="1746294825">
      <w:bodyDiv w:val="1"/>
      <w:marLeft w:val="0"/>
      <w:marRight w:val="0"/>
      <w:marTop w:val="0"/>
      <w:marBottom w:val="0"/>
      <w:divBdr>
        <w:top w:val="none" w:sz="0" w:space="0" w:color="auto"/>
        <w:left w:val="none" w:sz="0" w:space="0" w:color="auto"/>
        <w:bottom w:val="none" w:sz="0" w:space="0" w:color="auto"/>
        <w:right w:val="none" w:sz="0" w:space="0" w:color="auto"/>
      </w:divBdr>
    </w:div>
    <w:div w:id="1765489124">
      <w:bodyDiv w:val="1"/>
      <w:marLeft w:val="0"/>
      <w:marRight w:val="0"/>
      <w:marTop w:val="0"/>
      <w:marBottom w:val="0"/>
      <w:divBdr>
        <w:top w:val="none" w:sz="0" w:space="0" w:color="auto"/>
        <w:left w:val="none" w:sz="0" w:space="0" w:color="auto"/>
        <w:bottom w:val="none" w:sz="0" w:space="0" w:color="auto"/>
        <w:right w:val="none" w:sz="0" w:space="0" w:color="auto"/>
      </w:divBdr>
    </w:div>
    <w:div w:id="1784492844">
      <w:bodyDiv w:val="1"/>
      <w:marLeft w:val="0"/>
      <w:marRight w:val="0"/>
      <w:marTop w:val="0"/>
      <w:marBottom w:val="0"/>
      <w:divBdr>
        <w:top w:val="none" w:sz="0" w:space="0" w:color="auto"/>
        <w:left w:val="none" w:sz="0" w:space="0" w:color="auto"/>
        <w:bottom w:val="none" w:sz="0" w:space="0" w:color="auto"/>
        <w:right w:val="none" w:sz="0" w:space="0" w:color="auto"/>
      </w:divBdr>
    </w:div>
    <w:div w:id="1795443854">
      <w:bodyDiv w:val="1"/>
      <w:marLeft w:val="0"/>
      <w:marRight w:val="0"/>
      <w:marTop w:val="0"/>
      <w:marBottom w:val="0"/>
      <w:divBdr>
        <w:top w:val="none" w:sz="0" w:space="0" w:color="auto"/>
        <w:left w:val="none" w:sz="0" w:space="0" w:color="auto"/>
        <w:bottom w:val="none" w:sz="0" w:space="0" w:color="auto"/>
        <w:right w:val="none" w:sz="0" w:space="0" w:color="auto"/>
      </w:divBdr>
    </w:div>
    <w:div w:id="1875385920">
      <w:bodyDiv w:val="1"/>
      <w:marLeft w:val="0"/>
      <w:marRight w:val="0"/>
      <w:marTop w:val="0"/>
      <w:marBottom w:val="0"/>
      <w:divBdr>
        <w:top w:val="none" w:sz="0" w:space="0" w:color="auto"/>
        <w:left w:val="none" w:sz="0" w:space="0" w:color="auto"/>
        <w:bottom w:val="none" w:sz="0" w:space="0" w:color="auto"/>
        <w:right w:val="none" w:sz="0" w:space="0" w:color="auto"/>
      </w:divBdr>
    </w:div>
    <w:div w:id="1890074434">
      <w:bodyDiv w:val="1"/>
      <w:marLeft w:val="0"/>
      <w:marRight w:val="0"/>
      <w:marTop w:val="0"/>
      <w:marBottom w:val="0"/>
      <w:divBdr>
        <w:top w:val="none" w:sz="0" w:space="0" w:color="auto"/>
        <w:left w:val="none" w:sz="0" w:space="0" w:color="auto"/>
        <w:bottom w:val="none" w:sz="0" w:space="0" w:color="auto"/>
        <w:right w:val="none" w:sz="0" w:space="0" w:color="auto"/>
      </w:divBdr>
    </w:div>
    <w:div w:id="1894656170">
      <w:bodyDiv w:val="1"/>
      <w:marLeft w:val="0"/>
      <w:marRight w:val="0"/>
      <w:marTop w:val="0"/>
      <w:marBottom w:val="0"/>
      <w:divBdr>
        <w:top w:val="none" w:sz="0" w:space="0" w:color="auto"/>
        <w:left w:val="none" w:sz="0" w:space="0" w:color="auto"/>
        <w:bottom w:val="none" w:sz="0" w:space="0" w:color="auto"/>
        <w:right w:val="none" w:sz="0" w:space="0" w:color="auto"/>
      </w:divBdr>
    </w:div>
    <w:div w:id="1910577240">
      <w:bodyDiv w:val="1"/>
      <w:marLeft w:val="0"/>
      <w:marRight w:val="0"/>
      <w:marTop w:val="0"/>
      <w:marBottom w:val="0"/>
      <w:divBdr>
        <w:top w:val="none" w:sz="0" w:space="0" w:color="auto"/>
        <w:left w:val="none" w:sz="0" w:space="0" w:color="auto"/>
        <w:bottom w:val="none" w:sz="0" w:space="0" w:color="auto"/>
        <w:right w:val="none" w:sz="0" w:space="0" w:color="auto"/>
      </w:divBdr>
    </w:div>
    <w:div w:id="1943301692">
      <w:bodyDiv w:val="1"/>
      <w:marLeft w:val="0"/>
      <w:marRight w:val="0"/>
      <w:marTop w:val="0"/>
      <w:marBottom w:val="0"/>
      <w:divBdr>
        <w:top w:val="none" w:sz="0" w:space="0" w:color="auto"/>
        <w:left w:val="none" w:sz="0" w:space="0" w:color="auto"/>
        <w:bottom w:val="none" w:sz="0" w:space="0" w:color="auto"/>
        <w:right w:val="none" w:sz="0" w:space="0" w:color="auto"/>
      </w:divBdr>
    </w:div>
    <w:div w:id="1989749458">
      <w:bodyDiv w:val="1"/>
      <w:marLeft w:val="0"/>
      <w:marRight w:val="0"/>
      <w:marTop w:val="0"/>
      <w:marBottom w:val="0"/>
      <w:divBdr>
        <w:top w:val="none" w:sz="0" w:space="0" w:color="auto"/>
        <w:left w:val="none" w:sz="0" w:space="0" w:color="auto"/>
        <w:bottom w:val="none" w:sz="0" w:space="0" w:color="auto"/>
        <w:right w:val="none" w:sz="0" w:space="0" w:color="auto"/>
      </w:divBdr>
    </w:div>
    <w:div w:id="1998025514">
      <w:bodyDiv w:val="1"/>
      <w:marLeft w:val="0"/>
      <w:marRight w:val="0"/>
      <w:marTop w:val="0"/>
      <w:marBottom w:val="0"/>
      <w:divBdr>
        <w:top w:val="none" w:sz="0" w:space="0" w:color="auto"/>
        <w:left w:val="none" w:sz="0" w:space="0" w:color="auto"/>
        <w:bottom w:val="none" w:sz="0" w:space="0" w:color="auto"/>
        <w:right w:val="none" w:sz="0" w:space="0" w:color="auto"/>
      </w:divBdr>
    </w:div>
    <w:div w:id="2022780036">
      <w:bodyDiv w:val="1"/>
      <w:marLeft w:val="0"/>
      <w:marRight w:val="0"/>
      <w:marTop w:val="0"/>
      <w:marBottom w:val="0"/>
      <w:divBdr>
        <w:top w:val="none" w:sz="0" w:space="0" w:color="auto"/>
        <w:left w:val="none" w:sz="0" w:space="0" w:color="auto"/>
        <w:bottom w:val="none" w:sz="0" w:space="0" w:color="auto"/>
        <w:right w:val="none" w:sz="0" w:space="0" w:color="auto"/>
      </w:divBdr>
    </w:div>
    <w:div w:id="2025400377">
      <w:bodyDiv w:val="1"/>
      <w:marLeft w:val="0"/>
      <w:marRight w:val="0"/>
      <w:marTop w:val="0"/>
      <w:marBottom w:val="0"/>
      <w:divBdr>
        <w:top w:val="none" w:sz="0" w:space="0" w:color="auto"/>
        <w:left w:val="none" w:sz="0" w:space="0" w:color="auto"/>
        <w:bottom w:val="none" w:sz="0" w:space="0" w:color="auto"/>
        <w:right w:val="none" w:sz="0" w:space="0" w:color="auto"/>
      </w:divBdr>
    </w:div>
    <w:div w:id="2032366683">
      <w:bodyDiv w:val="1"/>
      <w:marLeft w:val="0"/>
      <w:marRight w:val="0"/>
      <w:marTop w:val="0"/>
      <w:marBottom w:val="0"/>
      <w:divBdr>
        <w:top w:val="none" w:sz="0" w:space="0" w:color="auto"/>
        <w:left w:val="none" w:sz="0" w:space="0" w:color="auto"/>
        <w:bottom w:val="none" w:sz="0" w:space="0" w:color="auto"/>
        <w:right w:val="none" w:sz="0" w:space="0" w:color="auto"/>
      </w:divBdr>
    </w:div>
    <w:div w:id="2057075096">
      <w:bodyDiv w:val="1"/>
      <w:marLeft w:val="0"/>
      <w:marRight w:val="0"/>
      <w:marTop w:val="0"/>
      <w:marBottom w:val="0"/>
      <w:divBdr>
        <w:top w:val="none" w:sz="0" w:space="0" w:color="auto"/>
        <w:left w:val="none" w:sz="0" w:space="0" w:color="auto"/>
        <w:bottom w:val="none" w:sz="0" w:space="0" w:color="auto"/>
        <w:right w:val="none" w:sz="0" w:space="0" w:color="auto"/>
      </w:divBdr>
    </w:div>
    <w:div w:id="20731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omachado@ufg.br" TargetMode="External"/><Relationship Id="rId13" Type="http://schemas.openxmlformats.org/officeDocument/2006/relationships/chart" Target="charts/chart3.xml"/><Relationship Id="rId18" Type="http://schemas.openxmlformats.org/officeDocument/2006/relationships/hyperlink" Target="https://legisla.casacivil.go.gov.br/pesquisa_legislacao/90142/lei-18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i.org/10.5007/1518-2924.2015v20n42p1"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doi.org/10.22347/2175-2753v10i29.158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1-2014/2011/lei/l12527.htm" TargetMode="External"/><Relationship Id="rId20" Type="http://schemas.openxmlformats.org/officeDocument/2006/relationships/hyperlink" Target="http://doi.org/10.1590/0034-7612201702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doi.org/10.4324/9781315745138" TargetMode="External"/><Relationship Id="rId5" Type="http://schemas.openxmlformats.org/officeDocument/2006/relationships/webSettings" Target="webSettings.xml"/><Relationship Id="rId15" Type="http://schemas.openxmlformats.org/officeDocument/2006/relationships/hyperlink" Target="http://doi.org/10.1590/0034-7612119279" TargetMode="External"/><Relationship Id="rId23" Type="http://schemas.openxmlformats.org/officeDocument/2006/relationships/hyperlink" Target="http://doi.org/10.1590/0034-761220170383" TargetMode="External"/><Relationship Id="rId10" Type="http://schemas.openxmlformats.org/officeDocument/2006/relationships/hyperlink" Target="mailto:michelerilany@gmail.com" TargetMode="External"/><Relationship Id="rId19" Type="http://schemas.openxmlformats.org/officeDocument/2006/relationships/hyperlink" Target="http://doi.org/10.5433/1981-8920.2014v19n1p55" TargetMode="External"/><Relationship Id="rId4" Type="http://schemas.openxmlformats.org/officeDocument/2006/relationships/settings" Target="settings.xml"/><Relationship Id="rId9" Type="http://schemas.openxmlformats.org/officeDocument/2006/relationships/hyperlink" Target="mailto:nalini00@gmail.com" TargetMode="External"/><Relationship Id="rId14" Type="http://schemas.openxmlformats.org/officeDocument/2006/relationships/hyperlink" Target="http://doi.org/http://dx.doi.org/10.11606/issn.1982-6486.rco.2018.149212" TargetMode="External"/><Relationship Id="rId22" Type="http://schemas.openxmlformats.org/officeDocument/2006/relationships/hyperlink" Target="http://doi.org/10.18815/navus.v6i1.35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icheleRilany\Google%20Drive\Pesquisa\Projeto%20Lucio-Lauro\Artigo%20comportamento%20tcm\Dados%20TCM\BASE%20DE%20DADOS%20STATA%20-%2012%2002%202018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icheleRilany\Google%20Drive\Pesquisa\Projeto%20Lucio-Lauro\Artigo%20comportamento%20tcm\Dados%20TCM\BASE%20DE%20DADOS%20STATA%20-%2012%2002%202018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file:///E:\BASE%20DE%20DADOS%20STATA%20-%2012%2002%202018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958022805677721E-2"/>
          <c:y val="6.2524252067072877E-2"/>
          <c:w val="0.90420474196578271"/>
          <c:h val="0.66938161138948549"/>
        </c:manualLayout>
      </c:layout>
      <c:bar3DChart>
        <c:barDir val="col"/>
        <c:grouping val="percentStacked"/>
        <c:varyColors val="0"/>
        <c:ser>
          <c:idx val="0"/>
          <c:order val="0"/>
          <c:tx>
            <c:strRef>
              <c:f>Plan10!$G$15</c:f>
              <c:strCache>
                <c:ptCount val="1"/>
                <c:pt idx="0">
                  <c:v>Antes da Lei da Transparência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Plan10!$F$16:$F$21</c:f>
              <c:strCache>
                <c:ptCount val="6"/>
                <c:pt idx="0">
                  <c:v>Valor Médio Débito</c:v>
                </c:pt>
                <c:pt idx="1">
                  <c:v>Quantidade Débito</c:v>
                </c:pt>
                <c:pt idx="2">
                  <c:v>Valor Médio Multa</c:v>
                </c:pt>
                <c:pt idx="3">
                  <c:v>Quantidade Multa</c:v>
                </c:pt>
                <c:pt idx="4">
                  <c:v>Total Valor Médio</c:v>
                </c:pt>
                <c:pt idx="5">
                  <c:v>Total Quantidade</c:v>
                </c:pt>
              </c:strCache>
            </c:strRef>
          </c:cat>
          <c:val>
            <c:numRef>
              <c:f>Plan10!$G$16:$G$21</c:f>
              <c:numCache>
                <c:formatCode>General</c:formatCode>
                <c:ptCount val="6"/>
                <c:pt idx="0" formatCode="_(* #,##0.00_);_(* \(#,##0.00\);_(* &quot;-&quot;??_);_(@_)">
                  <c:v>410392.63312246115</c:v>
                </c:pt>
                <c:pt idx="1">
                  <c:v>4792</c:v>
                </c:pt>
                <c:pt idx="2" formatCode="_(* #,##0.00_);_(* \(#,##0.00\);_(* &quot;-&quot;??_);_(@_)">
                  <c:v>1995.6127783119462</c:v>
                </c:pt>
                <c:pt idx="3">
                  <c:v>27252</c:v>
                </c:pt>
                <c:pt idx="4" formatCode="_(* #,##0.00_);_(* \(#,##0.00\);_(* &quot;-&quot;??_);_(@_)">
                  <c:v>63069.090542913327</c:v>
                </c:pt>
                <c:pt idx="5">
                  <c:v>32044</c:v>
                </c:pt>
              </c:numCache>
            </c:numRef>
          </c:val>
          <c:extLst>
            <c:ext xmlns:c16="http://schemas.microsoft.com/office/drawing/2014/chart" uri="{C3380CC4-5D6E-409C-BE32-E72D297353CC}">
              <c16:uniqueId val="{00000000-6084-457E-B5E9-692784D9E687}"/>
            </c:ext>
          </c:extLst>
        </c:ser>
        <c:ser>
          <c:idx val="1"/>
          <c:order val="1"/>
          <c:tx>
            <c:strRef>
              <c:f>Plan10!$H$15</c:f>
              <c:strCache>
                <c:ptCount val="1"/>
                <c:pt idx="0">
                  <c:v>Após a Lei da Transparência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Plan10!$F$16:$F$21</c:f>
              <c:strCache>
                <c:ptCount val="6"/>
                <c:pt idx="0">
                  <c:v>Valor Médio Débito</c:v>
                </c:pt>
                <c:pt idx="1">
                  <c:v>Quantidade Débito</c:v>
                </c:pt>
                <c:pt idx="2">
                  <c:v>Valor Médio Multa</c:v>
                </c:pt>
                <c:pt idx="3">
                  <c:v>Quantidade Multa</c:v>
                </c:pt>
                <c:pt idx="4">
                  <c:v>Total Valor Médio</c:v>
                </c:pt>
                <c:pt idx="5">
                  <c:v>Total Quantidade</c:v>
                </c:pt>
              </c:strCache>
            </c:strRef>
          </c:cat>
          <c:val>
            <c:numRef>
              <c:f>Plan10!$H$16:$H$21</c:f>
              <c:numCache>
                <c:formatCode>General</c:formatCode>
                <c:ptCount val="6"/>
                <c:pt idx="0" formatCode="_(* #,##0.00_);_(* \(#,##0.00\);_(* &quot;-&quot;??_);_(@_)">
                  <c:v>700528.53941552085</c:v>
                </c:pt>
                <c:pt idx="1">
                  <c:v>3515</c:v>
                </c:pt>
                <c:pt idx="2" formatCode="_(* #,##0.00_);_(* \(#,##0.00\);_(* &quot;-&quot;??_);_(@_)">
                  <c:v>1747.1988406901421</c:v>
                </c:pt>
                <c:pt idx="3">
                  <c:v>22442</c:v>
                </c:pt>
                <c:pt idx="4" formatCode="_(* #,##0.00_);_(* \(#,##0.00\);_(* &quot;-&quot;??_);_(@_)">
                  <c:v>96373.558285938052</c:v>
                </c:pt>
                <c:pt idx="5">
                  <c:v>25957</c:v>
                </c:pt>
              </c:numCache>
            </c:numRef>
          </c:val>
          <c:extLst>
            <c:ext xmlns:c16="http://schemas.microsoft.com/office/drawing/2014/chart" uri="{C3380CC4-5D6E-409C-BE32-E72D297353CC}">
              <c16:uniqueId val="{00000001-6084-457E-B5E9-692784D9E687}"/>
            </c:ext>
          </c:extLst>
        </c:ser>
        <c:dLbls>
          <c:showLegendKey val="0"/>
          <c:showVal val="1"/>
          <c:showCatName val="0"/>
          <c:showSerName val="0"/>
          <c:showPercent val="0"/>
          <c:showBubbleSize val="0"/>
        </c:dLbls>
        <c:gapWidth val="150"/>
        <c:shape val="box"/>
        <c:axId val="428333368"/>
        <c:axId val="428336896"/>
        <c:axId val="0"/>
      </c:bar3DChart>
      <c:catAx>
        <c:axId val="428333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28336896"/>
        <c:crosses val="autoZero"/>
        <c:auto val="1"/>
        <c:lblAlgn val="ctr"/>
        <c:lblOffset val="100"/>
        <c:noMultiLvlLbl val="0"/>
      </c:catAx>
      <c:valAx>
        <c:axId val="428336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28333368"/>
        <c:crosses val="autoZero"/>
        <c:crossBetween val="between"/>
      </c:valAx>
      <c:spPr>
        <a:noFill/>
        <a:ln>
          <a:noFill/>
        </a:ln>
        <a:effectLst/>
      </c:spPr>
    </c:plotArea>
    <c:legend>
      <c:legendPos val="b"/>
      <c:layout>
        <c:manualLayout>
          <c:xMode val="edge"/>
          <c:yMode val="edge"/>
          <c:x val="0.1446636645335721"/>
          <c:y val="0.93027772479997095"/>
          <c:w val="0.69014397097421643"/>
          <c:h val="6.5462186282782789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24152078077619"/>
          <c:y val="7.7286202534035772E-2"/>
          <c:w val="0.85046912825217236"/>
          <c:h val="0.69769670877471246"/>
        </c:manualLayout>
      </c:layout>
      <c:lineChart>
        <c:grouping val="stacked"/>
        <c:varyColors val="0"/>
        <c:ser>
          <c:idx val="2"/>
          <c:order val="2"/>
          <c:tx>
            <c:strRef>
              <c:f>Plan3!$D$15</c:f>
              <c:strCache>
                <c:ptCount val="1"/>
                <c:pt idx="0">
                  <c:v>Débito Total</c:v>
                </c:pt>
              </c:strCache>
            </c:strRef>
          </c:tx>
          <c:cat>
            <c:strRef>
              <c:f>Plan3!$A$16:$A$24</c:f>
              <c:strCache>
                <c:ptCount val="9"/>
                <c:pt idx="0">
                  <c:v>Ano</c:v>
                </c:pt>
                <c:pt idx="1">
                  <c:v>2009</c:v>
                </c:pt>
                <c:pt idx="2">
                  <c:v>2010</c:v>
                </c:pt>
                <c:pt idx="3">
                  <c:v>2011</c:v>
                </c:pt>
                <c:pt idx="4">
                  <c:v>2012</c:v>
                </c:pt>
                <c:pt idx="5">
                  <c:v>2013</c:v>
                </c:pt>
                <c:pt idx="6">
                  <c:v>2014</c:v>
                </c:pt>
                <c:pt idx="7">
                  <c:v>2015</c:v>
                </c:pt>
                <c:pt idx="8">
                  <c:v>2016</c:v>
                </c:pt>
              </c:strCache>
            </c:strRef>
          </c:cat>
          <c:val>
            <c:numRef>
              <c:f>Plan3!$D$16:$D$24</c:f>
              <c:numCache>
                <c:formatCode>General</c:formatCode>
                <c:ptCount val="9"/>
                <c:pt idx="1">
                  <c:v>550</c:v>
                </c:pt>
                <c:pt idx="2">
                  <c:v>2117</c:v>
                </c:pt>
                <c:pt idx="3">
                  <c:v>1021</c:v>
                </c:pt>
                <c:pt idx="4">
                  <c:v>1104</c:v>
                </c:pt>
                <c:pt idx="5">
                  <c:v>1762</c:v>
                </c:pt>
                <c:pt idx="6">
                  <c:v>1260</c:v>
                </c:pt>
                <c:pt idx="7">
                  <c:v>359</c:v>
                </c:pt>
                <c:pt idx="8">
                  <c:v>134</c:v>
                </c:pt>
              </c:numCache>
            </c:numRef>
          </c:val>
          <c:smooth val="0"/>
          <c:extLst>
            <c:ext xmlns:c16="http://schemas.microsoft.com/office/drawing/2014/chart" uri="{C3380CC4-5D6E-409C-BE32-E72D297353CC}">
              <c16:uniqueId val="{00000000-608D-4F98-8CFB-6855C9ACB300}"/>
            </c:ext>
          </c:extLst>
        </c:ser>
        <c:ser>
          <c:idx val="5"/>
          <c:order val="5"/>
          <c:tx>
            <c:strRef>
              <c:f>Plan3!$G$15</c:f>
              <c:strCache>
                <c:ptCount val="1"/>
                <c:pt idx="0">
                  <c:v>Multa Total</c:v>
                </c:pt>
              </c:strCache>
            </c:strRef>
          </c:tx>
          <c:cat>
            <c:strRef>
              <c:f>Plan3!$A$16:$A$24</c:f>
              <c:strCache>
                <c:ptCount val="9"/>
                <c:pt idx="0">
                  <c:v>Ano</c:v>
                </c:pt>
                <c:pt idx="1">
                  <c:v>2009</c:v>
                </c:pt>
                <c:pt idx="2">
                  <c:v>2010</c:v>
                </c:pt>
                <c:pt idx="3">
                  <c:v>2011</c:v>
                </c:pt>
                <c:pt idx="4">
                  <c:v>2012</c:v>
                </c:pt>
                <c:pt idx="5">
                  <c:v>2013</c:v>
                </c:pt>
                <c:pt idx="6">
                  <c:v>2014</c:v>
                </c:pt>
                <c:pt idx="7">
                  <c:v>2015</c:v>
                </c:pt>
                <c:pt idx="8">
                  <c:v>2016</c:v>
                </c:pt>
              </c:strCache>
            </c:strRef>
          </c:cat>
          <c:val>
            <c:numRef>
              <c:f>Plan3!$G$16:$G$24</c:f>
              <c:numCache>
                <c:formatCode>General</c:formatCode>
                <c:ptCount val="9"/>
                <c:pt idx="1">
                  <c:v>1273</c:v>
                </c:pt>
                <c:pt idx="2">
                  <c:v>11795</c:v>
                </c:pt>
                <c:pt idx="3">
                  <c:v>7474</c:v>
                </c:pt>
                <c:pt idx="4">
                  <c:v>6710</c:v>
                </c:pt>
                <c:pt idx="5">
                  <c:v>8485</c:v>
                </c:pt>
                <c:pt idx="6">
                  <c:v>10287</c:v>
                </c:pt>
                <c:pt idx="7">
                  <c:v>2463</c:v>
                </c:pt>
                <c:pt idx="8">
                  <c:v>1207</c:v>
                </c:pt>
              </c:numCache>
            </c:numRef>
          </c:val>
          <c:smooth val="0"/>
          <c:extLst>
            <c:ext xmlns:c16="http://schemas.microsoft.com/office/drawing/2014/chart" uri="{C3380CC4-5D6E-409C-BE32-E72D297353CC}">
              <c16:uniqueId val="{00000001-608D-4F98-8CFB-6855C9ACB300}"/>
            </c:ext>
          </c:extLst>
        </c:ser>
        <c:ser>
          <c:idx val="6"/>
          <c:order val="6"/>
          <c:tx>
            <c:strRef>
              <c:f>Plan3!$H$15</c:f>
              <c:strCache>
                <c:ptCount val="1"/>
                <c:pt idx="0">
                  <c:v>Total Geral</c:v>
                </c:pt>
              </c:strCache>
            </c:strRef>
          </c:tx>
          <c:cat>
            <c:strRef>
              <c:f>Plan3!$A$16:$A$24</c:f>
              <c:strCache>
                <c:ptCount val="9"/>
                <c:pt idx="0">
                  <c:v>Ano</c:v>
                </c:pt>
                <c:pt idx="1">
                  <c:v>2009</c:v>
                </c:pt>
                <c:pt idx="2">
                  <c:v>2010</c:v>
                </c:pt>
                <c:pt idx="3">
                  <c:v>2011</c:v>
                </c:pt>
                <c:pt idx="4">
                  <c:v>2012</c:v>
                </c:pt>
                <c:pt idx="5">
                  <c:v>2013</c:v>
                </c:pt>
                <c:pt idx="6">
                  <c:v>2014</c:v>
                </c:pt>
                <c:pt idx="7">
                  <c:v>2015</c:v>
                </c:pt>
                <c:pt idx="8">
                  <c:v>2016</c:v>
                </c:pt>
              </c:strCache>
            </c:strRef>
          </c:cat>
          <c:val>
            <c:numRef>
              <c:f>Plan3!$H$16:$H$24</c:f>
              <c:numCache>
                <c:formatCode>General</c:formatCode>
                <c:ptCount val="9"/>
                <c:pt idx="1">
                  <c:v>1823</c:v>
                </c:pt>
                <c:pt idx="2">
                  <c:v>13912</c:v>
                </c:pt>
                <c:pt idx="3">
                  <c:v>8495</c:v>
                </c:pt>
                <c:pt idx="4">
                  <c:v>7814</c:v>
                </c:pt>
                <c:pt idx="5">
                  <c:v>10247</c:v>
                </c:pt>
                <c:pt idx="6">
                  <c:v>11547</c:v>
                </c:pt>
                <c:pt idx="7">
                  <c:v>2822</c:v>
                </c:pt>
                <c:pt idx="8">
                  <c:v>1341</c:v>
                </c:pt>
              </c:numCache>
            </c:numRef>
          </c:val>
          <c:smooth val="0"/>
          <c:extLst>
            <c:ext xmlns:c16="http://schemas.microsoft.com/office/drawing/2014/chart" uri="{C3380CC4-5D6E-409C-BE32-E72D297353CC}">
              <c16:uniqueId val="{00000002-608D-4F98-8CFB-6855C9ACB300}"/>
            </c:ext>
          </c:extLst>
        </c:ser>
        <c:dLbls>
          <c:showLegendKey val="0"/>
          <c:showVal val="0"/>
          <c:showCatName val="0"/>
          <c:showSerName val="0"/>
          <c:showPercent val="0"/>
          <c:showBubbleSize val="0"/>
        </c:dLbls>
        <c:marker val="1"/>
        <c:smooth val="0"/>
        <c:axId val="428334936"/>
        <c:axId val="428337288"/>
        <c:extLst>
          <c:ext xmlns:c15="http://schemas.microsoft.com/office/drawing/2012/chart" uri="{02D57815-91ED-43cb-92C2-25804820EDAC}">
            <c15:filteredLineSeries>
              <c15:ser>
                <c:idx val="0"/>
                <c:order val="0"/>
                <c:tx>
                  <c:strRef>
                    <c:extLst>
                      <c:ext uri="{02D57815-91ED-43cb-92C2-25804820EDAC}">
                        <c15:formulaRef>
                          <c15:sqref>Plan3!$B$15</c15:sqref>
                        </c15:formulaRef>
                      </c:ext>
                    </c:extLst>
                    <c:strCache>
                      <c:ptCount val="1"/>
                      <c:pt idx="0">
                        <c:v>Débito - não eleitoral</c:v>
                      </c:pt>
                    </c:strCache>
                  </c:strRef>
                </c:tx>
                <c:cat>
                  <c:strRef>
                    <c:extLst>
                      <c:ext uri="{02D57815-91ED-43cb-92C2-25804820EDAC}">
                        <c15:formulaRef>
                          <c15:sqref>Plan3!$A$16:$A$24</c15:sqref>
                        </c15:formulaRef>
                      </c:ext>
                    </c:extLst>
                    <c:strCache>
                      <c:ptCount val="9"/>
                      <c:pt idx="0">
                        <c:v>Ano</c:v>
                      </c:pt>
                      <c:pt idx="1">
                        <c:v>2009</c:v>
                      </c:pt>
                      <c:pt idx="2">
                        <c:v>2010</c:v>
                      </c:pt>
                      <c:pt idx="3">
                        <c:v>2011</c:v>
                      </c:pt>
                      <c:pt idx="4">
                        <c:v>2012</c:v>
                      </c:pt>
                      <c:pt idx="5">
                        <c:v>2013</c:v>
                      </c:pt>
                      <c:pt idx="6">
                        <c:v>2014</c:v>
                      </c:pt>
                      <c:pt idx="7">
                        <c:v>2015</c:v>
                      </c:pt>
                      <c:pt idx="8">
                        <c:v>2016</c:v>
                      </c:pt>
                    </c:strCache>
                  </c:strRef>
                </c:cat>
                <c:val>
                  <c:numRef>
                    <c:extLst>
                      <c:ext uri="{02D57815-91ED-43cb-92C2-25804820EDAC}">
                        <c15:formulaRef>
                          <c15:sqref>Plan3!$B$16:$B$24</c15:sqref>
                        </c15:formulaRef>
                      </c:ext>
                    </c:extLst>
                    <c:numCache>
                      <c:formatCode>General</c:formatCode>
                      <c:ptCount val="9"/>
                      <c:pt idx="0">
                        <c:v>0</c:v>
                      </c:pt>
                      <c:pt idx="1">
                        <c:v>550</c:v>
                      </c:pt>
                      <c:pt idx="2">
                        <c:v>2117</c:v>
                      </c:pt>
                      <c:pt idx="3">
                        <c:v>1021</c:v>
                      </c:pt>
                      <c:pt idx="5">
                        <c:v>1762</c:v>
                      </c:pt>
                      <c:pt idx="6">
                        <c:v>1260</c:v>
                      </c:pt>
                      <c:pt idx="7">
                        <c:v>359</c:v>
                      </c:pt>
                    </c:numCache>
                  </c:numRef>
                </c:val>
                <c:smooth val="0"/>
                <c:extLst>
                  <c:ext xmlns:c16="http://schemas.microsoft.com/office/drawing/2014/chart" uri="{C3380CC4-5D6E-409C-BE32-E72D297353CC}">
                    <c16:uniqueId val="{00000003-608D-4F98-8CFB-6855C9ACB300}"/>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Plan3!$C$15</c15:sqref>
                        </c15:formulaRef>
                      </c:ext>
                    </c:extLst>
                    <c:strCache>
                      <c:ptCount val="1"/>
                      <c:pt idx="0">
                        <c:v>Débito - ano eleitoral</c:v>
                      </c:pt>
                    </c:strCache>
                  </c:strRef>
                </c:tx>
                <c:cat>
                  <c:strRef>
                    <c:extLst xmlns:c15="http://schemas.microsoft.com/office/drawing/2012/chart">
                      <c:ext xmlns:c15="http://schemas.microsoft.com/office/drawing/2012/chart" uri="{02D57815-91ED-43cb-92C2-25804820EDAC}">
                        <c15:formulaRef>
                          <c15:sqref>Plan3!$A$16:$A$24</c15:sqref>
                        </c15:formulaRef>
                      </c:ext>
                    </c:extLst>
                    <c:strCache>
                      <c:ptCount val="9"/>
                      <c:pt idx="0">
                        <c:v>Ano</c:v>
                      </c:pt>
                      <c:pt idx="1">
                        <c:v>2009</c:v>
                      </c:pt>
                      <c:pt idx="2">
                        <c:v>2010</c:v>
                      </c:pt>
                      <c:pt idx="3">
                        <c:v>2011</c:v>
                      </c:pt>
                      <c:pt idx="4">
                        <c:v>2012</c:v>
                      </c:pt>
                      <c:pt idx="5">
                        <c:v>2013</c:v>
                      </c:pt>
                      <c:pt idx="6">
                        <c:v>2014</c:v>
                      </c:pt>
                      <c:pt idx="7">
                        <c:v>2015</c:v>
                      </c:pt>
                      <c:pt idx="8">
                        <c:v>2016</c:v>
                      </c:pt>
                    </c:strCache>
                  </c:strRef>
                </c:cat>
                <c:val>
                  <c:numRef>
                    <c:extLst xmlns:c15="http://schemas.microsoft.com/office/drawing/2012/chart">
                      <c:ext xmlns:c15="http://schemas.microsoft.com/office/drawing/2012/chart" uri="{02D57815-91ED-43cb-92C2-25804820EDAC}">
                        <c15:formulaRef>
                          <c15:sqref>Plan3!$C$16:$C$24</c15:sqref>
                        </c15:formulaRef>
                      </c:ext>
                    </c:extLst>
                    <c:numCache>
                      <c:formatCode>General</c:formatCode>
                      <c:ptCount val="9"/>
                      <c:pt idx="0">
                        <c:v>0</c:v>
                      </c:pt>
                      <c:pt idx="4">
                        <c:v>1104</c:v>
                      </c:pt>
                      <c:pt idx="8">
                        <c:v>134</c:v>
                      </c:pt>
                    </c:numCache>
                  </c:numRef>
                </c:val>
                <c:smooth val="0"/>
                <c:extLst xmlns:c15="http://schemas.microsoft.com/office/drawing/2012/chart">
                  <c:ext xmlns:c16="http://schemas.microsoft.com/office/drawing/2014/chart" uri="{C3380CC4-5D6E-409C-BE32-E72D297353CC}">
                    <c16:uniqueId val="{00000004-608D-4F98-8CFB-6855C9ACB300}"/>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Plan3!$E$15</c15:sqref>
                        </c15:formulaRef>
                      </c:ext>
                    </c:extLst>
                    <c:strCache>
                      <c:ptCount val="1"/>
                      <c:pt idx="0">
                        <c:v>Multa - não eleitoral</c:v>
                      </c:pt>
                    </c:strCache>
                  </c:strRef>
                </c:tx>
                <c:cat>
                  <c:strRef>
                    <c:extLst xmlns:c15="http://schemas.microsoft.com/office/drawing/2012/chart">
                      <c:ext xmlns:c15="http://schemas.microsoft.com/office/drawing/2012/chart" uri="{02D57815-91ED-43cb-92C2-25804820EDAC}">
                        <c15:formulaRef>
                          <c15:sqref>Plan3!$A$16:$A$24</c15:sqref>
                        </c15:formulaRef>
                      </c:ext>
                    </c:extLst>
                    <c:strCache>
                      <c:ptCount val="9"/>
                      <c:pt idx="0">
                        <c:v>Ano</c:v>
                      </c:pt>
                      <c:pt idx="1">
                        <c:v>2009</c:v>
                      </c:pt>
                      <c:pt idx="2">
                        <c:v>2010</c:v>
                      </c:pt>
                      <c:pt idx="3">
                        <c:v>2011</c:v>
                      </c:pt>
                      <c:pt idx="4">
                        <c:v>2012</c:v>
                      </c:pt>
                      <c:pt idx="5">
                        <c:v>2013</c:v>
                      </c:pt>
                      <c:pt idx="6">
                        <c:v>2014</c:v>
                      </c:pt>
                      <c:pt idx="7">
                        <c:v>2015</c:v>
                      </c:pt>
                      <c:pt idx="8">
                        <c:v>2016</c:v>
                      </c:pt>
                    </c:strCache>
                  </c:strRef>
                </c:cat>
                <c:val>
                  <c:numRef>
                    <c:extLst xmlns:c15="http://schemas.microsoft.com/office/drawing/2012/chart">
                      <c:ext xmlns:c15="http://schemas.microsoft.com/office/drawing/2012/chart" uri="{02D57815-91ED-43cb-92C2-25804820EDAC}">
                        <c15:formulaRef>
                          <c15:sqref>Plan3!$E$16:$E$24</c15:sqref>
                        </c15:formulaRef>
                      </c:ext>
                    </c:extLst>
                    <c:numCache>
                      <c:formatCode>General</c:formatCode>
                      <c:ptCount val="9"/>
                      <c:pt idx="0">
                        <c:v>0</c:v>
                      </c:pt>
                      <c:pt idx="1">
                        <c:v>1273</c:v>
                      </c:pt>
                      <c:pt idx="2">
                        <c:v>11795</c:v>
                      </c:pt>
                      <c:pt idx="3">
                        <c:v>7474</c:v>
                      </c:pt>
                      <c:pt idx="5">
                        <c:v>8485</c:v>
                      </c:pt>
                      <c:pt idx="6">
                        <c:v>10287</c:v>
                      </c:pt>
                      <c:pt idx="7">
                        <c:v>2463</c:v>
                      </c:pt>
                    </c:numCache>
                  </c:numRef>
                </c:val>
                <c:smooth val="0"/>
                <c:extLst xmlns:c15="http://schemas.microsoft.com/office/drawing/2012/chart">
                  <c:ext xmlns:c16="http://schemas.microsoft.com/office/drawing/2014/chart" uri="{C3380CC4-5D6E-409C-BE32-E72D297353CC}">
                    <c16:uniqueId val="{00000005-608D-4F98-8CFB-6855C9ACB300}"/>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Plan3!$F$15</c15:sqref>
                        </c15:formulaRef>
                      </c:ext>
                    </c:extLst>
                    <c:strCache>
                      <c:ptCount val="1"/>
                      <c:pt idx="0">
                        <c:v>Multa - ano eleitoral</c:v>
                      </c:pt>
                    </c:strCache>
                  </c:strRef>
                </c:tx>
                <c:cat>
                  <c:strRef>
                    <c:extLst xmlns:c15="http://schemas.microsoft.com/office/drawing/2012/chart">
                      <c:ext xmlns:c15="http://schemas.microsoft.com/office/drawing/2012/chart" uri="{02D57815-91ED-43cb-92C2-25804820EDAC}">
                        <c15:formulaRef>
                          <c15:sqref>Plan3!$A$16:$A$24</c15:sqref>
                        </c15:formulaRef>
                      </c:ext>
                    </c:extLst>
                    <c:strCache>
                      <c:ptCount val="9"/>
                      <c:pt idx="0">
                        <c:v>Ano</c:v>
                      </c:pt>
                      <c:pt idx="1">
                        <c:v>2009</c:v>
                      </c:pt>
                      <c:pt idx="2">
                        <c:v>2010</c:v>
                      </c:pt>
                      <c:pt idx="3">
                        <c:v>2011</c:v>
                      </c:pt>
                      <c:pt idx="4">
                        <c:v>2012</c:v>
                      </c:pt>
                      <c:pt idx="5">
                        <c:v>2013</c:v>
                      </c:pt>
                      <c:pt idx="6">
                        <c:v>2014</c:v>
                      </c:pt>
                      <c:pt idx="7">
                        <c:v>2015</c:v>
                      </c:pt>
                      <c:pt idx="8">
                        <c:v>2016</c:v>
                      </c:pt>
                    </c:strCache>
                  </c:strRef>
                </c:cat>
                <c:val>
                  <c:numRef>
                    <c:extLst xmlns:c15="http://schemas.microsoft.com/office/drawing/2012/chart">
                      <c:ext xmlns:c15="http://schemas.microsoft.com/office/drawing/2012/chart" uri="{02D57815-91ED-43cb-92C2-25804820EDAC}">
                        <c15:formulaRef>
                          <c15:sqref>Plan3!$F$16:$F$24</c15:sqref>
                        </c15:formulaRef>
                      </c:ext>
                    </c:extLst>
                    <c:numCache>
                      <c:formatCode>General</c:formatCode>
                      <c:ptCount val="9"/>
                      <c:pt idx="0">
                        <c:v>0</c:v>
                      </c:pt>
                      <c:pt idx="4">
                        <c:v>6710</c:v>
                      </c:pt>
                      <c:pt idx="8">
                        <c:v>1207</c:v>
                      </c:pt>
                    </c:numCache>
                  </c:numRef>
                </c:val>
                <c:smooth val="0"/>
                <c:extLst xmlns:c15="http://schemas.microsoft.com/office/drawing/2012/chart">
                  <c:ext xmlns:c16="http://schemas.microsoft.com/office/drawing/2014/chart" uri="{C3380CC4-5D6E-409C-BE32-E72D297353CC}">
                    <c16:uniqueId val="{00000006-608D-4F98-8CFB-6855C9ACB300}"/>
                  </c:ext>
                </c:extLst>
              </c15:ser>
            </c15:filteredLineSeries>
          </c:ext>
        </c:extLst>
      </c:lineChart>
      <c:catAx>
        <c:axId val="42833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t-BR"/>
          </a:p>
        </c:txPr>
        <c:crossAx val="428337288"/>
        <c:crosses val="autoZero"/>
        <c:auto val="1"/>
        <c:lblAlgn val="ctr"/>
        <c:lblOffset val="100"/>
        <c:noMultiLvlLbl val="0"/>
      </c:catAx>
      <c:valAx>
        <c:axId val="428337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vert="horz"/>
          <a:lstStyle/>
          <a:p>
            <a:pPr>
              <a:defRPr/>
            </a:pPr>
            <a:endParaRPr lang="pt-BR"/>
          </a:p>
        </c:txPr>
        <c:crossAx val="428334936"/>
        <c:crosses val="autoZero"/>
        <c:crossBetween val="between"/>
      </c:valAx>
      <c:spPr>
        <a:noFill/>
        <a:ln w="25400">
          <a:noFill/>
        </a:ln>
      </c:spPr>
    </c:plotArea>
    <c:legend>
      <c:legendPos val="b"/>
      <c:overlay val="0"/>
      <c:spPr>
        <a:noFill/>
        <a:ln w="25400">
          <a:noFill/>
        </a:ln>
      </c:spPr>
      <c:txPr>
        <a:bodyPr rot="0" vert="horz"/>
        <a:lstStyle/>
        <a:p>
          <a:pPr>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tx1">
              <a:lumMod val="95000"/>
              <a:lumOff val="5000"/>
            </a:schemeClr>
          </a:solidFill>
          <a:latin typeface="Times New Roman" panose="02020603050405020304" pitchFamily="18" charset="0"/>
          <a:cs typeface="Times New Roman" panose="02020603050405020304" pitchFamily="18" charset="0"/>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515997483785604E-2"/>
          <c:y val="7.173388387427182E-2"/>
          <c:w val="0.91481972191492589"/>
          <c:h val="0.75577747903463288"/>
        </c:manualLayout>
      </c:layout>
      <c:barChart>
        <c:barDir val="col"/>
        <c:grouping val="clustered"/>
        <c:varyColors val="0"/>
        <c:ser>
          <c:idx val="1"/>
          <c:order val="0"/>
          <c:tx>
            <c:strRef>
              <c:f>Plan3!$C$79:$C$81</c:f>
              <c:strCache>
                <c:ptCount val="3"/>
                <c:pt idx="0">
                  <c:v>Débito</c:v>
                </c:pt>
                <c:pt idx="1">
                  <c:v>Autarquia</c:v>
                </c:pt>
                <c:pt idx="2">
                  <c:v>%</c:v>
                </c:pt>
              </c:strCache>
            </c:strRef>
          </c:tx>
          <c:spPr>
            <a:solidFill>
              <a:schemeClr val="accent4"/>
            </a:solidFill>
            <a:ln>
              <a:noFill/>
            </a:ln>
            <a:effectLst/>
          </c:spPr>
          <c:invertIfNegative val="0"/>
          <c:cat>
            <c:numRef>
              <c:f>Plan3!$A$82:$A$89</c:f>
              <c:numCache>
                <c:formatCode>General</c:formatCode>
                <c:ptCount val="8"/>
                <c:pt idx="0">
                  <c:v>2009</c:v>
                </c:pt>
                <c:pt idx="1">
                  <c:v>2010</c:v>
                </c:pt>
                <c:pt idx="2">
                  <c:v>2011</c:v>
                </c:pt>
                <c:pt idx="3">
                  <c:v>2012</c:v>
                </c:pt>
                <c:pt idx="4">
                  <c:v>2013</c:v>
                </c:pt>
                <c:pt idx="5">
                  <c:v>2014</c:v>
                </c:pt>
                <c:pt idx="6">
                  <c:v>2015</c:v>
                </c:pt>
                <c:pt idx="7">
                  <c:v>2016</c:v>
                </c:pt>
              </c:numCache>
            </c:numRef>
          </c:cat>
          <c:val>
            <c:numRef>
              <c:f>Plan3!$C$82:$C$89</c:f>
              <c:numCache>
                <c:formatCode>General</c:formatCode>
                <c:ptCount val="8"/>
                <c:pt idx="0">
                  <c:v>103</c:v>
                </c:pt>
                <c:pt idx="1">
                  <c:v>808</c:v>
                </c:pt>
                <c:pt idx="2">
                  <c:v>198</c:v>
                </c:pt>
                <c:pt idx="3">
                  <c:v>403</c:v>
                </c:pt>
                <c:pt idx="4">
                  <c:v>745</c:v>
                </c:pt>
                <c:pt idx="5">
                  <c:v>580</c:v>
                </c:pt>
                <c:pt idx="6">
                  <c:v>199</c:v>
                </c:pt>
                <c:pt idx="7">
                  <c:v>34</c:v>
                </c:pt>
              </c:numCache>
            </c:numRef>
          </c:val>
          <c:extLst>
            <c:ext xmlns:c16="http://schemas.microsoft.com/office/drawing/2014/chart" uri="{C3380CC4-5D6E-409C-BE32-E72D297353CC}">
              <c16:uniqueId val="{00000000-B194-4401-9245-167FFA1772C7}"/>
            </c:ext>
          </c:extLst>
        </c:ser>
        <c:ser>
          <c:idx val="3"/>
          <c:order val="1"/>
          <c:tx>
            <c:strRef>
              <c:f>Plan3!$E$79:$E$81</c:f>
              <c:strCache>
                <c:ptCount val="3"/>
                <c:pt idx="0">
                  <c:v>Débito</c:v>
                </c:pt>
                <c:pt idx="1">
                  <c:v>Câmara</c:v>
                </c:pt>
                <c:pt idx="2">
                  <c:v>%</c:v>
                </c:pt>
              </c:strCache>
            </c:strRef>
          </c:tx>
          <c:spPr>
            <a:solidFill>
              <a:schemeClr val="bg2">
                <a:lumMod val="25000"/>
              </a:schemeClr>
            </a:solidFill>
            <a:ln>
              <a:noFill/>
            </a:ln>
            <a:effectLst/>
          </c:spPr>
          <c:invertIfNegative val="0"/>
          <c:cat>
            <c:numRef>
              <c:f>Plan3!$A$82:$A$89</c:f>
              <c:numCache>
                <c:formatCode>General</c:formatCode>
                <c:ptCount val="8"/>
                <c:pt idx="0">
                  <c:v>2009</c:v>
                </c:pt>
                <c:pt idx="1">
                  <c:v>2010</c:v>
                </c:pt>
                <c:pt idx="2">
                  <c:v>2011</c:v>
                </c:pt>
                <c:pt idx="3">
                  <c:v>2012</c:v>
                </c:pt>
                <c:pt idx="4">
                  <c:v>2013</c:v>
                </c:pt>
                <c:pt idx="5">
                  <c:v>2014</c:v>
                </c:pt>
                <c:pt idx="6">
                  <c:v>2015</c:v>
                </c:pt>
                <c:pt idx="7">
                  <c:v>2016</c:v>
                </c:pt>
              </c:numCache>
            </c:numRef>
          </c:cat>
          <c:val>
            <c:numRef>
              <c:f>Plan3!$E$82:$E$89</c:f>
              <c:numCache>
                <c:formatCode>General</c:formatCode>
                <c:ptCount val="8"/>
                <c:pt idx="0">
                  <c:v>118</c:v>
                </c:pt>
                <c:pt idx="1">
                  <c:v>460</c:v>
                </c:pt>
                <c:pt idx="2">
                  <c:v>274</c:v>
                </c:pt>
                <c:pt idx="3">
                  <c:v>188</c:v>
                </c:pt>
                <c:pt idx="4">
                  <c:v>96</c:v>
                </c:pt>
                <c:pt idx="5">
                  <c:v>155</c:v>
                </c:pt>
                <c:pt idx="6">
                  <c:v>57</c:v>
                </c:pt>
                <c:pt idx="7">
                  <c:v>34</c:v>
                </c:pt>
              </c:numCache>
            </c:numRef>
          </c:val>
          <c:extLst>
            <c:ext xmlns:c16="http://schemas.microsoft.com/office/drawing/2014/chart" uri="{C3380CC4-5D6E-409C-BE32-E72D297353CC}">
              <c16:uniqueId val="{00000001-B194-4401-9245-167FFA1772C7}"/>
            </c:ext>
          </c:extLst>
        </c:ser>
        <c:ser>
          <c:idx val="5"/>
          <c:order val="2"/>
          <c:tx>
            <c:strRef>
              <c:f>Plan3!$G$79:$G$81</c:f>
              <c:strCache>
                <c:ptCount val="3"/>
                <c:pt idx="0">
                  <c:v>Débito</c:v>
                </c:pt>
                <c:pt idx="1">
                  <c:v>Prefeitura</c:v>
                </c:pt>
                <c:pt idx="2">
                  <c:v>%</c:v>
                </c:pt>
              </c:strCache>
            </c:strRef>
          </c:tx>
          <c:spPr>
            <a:solidFill>
              <a:schemeClr val="accent1">
                <a:lumMod val="75000"/>
              </a:schemeClr>
            </a:solidFill>
            <a:ln>
              <a:noFill/>
            </a:ln>
            <a:effectLst/>
          </c:spPr>
          <c:invertIfNegative val="0"/>
          <c:cat>
            <c:numRef>
              <c:f>Plan3!$A$82:$A$89</c:f>
              <c:numCache>
                <c:formatCode>General</c:formatCode>
                <c:ptCount val="8"/>
                <c:pt idx="0">
                  <c:v>2009</c:v>
                </c:pt>
                <c:pt idx="1">
                  <c:v>2010</c:v>
                </c:pt>
                <c:pt idx="2">
                  <c:v>2011</c:v>
                </c:pt>
                <c:pt idx="3">
                  <c:v>2012</c:v>
                </c:pt>
                <c:pt idx="4">
                  <c:v>2013</c:v>
                </c:pt>
                <c:pt idx="5">
                  <c:v>2014</c:v>
                </c:pt>
                <c:pt idx="6">
                  <c:v>2015</c:v>
                </c:pt>
                <c:pt idx="7">
                  <c:v>2016</c:v>
                </c:pt>
              </c:numCache>
            </c:numRef>
          </c:cat>
          <c:val>
            <c:numRef>
              <c:f>Plan3!$G$82:$G$89</c:f>
              <c:numCache>
                <c:formatCode>General</c:formatCode>
                <c:ptCount val="8"/>
                <c:pt idx="0">
                  <c:v>329</c:v>
                </c:pt>
                <c:pt idx="1">
                  <c:v>849</c:v>
                </c:pt>
                <c:pt idx="2">
                  <c:v>549</c:v>
                </c:pt>
                <c:pt idx="3">
                  <c:v>513</c:v>
                </c:pt>
                <c:pt idx="4">
                  <c:v>921</c:v>
                </c:pt>
                <c:pt idx="5">
                  <c:v>525</c:v>
                </c:pt>
                <c:pt idx="6">
                  <c:v>103</c:v>
                </c:pt>
                <c:pt idx="7">
                  <c:v>66</c:v>
                </c:pt>
              </c:numCache>
            </c:numRef>
          </c:val>
          <c:extLst>
            <c:ext xmlns:c16="http://schemas.microsoft.com/office/drawing/2014/chart" uri="{C3380CC4-5D6E-409C-BE32-E72D297353CC}">
              <c16:uniqueId val="{00000002-B194-4401-9245-167FFA1772C7}"/>
            </c:ext>
          </c:extLst>
        </c:ser>
        <c:ser>
          <c:idx val="9"/>
          <c:order val="3"/>
          <c:tx>
            <c:strRef>
              <c:f>Plan3!$K$79:$K$81</c:f>
              <c:strCache>
                <c:ptCount val="3"/>
                <c:pt idx="0">
                  <c:v>Multa</c:v>
                </c:pt>
                <c:pt idx="1">
                  <c:v>Autarquia</c:v>
                </c:pt>
                <c:pt idx="2">
                  <c:v>%</c:v>
                </c:pt>
              </c:strCache>
            </c:strRef>
          </c:tx>
          <c:spPr>
            <a:solidFill>
              <a:schemeClr val="accent2">
                <a:lumMod val="80000"/>
              </a:schemeClr>
            </a:solidFill>
            <a:ln>
              <a:noFill/>
            </a:ln>
            <a:effectLst/>
          </c:spPr>
          <c:invertIfNegative val="0"/>
          <c:cat>
            <c:numRef>
              <c:f>Plan3!$A$82:$A$89</c:f>
              <c:numCache>
                <c:formatCode>General</c:formatCode>
                <c:ptCount val="8"/>
                <c:pt idx="0">
                  <c:v>2009</c:v>
                </c:pt>
                <c:pt idx="1">
                  <c:v>2010</c:v>
                </c:pt>
                <c:pt idx="2">
                  <c:v>2011</c:v>
                </c:pt>
                <c:pt idx="3">
                  <c:v>2012</c:v>
                </c:pt>
                <c:pt idx="4">
                  <c:v>2013</c:v>
                </c:pt>
                <c:pt idx="5">
                  <c:v>2014</c:v>
                </c:pt>
                <c:pt idx="6">
                  <c:v>2015</c:v>
                </c:pt>
                <c:pt idx="7">
                  <c:v>2016</c:v>
                </c:pt>
              </c:numCache>
            </c:numRef>
          </c:cat>
          <c:val>
            <c:numRef>
              <c:f>Plan3!$K$82:$K$89</c:f>
              <c:numCache>
                <c:formatCode>General</c:formatCode>
                <c:ptCount val="8"/>
                <c:pt idx="0">
                  <c:v>319</c:v>
                </c:pt>
                <c:pt idx="1">
                  <c:v>6353</c:v>
                </c:pt>
                <c:pt idx="2">
                  <c:v>2797</c:v>
                </c:pt>
                <c:pt idx="3">
                  <c:v>2390</c:v>
                </c:pt>
                <c:pt idx="4">
                  <c:v>2759</c:v>
                </c:pt>
                <c:pt idx="5">
                  <c:v>3251</c:v>
                </c:pt>
                <c:pt idx="6">
                  <c:v>1019</c:v>
                </c:pt>
                <c:pt idx="7">
                  <c:v>504</c:v>
                </c:pt>
              </c:numCache>
            </c:numRef>
          </c:val>
          <c:extLst>
            <c:ext xmlns:c16="http://schemas.microsoft.com/office/drawing/2014/chart" uri="{C3380CC4-5D6E-409C-BE32-E72D297353CC}">
              <c16:uniqueId val="{00000003-B194-4401-9245-167FFA1772C7}"/>
            </c:ext>
          </c:extLst>
        </c:ser>
        <c:ser>
          <c:idx val="11"/>
          <c:order val="4"/>
          <c:tx>
            <c:strRef>
              <c:f>Plan3!$M$79:$M$81</c:f>
              <c:strCache>
                <c:ptCount val="3"/>
                <c:pt idx="0">
                  <c:v>Multa</c:v>
                </c:pt>
                <c:pt idx="1">
                  <c:v>Câmara</c:v>
                </c:pt>
                <c:pt idx="2">
                  <c:v>%</c:v>
                </c:pt>
              </c:strCache>
            </c:strRef>
          </c:tx>
          <c:spPr>
            <a:solidFill>
              <a:schemeClr val="accent6">
                <a:lumMod val="80000"/>
              </a:schemeClr>
            </a:solidFill>
            <a:ln>
              <a:noFill/>
            </a:ln>
            <a:effectLst/>
          </c:spPr>
          <c:invertIfNegative val="0"/>
          <c:cat>
            <c:numRef>
              <c:f>Plan3!$A$82:$A$89</c:f>
              <c:numCache>
                <c:formatCode>General</c:formatCode>
                <c:ptCount val="8"/>
                <c:pt idx="0">
                  <c:v>2009</c:v>
                </c:pt>
                <c:pt idx="1">
                  <c:v>2010</c:v>
                </c:pt>
                <c:pt idx="2">
                  <c:v>2011</c:v>
                </c:pt>
                <c:pt idx="3">
                  <c:v>2012</c:v>
                </c:pt>
                <c:pt idx="4">
                  <c:v>2013</c:v>
                </c:pt>
                <c:pt idx="5">
                  <c:v>2014</c:v>
                </c:pt>
                <c:pt idx="6">
                  <c:v>2015</c:v>
                </c:pt>
                <c:pt idx="7">
                  <c:v>2016</c:v>
                </c:pt>
              </c:numCache>
            </c:numRef>
          </c:cat>
          <c:val>
            <c:numRef>
              <c:f>Plan3!$M$82:$M$89</c:f>
              <c:numCache>
                <c:formatCode>General</c:formatCode>
                <c:ptCount val="8"/>
                <c:pt idx="0">
                  <c:v>89</c:v>
                </c:pt>
                <c:pt idx="1">
                  <c:v>1329</c:v>
                </c:pt>
                <c:pt idx="2">
                  <c:v>810</c:v>
                </c:pt>
                <c:pt idx="3">
                  <c:v>635</c:v>
                </c:pt>
                <c:pt idx="4">
                  <c:v>442</c:v>
                </c:pt>
                <c:pt idx="5">
                  <c:v>716</c:v>
                </c:pt>
                <c:pt idx="6">
                  <c:v>98</c:v>
                </c:pt>
                <c:pt idx="7">
                  <c:v>104</c:v>
                </c:pt>
              </c:numCache>
            </c:numRef>
          </c:val>
          <c:extLst>
            <c:ext xmlns:c16="http://schemas.microsoft.com/office/drawing/2014/chart" uri="{C3380CC4-5D6E-409C-BE32-E72D297353CC}">
              <c16:uniqueId val="{00000004-B194-4401-9245-167FFA1772C7}"/>
            </c:ext>
          </c:extLst>
        </c:ser>
        <c:ser>
          <c:idx val="13"/>
          <c:order val="5"/>
          <c:tx>
            <c:strRef>
              <c:f>Plan3!$O$79:$O$81</c:f>
              <c:strCache>
                <c:ptCount val="3"/>
                <c:pt idx="0">
                  <c:v>Multa</c:v>
                </c:pt>
                <c:pt idx="1">
                  <c:v>Prefeitura</c:v>
                </c:pt>
                <c:pt idx="2">
                  <c:v>%</c:v>
                </c:pt>
              </c:strCache>
            </c:strRef>
          </c:tx>
          <c:spPr>
            <a:solidFill>
              <a:schemeClr val="accent4">
                <a:lumMod val="60000"/>
                <a:lumOff val="40000"/>
              </a:schemeClr>
            </a:solidFill>
            <a:ln>
              <a:noFill/>
            </a:ln>
            <a:effectLst/>
          </c:spPr>
          <c:invertIfNegative val="0"/>
          <c:cat>
            <c:numRef>
              <c:f>Plan3!$A$82:$A$89</c:f>
              <c:numCache>
                <c:formatCode>General</c:formatCode>
                <c:ptCount val="8"/>
                <c:pt idx="0">
                  <c:v>2009</c:v>
                </c:pt>
                <c:pt idx="1">
                  <c:v>2010</c:v>
                </c:pt>
                <c:pt idx="2">
                  <c:v>2011</c:v>
                </c:pt>
                <c:pt idx="3">
                  <c:v>2012</c:v>
                </c:pt>
                <c:pt idx="4">
                  <c:v>2013</c:v>
                </c:pt>
                <c:pt idx="5">
                  <c:v>2014</c:v>
                </c:pt>
                <c:pt idx="6">
                  <c:v>2015</c:v>
                </c:pt>
                <c:pt idx="7">
                  <c:v>2016</c:v>
                </c:pt>
              </c:numCache>
            </c:numRef>
          </c:cat>
          <c:val>
            <c:numRef>
              <c:f>Plan3!$O$82:$O$89</c:f>
              <c:numCache>
                <c:formatCode>General</c:formatCode>
                <c:ptCount val="8"/>
                <c:pt idx="0">
                  <c:v>865</c:v>
                </c:pt>
                <c:pt idx="1">
                  <c:v>4113</c:v>
                </c:pt>
                <c:pt idx="2">
                  <c:v>3867</c:v>
                </c:pt>
                <c:pt idx="3">
                  <c:v>3685</c:v>
                </c:pt>
                <c:pt idx="4">
                  <c:v>5284</c:v>
                </c:pt>
                <c:pt idx="5">
                  <c:v>6320</c:v>
                </c:pt>
                <c:pt idx="6">
                  <c:v>1346</c:v>
                </c:pt>
                <c:pt idx="7">
                  <c:v>599</c:v>
                </c:pt>
              </c:numCache>
            </c:numRef>
          </c:val>
          <c:extLst>
            <c:ext xmlns:c16="http://schemas.microsoft.com/office/drawing/2014/chart" uri="{C3380CC4-5D6E-409C-BE32-E72D297353CC}">
              <c16:uniqueId val="{00000005-B194-4401-9245-167FFA1772C7}"/>
            </c:ext>
          </c:extLst>
        </c:ser>
        <c:dLbls>
          <c:showLegendKey val="0"/>
          <c:showVal val="0"/>
          <c:showCatName val="0"/>
          <c:showSerName val="0"/>
          <c:showPercent val="0"/>
          <c:showBubbleSize val="0"/>
        </c:dLbls>
        <c:gapWidth val="100"/>
        <c:overlap val="-24"/>
        <c:axId val="428337680"/>
        <c:axId val="428338464"/>
      </c:barChart>
      <c:catAx>
        <c:axId val="4283376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28338464"/>
        <c:crosses val="autoZero"/>
        <c:auto val="1"/>
        <c:lblAlgn val="ctr"/>
        <c:lblOffset val="100"/>
        <c:noMultiLvlLbl val="0"/>
      </c:catAx>
      <c:valAx>
        <c:axId val="428338464"/>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428337680"/>
        <c:crosses val="autoZero"/>
        <c:crossBetween val="between"/>
      </c:valAx>
      <c:spPr>
        <a:noFill/>
        <a:ln>
          <a:noFill/>
        </a:ln>
        <a:effectLst/>
      </c:spPr>
    </c:plotArea>
    <c:legend>
      <c:legendPos val="b"/>
      <c:layout>
        <c:manualLayout>
          <c:xMode val="edge"/>
          <c:yMode val="edge"/>
          <c:x val="7.3387562091928593E-2"/>
          <c:y val="0.89765169494658248"/>
          <c:w val="0.86204030281338795"/>
          <c:h val="7.981309378581198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26A5-2056-4376-BDC7-2943676D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10153</Words>
  <Characters>54828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2020-08-12T16:58:00Z</dcterms:created>
  <dcterms:modified xsi:type="dcterms:W3CDTF">2021-03-17T16:23:00Z</dcterms:modified>
</cp:coreProperties>
</file>