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D30916" w14:textId="1A00824E" w:rsidR="00A73C1E" w:rsidRDefault="00207713" w:rsidP="00650284">
      <w:pPr>
        <w:ind w:firstLine="0"/>
        <w:jc w:val="center"/>
        <w:rPr>
          <w:b/>
        </w:rPr>
      </w:pPr>
      <w:r>
        <w:rPr>
          <w:b/>
        </w:rPr>
        <w:t>Avaliação socioambiental de fornecedores a partir dos relatórios de sustentabilidade de empresas do ISE B3</w:t>
      </w:r>
    </w:p>
    <w:p w14:paraId="68A2D30B" w14:textId="49872D21" w:rsidR="00A436AC" w:rsidRDefault="00A436AC" w:rsidP="00650284">
      <w:pPr>
        <w:ind w:firstLine="0"/>
        <w:jc w:val="center"/>
        <w:rPr>
          <w:b/>
        </w:rPr>
      </w:pPr>
    </w:p>
    <w:p w14:paraId="10EA7E40" w14:textId="12D35EFB" w:rsidR="00A436AC" w:rsidRPr="00A436AC" w:rsidRDefault="00207713" w:rsidP="00650284">
      <w:pPr>
        <w:ind w:firstLine="0"/>
        <w:jc w:val="center"/>
        <w:rPr>
          <w:b/>
          <w:lang w:val="en-US"/>
        </w:rPr>
      </w:pPr>
      <w:r>
        <w:rPr>
          <w:b/>
          <w:lang w:val="en-US"/>
        </w:rPr>
        <w:t>S</w:t>
      </w:r>
      <w:r w:rsidRPr="00A436AC">
        <w:rPr>
          <w:b/>
          <w:lang w:val="en-US"/>
        </w:rPr>
        <w:t xml:space="preserve">ocio-environmental assessment of suppliers based on the sustainability reports of </w:t>
      </w:r>
      <w:r>
        <w:rPr>
          <w:b/>
          <w:lang w:val="en-US"/>
        </w:rPr>
        <w:t>ISE</w:t>
      </w:r>
      <w:r w:rsidRPr="00A436AC">
        <w:rPr>
          <w:b/>
          <w:lang w:val="en-US"/>
        </w:rPr>
        <w:t xml:space="preserve"> </w:t>
      </w:r>
      <w:r>
        <w:rPr>
          <w:b/>
          <w:lang w:val="en-US"/>
        </w:rPr>
        <w:t>B</w:t>
      </w:r>
      <w:r w:rsidRPr="00A436AC">
        <w:rPr>
          <w:b/>
          <w:lang w:val="en-US"/>
        </w:rPr>
        <w:t>3 companies</w:t>
      </w:r>
    </w:p>
    <w:p w14:paraId="418208EB" w14:textId="429CD7D9" w:rsidR="00A93785" w:rsidRDefault="00A93785" w:rsidP="00EE4D2D">
      <w:pPr>
        <w:ind w:firstLine="0"/>
        <w:rPr>
          <w:bCs/>
          <w:lang w:val="en-US"/>
        </w:rPr>
      </w:pPr>
    </w:p>
    <w:p w14:paraId="389ABFF7" w14:textId="77777777" w:rsidR="008E647F" w:rsidRPr="008E647F" w:rsidRDefault="008E647F" w:rsidP="008E647F">
      <w:pPr>
        <w:ind w:firstLine="0"/>
        <w:jc w:val="center"/>
        <w:rPr>
          <w:b/>
        </w:rPr>
      </w:pPr>
      <w:r w:rsidRPr="008E647F">
        <w:rPr>
          <w:b/>
        </w:rPr>
        <w:t>Amanda Manes Koch</w:t>
      </w:r>
    </w:p>
    <w:p w14:paraId="23C341C5" w14:textId="77777777" w:rsidR="008E647F" w:rsidRDefault="008E647F" w:rsidP="008E647F">
      <w:pPr>
        <w:ind w:firstLine="0"/>
        <w:jc w:val="center"/>
        <w:rPr>
          <w:bCs/>
        </w:rPr>
      </w:pPr>
      <w:r>
        <w:rPr>
          <w:bCs/>
        </w:rPr>
        <w:t>Doutoranda</w:t>
      </w:r>
      <w:r w:rsidRPr="00AF22CA">
        <w:rPr>
          <w:bCs/>
        </w:rPr>
        <w:t xml:space="preserve"> no Programa de Pós-Graduação em Contabilidade</w:t>
      </w:r>
      <w:r>
        <w:rPr>
          <w:bCs/>
        </w:rPr>
        <w:t xml:space="preserve"> </w:t>
      </w:r>
      <w:r w:rsidRPr="00AF22CA">
        <w:rPr>
          <w:bCs/>
        </w:rPr>
        <w:t>da Universidade Federal de Santa Catarina –</w:t>
      </w:r>
      <w:r>
        <w:rPr>
          <w:bCs/>
        </w:rPr>
        <w:t xml:space="preserve"> </w:t>
      </w:r>
      <w:r w:rsidRPr="00AF22CA">
        <w:rPr>
          <w:bCs/>
        </w:rPr>
        <w:t>UFSC</w:t>
      </w:r>
    </w:p>
    <w:p w14:paraId="14BEF0A5" w14:textId="77777777" w:rsidR="008E647F" w:rsidRDefault="008E647F" w:rsidP="008E647F">
      <w:pPr>
        <w:ind w:firstLine="0"/>
        <w:jc w:val="center"/>
        <w:rPr>
          <w:bCs/>
        </w:rPr>
      </w:pPr>
      <w:r w:rsidRPr="000E2C18">
        <w:rPr>
          <w:bCs/>
        </w:rPr>
        <w:t>Campus Reitor João David Ferreira Lima, s/n, Bairro Trindade</w:t>
      </w:r>
      <w:r>
        <w:rPr>
          <w:bCs/>
        </w:rPr>
        <w:t xml:space="preserve"> </w:t>
      </w:r>
    </w:p>
    <w:p w14:paraId="7C22A7C1" w14:textId="77777777" w:rsidR="008E647F" w:rsidRDefault="008E647F" w:rsidP="008E647F">
      <w:pPr>
        <w:ind w:firstLine="0"/>
        <w:jc w:val="center"/>
        <w:rPr>
          <w:bCs/>
        </w:rPr>
      </w:pPr>
      <w:r w:rsidRPr="000E2C18">
        <w:rPr>
          <w:bCs/>
        </w:rPr>
        <w:t>CEP 88</w:t>
      </w:r>
      <w:r>
        <w:rPr>
          <w:bCs/>
        </w:rPr>
        <w:t>040</w:t>
      </w:r>
      <w:r w:rsidRPr="000E2C18">
        <w:rPr>
          <w:bCs/>
        </w:rPr>
        <w:t>-</w:t>
      </w:r>
      <w:r>
        <w:rPr>
          <w:bCs/>
        </w:rPr>
        <w:t>9</w:t>
      </w:r>
      <w:r w:rsidRPr="000E2C18">
        <w:rPr>
          <w:bCs/>
        </w:rPr>
        <w:t>00 –</w:t>
      </w:r>
      <w:r>
        <w:rPr>
          <w:bCs/>
        </w:rPr>
        <w:t xml:space="preserve"> </w:t>
      </w:r>
      <w:r w:rsidRPr="000E2C18">
        <w:rPr>
          <w:bCs/>
        </w:rPr>
        <w:t>Florianópolis</w:t>
      </w:r>
      <w:r>
        <w:rPr>
          <w:bCs/>
        </w:rPr>
        <w:t>/SC</w:t>
      </w:r>
      <w:r w:rsidRPr="000E2C18">
        <w:rPr>
          <w:bCs/>
        </w:rPr>
        <w:t xml:space="preserve"> –</w:t>
      </w:r>
      <w:r>
        <w:rPr>
          <w:bCs/>
        </w:rPr>
        <w:t xml:space="preserve"> </w:t>
      </w:r>
      <w:r w:rsidRPr="000E2C18">
        <w:rPr>
          <w:bCs/>
        </w:rPr>
        <w:t>Brasil</w:t>
      </w:r>
    </w:p>
    <w:p w14:paraId="588A91B2" w14:textId="77777777" w:rsidR="008E647F" w:rsidRDefault="008E647F" w:rsidP="008E647F">
      <w:pPr>
        <w:ind w:firstLine="0"/>
        <w:jc w:val="center"/>
        <w:rPr>
          <w:bCs/>
        </w:rPr>
      </w:pPr>
      <w:r w:rsidRPr="000E2C18">
        <w:rPr>
          <w:bCs/>
        </w:rPr>
        <w:t>E-mail:amandamaneskoch@hotmail.com</w:t>
      </w:r>
    </w:p>
    <w:p w14:paraId="570439CC" w14:textId="77777777" w:rsidR="008E647F" w:rsidRDefault="008E647F" w:rsidP="008E647F">
      <w:pPr>
        <w:ind w:firstLine="0"/>
        <w:jc w:val="center"/>
        <w:rPr>
          <w:b/>
        </w:rPr>
      </w:pPr>
    </w:p>
    <w:p w14:paraId="582A22AC" w14:textId="77777777" w:rsidR="008E647F" w:rsidRPr="00AF22CA" w:rsidRDefault="008E647F" w:rsidP="008E647F">
      <w:pPr>
        <w:ind w:firstLine="0"/>
        <w:jc w:val="center"/>
        <w:rPr>
          <w:b/>
        </w:rPr>
      </w:pPr>
      <w:r w:rsidRPr="00AF22CA">
        <w:rPr>
          <w:b/>
        </w:rPr>
        <w:t xml:space="preserve">Rodrigo </w:t>
      </w:r>
      <w:proofErr w:type="spellStart"/>
      <w:r w:rsidRPr="00AF22CA">
        <w:rPr>
          <w:b/>
        </w:rPr>
        <w:t>Rengel</w:t>
      </w:r>
      <w:proofErr w:type="spellEnd"/>
    </w:p>
    <w:p w14:paraId="6380F8F9" w14:textId="77777777" w:rsidR="008E647F" w:rsidRDefault="008E647F" w:rsidP="008E647F">
      <w:pPr>
        <w:ind w:firstLine="0"/>
        <w:jc w:val="center"/>
        <w:rPr>
          <w:bCs/>
        </w:rPr>
      </w:pPr>
      <w:r>
        <w:rPr>
          <w:bCs/>
        </w:rPr>
        <w:t>Doutorando</w:t>
      </w:r>
      <w:r w:rsidRPr="00AF22CA">
        <w:rPr>
          <w:bCs/>
        </w:rPr>
        <w:t xml:space="preserve"> no Programa de Pós-Graduação em Contabilidade</w:t>
      </w:r>
      <w:r>
        <w:rPr>
          <w:bCs/>
        </w:rPr>
        <w:t xml:space="preserve"> </w:t>
      </w:r>
      <w:r w:rsidRPr="00AF22CA">
        <w:rPr>
          <w:bCs/>
        </w:rPr>
        <w:t>da Universidade Federal de Santa Catarina –</w:t>
      </w:r>
      <w:r>
        <w:rPr>
          <w:bCs/>
        </w:rPr>
        <w:t xml:space="preserve"> </w:t>
      </w:r>
      <w:r w:rsidRPr="00AF22CA">
        <w:rPr>
          <w:bCs/>
        </w:rPr>
        <w:t>UFSC</w:t>
      </w:r>
    </w:p>
    <w:p w14:paraId="65DC5626" w14:textId="77777777" w:rsidR="008E647F" w:rsidRDefault="008E647F" w:rsidP="008E647F">
      <w:pPr>
        <w:ind w:firstLine="0"/>
        <w:jc w:val="center"/>
        <w:rPr>
          <w:bCs/>
        </w:rPr>
      </w:pPr>
      <w:r w:rsidRPr="000E2C18">
        <w:rPr>
          <w:bCs/>
        </w:rPr>
        <w:t>Campus Reitor João David Ferreira Lima, s/n, Bairro Trindade</w:t>
      </w:r>
      <w:r>
        <w:rPr>
          <w:bCs/>
        </w:rPr>
        <w:t xml:space="preserve"> </w:t>
      </w:r>
    </w:p>
    <w:p w14:paraId="50E1ED02" w14:textId="77777777" w:rsidR="008E647F" w:rsidRDefault="008E647F" w:rsidP="008E647F">
      <w:pPr>
        <w:ind w:firstLine="0"/>
        <w:jc w:val="center"/>
        <w:rPr>
          <w:bCs/>
        </w:rPr>
      </w:pPr>
      <w:r w:rsidRPr="000E2C18">
        <w:rPr>
          <w:bCs/>
        </w:rPr>
        <w:t>CEP 88</w:t>
      </w:r>
      <w:r>
        <w:rPr>
          <w:bCs/>
        </w:rPr>
        <w:t>040</w:t>
      </w:r>
      <w:r w:rsidRPr="000E2C18">
        <w:rPr>
          <w:bCs/>
        </w:rPr>
        <w:t>-</w:t>
      </w:r>
      <w:r>
        <w:rPr>
          <w:bCs/>
        </w:rPr>
        <w:t>9</w:t>
      </w:r>
      <w:r w:rsidRPr="000E2C18">
        <w:rPr>
          <w:bCs/>
        </w:rPr>
        <w:t>00 –</w:t>
      </w:r>
      <w:r>
        <w:rPr>
          <w:bCs/>
        </w:rPr>
        <w:t xml:space="preserve"> </w:t>
      </w:r>
      <w:r w:rsidRPr="000E2C18">
        <w:rPr>
          <w:bCs/>
        </w:rPr>
        <w:t>Florianópolis</w:t>
      </w:r>
      <w:r>
        <w:rPr>
          <w:bCs/>
        </w:rPr>
        <w:t>/SC</w:t>
      </w:r>
      <w:r w:rsidRPr="000E2C18">
        <w:rPr>
          <w:bCs/>
        </w:rPr>
        <w:t xml:space="preserve"> –</w:t>
      </w:r>
      <w:r>
        <w:rPr>
          <w:bCs/>
        </w:rPr>
        <w:t xml:space="preserve"> </w:t>
      </w:r>
      <w:r w:rsidRPr="000E2C18">
        <w:rPr>
          <w:bCs/>
        </w:rPr>
        <w:t>Brasil</w:t>
      </w:r>
    </w:p>
    <w:p w14:paraId="064E5393" w14:textId="77777777" w:rsidR="008E647F" w:rsidRPr="000E2C18" w:rsidRDefault="008E647F" w:rsidP="008E647F">
      <w:pPr>
        <w:ind w:firstLine="0"/>
        <w:jc w:val="center"/>
        <w:rPr>
          <w:bCs/>
        </w:rPr>
      </w:pPr>
      <w:r w:rsidRPr="000E2C18">
        <w:rPr>
          <w:bCs/>
        </w:rPr>
        <w:t>E-mail: rengel.rodrigo@hotmail.com</w:t>
      </w:r>
    </w:p>
    <w:p w14:paraId="05E8ECD2" w14:textId="77777777" w:rsidR="008E647F" w:rsidRPr="00AF22CA" w:rsidRDefault="008E647F" w:rsidP="008E647F">
      <w:pPr>
        <w:ind w:firstLine="0"/>
        <w:jc w:val="center"/>
        <w:rPr>
          <w:b/>
        </w:rPr>
      </w:pPr>
    </w:p>
    <w:p w14:paraId="53D1F387" w14:textId="77777777" w:rsidR="008E647F" w:rsidRPr="00AF22CA" w:rsidRDefault="008E647F" w:rsidP="008E647F">
      <w:pPr>
        <w:ind w:firstLine="0"/>
        <w:jc w:val="center"/>
        <w:rPr>
          <w:b/>
        </w:rPr>
      </w:pPr>
      <w:r w:rsidRPr="00AF22CA">
        <w:rPr>
          <w:b/>
        </w:rPr>
        <w:t>Eduardo Tramontin Castanha</w:t>
      </w:r>
    </w:p>
    <w:p w14:paraId="38786792" w14:textId="77777777" w:rsidR="008E647F" w:rsidRDefault="008E647F" w:rsidP="008E647F">
      <w:pPr>
        <w:ind w:firstLine="0"/>
        <w:jc w:val="center"/>
        <w:rPr>
          <w:bCs/>
        </w:rPr>
      </w:pPr>
      <w:r>
        <w:rPr>
          <w:bCs/>
        </w:rPr>
        <w:t>Doutorando</w:t>
      </w:r>
      <w:r w:rsidRPr="00AF22CA">
        <w:rPr>
          <w:bCs/>
        </w:rPr>
        <w:t xml:space="preserve"> no Programa de Pós-Graduação em Contabilidade</w:t>
      </w:r>
      <w:r>
        <w:rPr>
          <w:bCs/>
        </w:rPr>
        <w:t xml:space="preserve"> </w:t>
      </w:r>
      <w:r w:rsidRPr="00AF22CA">
        <w:rPr>
          <w:bCs/>
        </w:rPr>
        <w:t>da Universidade Federal de Santa Catarina –</w:t>
      </w:r>
      <w:r>
        <w:rPr>
          <w:bCs/>
        </w:rPr>
        <w:t xml:space="preserve"> </w:t>
      </w:r>
      <w:r w:rsidRPr="00AF22CA">
        <w:rPr>
          <w:bCs/>
        </w:rPr>
        <w:t>UFSC</w:t>
      </w:r>
    </w:p>
    <w:p w14:paraId="7E2A2A98" w14:textId="77777777" w:rsidR="008E647F" w:rsidRDefault="008E647F" w:rsidP="008E647F">
      <w:pPr>
        <w:ind w:firstLine="0"/>
        <w:jc w:val="center"/>
        <w:rPr>
          <w:bCs/>
        </w:rPr>
      </w:pPr>
      <w:r w:rsidRPr="000E2C18">
        <w:rPr>
          <w:bCs/>
        </w:rPr>
        <w:t>Campus Reitor João David Ferreira Lima, s/n, Bairro Trindade</w:t>
      </w:r>
      <w:r>
        <w:rPr>
          <w:bCs/>
        </w:rPr>
        <w:t xml:space="preserve"> </w:t>
      </w:r>
    </w:p>
    <w:p w14:paraId="32B11244" w14:textId="77777777" w:rsidR="008E647F" w:rsidRDefault="008E647F" w:rsidP="008E647F">
      <w:pPr>
        <w:ind w:firstLine="0"/>
        <w:jc w:val="center"/>
        <w:rPr>
          <w:bCs/>
        </w:rPr>
      </w:pPr>
      <w:r w:rsidRPr="000E2C18">
        <w:rPr>
          <w:bCs/>
        </w:rPr>
        <w:t>CEP 88</w:t>
      </w:r>
      <w:r>
        <w:rPr>
          <w:bCs/>
        </w:rPr>
        <w:t>040</w:t>
      </w:r>
      <w:r w:rsidRPr="000E2C18">
        <w:rPr>
          <w:bCs/>
        </w:rPr>
        <w:t>-</w:t>
      </w:r>
      <w:r>
        <w:rPr>
          <w:bCs/>
        </w:rPr>
        <w:t>9</w:t>
      </w:r>
      <w:r w:rsidRPr="000E2C18">
        <w:rPr>
          <w:bCs/>
        </w:rPr>
        <w:t>00 –</w:t>
      </w:r>
      <w:r>
        <w:rPr>
          <w:bCs/>
        </w:rPr>
        <w:t xml:space="preserve"> </w:t>
      </w:r>
      <w:r w:rsidRPr="000E2C18">
        <w:rPr>
          <w:bCs/>
        </w:rPr>
        <w:t>Florianópolis</w:t>
      </w:r>
      <w:r>
        <w:rPr>
          <w:bCs/>
        </w:rPr>
        <w:t>/SC</w:t>
      </w:r>
      <w:r w:rsidRPr="000E2C18">
        <w:rPr>
          <w:bCs/>
        </w:rPr>
        <w:t xml:space="preserve"> –</w:t>
      </w:r>
      <w:r>
        <w:rPr>
          <w:bCs/>
        </w:rPr>
        <w:t xml:space="preserve"> </w:t>
      </w:r>
      <w:r w:rsidRPr="000E2C18">
        <w:rPr>
          <w:bCs/>
        </w:rPr>
        <w:t>Brasil</w:t>
      </w:r>
    </w:p>
    <w:p w14:paraId="4E1676B8" w14:textId="77777777" w:rsidR="008E647F" w:rsidRDefault="008E647F" w:rsidP="008E647F">
      <w:pPr>
        <w:ind w:firstLine="0"/>
        <w:jc w:val="center"/>
        <w:rPr>
          <w:b/>
        </w:rPr>
      </w:pPr>
      <w:r w:rsidRPr="000E2C18">
        <w:rPr>
          <w:bCs/>
        </w:rPr>
        <w:t>E-mail:</w:t>
      </w:r>
      <w:r>
        <w:rPr>
          <w:bCs/>
        </w:rPr>
        <w:t xml:space="preserve"> </w:t>
      </w:r>
      <w:r w:rsidRPr="000E2C18">
        <w:rPr>
          <w:bCs/>
        </w:rPr>
        <w:t>eduardo_tramontin@hotmail.com</w:t>
      </w:r>
    </w:p>
    <w:p w14:paraId="4ED55DA4" w14:textId="77777777" w:rsidR="008E647F" w:rsidRDefault="008E647F" w:rsidP="008E647F">
      <w:pPr>
        <w:ind w:firstLine="0"/>
        <w:jc w:val="center"/>
        <w:rPr>
          <w:b/>
        </w:rPr>
      </w:pPr>
    </w:p>
    <w:p w14:paraId="6A762C86" w14:textId="77777777" w:rsidR="008E647F" w:rsidRPr="00AF22CA" w:rsidRDefault="008E647F" w:rsidP="008E647F">
      <w:pPr>
        <w:ind w:firstLine="0"/>
        <w:jc w:val="center"/>
        <w:rPr>
          <w:b/>
        </w:rPr>
      </w:pPr>
      <w:r w:rsidRPr="00AF22CA">
        <w:rPr>
          <w:b/>
        </w:rPr>
        <w:t xml:space="preserve">Valdirene </w:t>
      </w:r>
      <w:proofErr w:type="spellStart"/>
      <w:r w:rsidRPr="00AF22CA">
        <w:rPr>
          <w:b/>
        </w:rPr>
        <w:t>Gasparetto</w:t>
      </w:r>
      <w:proofErr w:type="spellEnd"/>
    </w:p>
    <w:p w14:paraId="5297099D" w14:textId="77777777" w:rsidR="008E647F" w:rsidRDefault="008E647F" w:rsidP="008E647F">
      <w:pPr>
        <w:ind w:firstLine="0"/>
        <w:jc w:val="center"/>
        <w:rPr>
          <w:bCs/>
        </w:rPr>
      </w:pPr>
      <w:r>
        <w:rPr>
          <w:bCs/>
        </w:rPr>
        <w:t>D</w:t>
      </w:r>
      <w:r w:rsidRPr="000E2C18">
        <w:rPr>
          <w:bCs/>
        </w:rPr>
        <w:t>outora em Engenharia de Produção pela</w:t>
      </w:r>
      <w:r>
        <w:rPr>
          <w:bCs/>
        </w:rPr>
        <w:t xml:space="preserve"> </w:t>
      </w:r>
      <w:r w:rsidRPr="000E2C18">
        <w:rPr>
          <w:bCs/>
        </w:rPr>
        <w:t>Universidade Federal de Santa Catarina –</w:t>
      </w:r>
      <w:r>
        <w:rPr>
          <w:bCs/>
        </w:rPr>
        <w:t xml:space="preserve"> </w:t>
      </w:r>
      <w:r w:rsidRPr="000E2C18">
        <w:rPr>
          <w:bCs/>
        </w:rPr>
        <w:t>UFSC</w:t>
      </w:r>
    </w:p>
    <w:p w14:paraId="0758AC52" w14:textId="77777777" w:rsidR="008E647F" w:rsidRDefault="008E647F" w:rsidP="008E647F">
      <w:pPr>
        <w:ind w:firstLine="0"/>
        <w:jc w:val="center"/>
        <w:rPr>
          <w:bCs/>
        </w:rPr>
      </w:pPr>
      <w:r w:rsidRPr="000E2C18">
        <w:rPr>
          <w:bCs/>
        </w:rPr>
        <w:t>Professora na Universidade Federal de Santa Catarina –</w:t>
      </w:r>
      <w:r>
        <w:rPr>
          <w:bCs/>
        </w:rPr>
        <w:t xml:space="preserve"> </w:t>
      </w:r>
      <w:r w:rsidRPr="000E2C18">
        <w:rPr>
          <w:bCs/>
        </w:rPr>
        <w:t>UFSC</w:t>
      </w:r>
    </w:p>
    <w:p w14:paraId="6FD788EC" w14:textId="77777777" w:rsidR="008E647F" w:rsidRDefault="008E647F" w:rsidP="008E647F">
      <w:pPr>
        <w:ind w:firstLine="0"/>
        <w:jc w:val="center"/>
        <w:rPr>
          <w:bCs/>
        </w:rPr>
      </w:pPr>
      <w:r w:rsidRPr="000E2C18">
        <w:rPr>
          <w:bCs/>
        </w:rPr>
        <w:t>Campus Reitor João David Ferreira Lima, s/n, Bairro Trindade</w:t>
      </w:r>
    </w:p>
    <w:p w14:paraId="3AACBC59" w14:textId="77777777" w:rsidR="008E647F" w:rsidRDefault="008E647F" w:rsidP="008E647F">
      <w:pPr>
        <w:ind w:firstLine="0"/>
        <w:jc w:val="center"/>
        <w:rPr>
          <w:bCs/>
        </w:rPr>
      </w:pPr>
      <w:r w:rsidRPr="000E2C18">
        <w:rPr>
          <w:bCs/>
        </w:rPr>
        <w:t>CEP 88</w:t>
      </w:r>
      <w:r>
        <w:rPr>
          <w:bCs/>
        </w:rPr>
        <w:t>040</w:t>
      </w:r>
      <w:r w:rsidRPr="000E2C18">
        <w:rPr>
          <w:bCs/>
        </w:rPr>
        <w:t>-</w:t>
      </w:r>
      <w:r>
        <w:rPr>
          <w:bCs/>
        </w:rPr>
        <w:t>9</w:t>
      </w:r>
      <w:r w:rsidRPr="000E2C18">
        <w:rPr>
          <w:bCs/>
        </w:rPr>
        <w:t>00 –</w:t>
      </w:r>
      <w:r>
        <w:rPr>
          <w:bCs/>
        </w:rPr>
        <w:t xml:space="preserve"> </w:t>
      </w:r>
      <w:r w:rsidRPr="000E2C18">
        <w:rPr>
          <w:bCs/>
        </w:rPr>
        <w:t>Florianópolis</w:t>
      </w:r>
      <w:r>
        <w:rPr>
          <w:bCs/>
        </w:rPr>
        <w:t>/SC</w:t>
      </w:r>
      <w:r w:rsidRPr="000E2C18">
        <w:rPr>
          <w:bCs/>
        </w:rPr>
        <w:t xml:space="preserve"> –</w:t>
      </w:r>
      <w:r>
        <w:rPr>
          <w:bCs/>
        </w:rPr>
        <w:t xml:space="preserve"> </w:t>
      </w:r>
      <w:r w:rsidRPr="000E2C18">
        <w:rPr>
          <w:bCs/>
        </w:rPr>
        <w:t>Brasil</w:t>
      </w:r>
    </w:p>
    <w:p w14:paraId="0FC26A7E" w14:textId="77777777" w:rsidR="008E647F" w:rsidRDefault="008E647F" w:rsidP="008E647F">
      <w:pPr>
        <w:ind w:firstLine="0"/>
        <w:jc w:val="center"/>
        <w:rPr>
          <w:bCs/>
        </w:rPr>
      </w:pPr>
      <w:r w:rsidRPr="000E2C18">
        <w:rPr>
          <w:bCs/>
        </w:rPr>
        <w:t>E-mail:</w:t>
      </w:r>
      <w:r>
        <w:rPr>
          <w:bCs/>
        </w:rPr>
        <w:t xml:space="preserve"> </w:t>
      </w:r>
      <w:r w:rsidRPr="000E2C18">
        <w:rPr>
          <w:bCs/>
        </w:rPr>
        <w:t>valdirenegasparetto@gmail.com</w:t>
      </w:r>
    </w:p>
    <w:p w14:paraId="16118151" w14:textId="77777777" w:rsidR="008E647F" w:rsidRPr="008E647F" w:rsidRDefault="008E647F" w:rsidP="00EE4D2D">
      <w:pPr>
        <w:ind w:firstLine="0"/>
        <w:rPr>
          <w:bCs/>
        </w:rPr>
      </w:pPr>
    </w:p>
    <w:p w14:paraId="0C0F5DD8" w14:textId="77777777" w:rsidR="005776DF" w:rsidRDefault="00207713" w:rsidP="00005C71">
      <w:pPr>
        <w:ind w:firstLine="0"/>
        <w:rPr>
          <w:b/>
        </w:rPr>
      </w:pPr>
      <w:r>
        <w:rPr>
          <w:b/>
        </w:rPr>
        <w:t>Resumo</w:t>
      </w:r>
    </w:p>
    <w:p w14:paraId="71A6BE74" w14:textId="4963BFB6" w:rsidR="00005C71" w:rsidRPr="00207713" w:rsidRDefault="005776DF" w:rsidP="00650284">
      <w:pPr>
        <w:ind w:firstLine="0"/>
        <w:rPr>
          <w:b/>
        </w:rPr>
      </w:pPr>
      <w:r w:rsidRPr="005776DF">
        <w:rPr>
          <w:bCs/>
        </w:rPr>
        <w:t>Demandas regulatórias</w:t>
      </w:r>
      <w:r>
        <w:rPr>
          <w:highlight w:val="white"/>
        </w:rPr>
        <w:t xml:space="preserve"> </w:t>
      </w:r>
      <w:r w:rsidR="00005C71">
        <w:rPr>
          <w:highlight w:val="white"/>
        </w:rPr>
        <w:t xml:space="preserve">incentivam </w:t>
      </w:r>
      <w:r w:rsidR="00A22C4C">
        <w:rPr>
          <w:highlight w:val="white"/>
        </w:rPr>
        <w:t>empresas</w:t>
      </w:r>
      <w:r w:rsidR="00005C71">
        <w:rPr>
          <w:highlight w:val="white"/>
        </w:rPr>
        <w:t xml:space="preserve"> a incorporar aspectos socioambientais </w:t>
      </w:r>
      <w:r w:rsidR="001A3463">
        <w:t>em suas decisões</w:t>
      </w:r>
      <w:r w:rsidR="00F46CEB">
        <w:t xml:space="preserve"> e a estender essa preocupação à </w:t>
      </w:r>
      <w:r w:rsidR="001A3463">
        <w:t>seleção e avaliação de fornecedores</w:t>
      </w:r>
      <w:r w:rsidR="00A22C4C">
        <w:t>, visto o reflexo da conduta destes na reputação das empresas compradoras. Nesse sentido, d</w:t>
      </w:r>
      <w:r w:rsidR="00A22C4C">
        <w:rPr>
          <w:highlight w:val="white"/>
        </w:rPr>
        <w:t xml:space="preserve">iante da crescente demanda por práticas de Responsabilidade Social Corporativa e divulgação </w:t>
      </w:r>
      <w:r w:rsidR="004E3CFB">
        <w:rPr>
          <w:highlight w:val="white"/>
        </w:rPr>
        <w:t xml:space="preserve">de </w:t>
      </w:r>
      <w:r w:rsidR="00A22C4C">
        <w:rPr>
          <w:highlight w:val="white"/>
        </w:rPr>
        <w:t xml:space="preserve">relatórios que contemplem informações </w:t>
      </w:r>
      <w:r w:rsidR="004E3CFB">
        <w:rPr>
          <w:highlight w:val="white"/>
        </w:rPr>
        <w:t>às partes interessadas</w:t>
      </w:r>
      <w:r w:rsidR="00A22C4C">
        <w:rPr>
          <w:highlight w:val="white"/>
        </w:rPr>
        <w:t xml:space="preserve">, </w:t>
      </w:r>
      <w:r w:rsidR="00090E0E">
        <w:t>e</w:t>
      </w:r>
      <w:r w:rsidR="009E260D">
        <w:t>ste estudo objetiva investigar como a avaliação socioambiental de fornecedores é evidenciada pelas empresas participantes do Índice de Sustentabilidade Empresarial (ISE B3).</w:t>
      </w:r>
      <w:r w:rsidR="00A52F66">
        <w:t xml:space="preserve"> </w:t>
      </w:r>
      <w:r w:rsidR="00090E0E">
        <w:t>Para atingir ao proposto, r</w:t>
      </w:r>
      <w:r w:rsidR="009E260D">
        <w:t xml:space="preserve">ealizou-se análise de </w:t>
      </w:r>
      <w:r w:rsidR="008C395D">
        <w:t xml:space="preserve">evidenciação, </w:t>
      </w:r>
      <w:r w:rsidR="009E260D">
        <w:t>conteúdo</w:t>
      </w:r>
      <w:r w:rsidR="008C395D">
        <w:t xml:space="preserve"> e similitude</w:t>
      </w:r>
      <w:r w:rsidR="009E260D">
        <w:t xml:space="preserve"> dos relatórios de sustentabilidade </w:t>
      </w:r>
      <w:r w:rsidR="008C395D">
        <w:t>das (38)</w:t>
      </w:r>
      <w:r w:rsidR="009E260D">
        <w:t xml:space="preserve"> empresas </w:t>
      </w:r>
      <w:r w:rsidR="008C395D">
        <w:t>investigadas. Embora</w:t>
      </w:r>
      <w:r w:rsidR="00090E0E">
        <w:t xml:space="preserve"> as empresas</w:t>
      </w:r>
      <w:r w:rsidR="008C395D">
        <w:t xml:space="preserve"> afirmem</w:t>
      </w:r>
      <w:r w:rsidR="009E260D">
        <w:t xml:space="preserve"> adequar</w:t>
      </w:r>
      <w:r w:rsidR="008C395D">
        <w:t>-se</w:t>
      </w:r>
      <w:r w:rsidR="009E260D">
        <w:t xml:space="preserve"> aos padrões 308 e 414 do </w:t>
      </w:r>
      <w:r w:rsidR="009E260D">
        <w:rPr>
          <w:i/>
        </w:rPr>
        <w:t xml:space="preserve">Global </w:t>
      </w:r>
      <w:proofErr w:type="spellStart"/>
      <w:r w:rsidR="009E260D">
        <w:rPr>
          <w:i/>
        </w:rPr>
        <w:t>Reporting</w:t>
      </w:r>
      <w:proofErr w:type="spellEnd"/>
      <w:r w:rsidR="009E260D">
        <w:rPr>
          <w:i/>
        </w:rPr>
        <w:t xml:space="preserve"> </w:t>
      </w:r>
      <w:proofErr w:type="spellStart"/>
      <w:r w:rsidR="009E260D">
        <w:rPr>
          <w:i/>
        </w:rPr>
        <w:t>Initiative</w:t>
      </w:r>
      <w:proofErr w:type="spellEnd"/>
      <w:r w:rsidR="009E260D">
        <w:t xml:space="preserve"> (GRI), referentes à avaliação socioambiental de fornecedores</w:t>
      </w:r>
      <w:r w:rsidR="008C395D">
        <w:t>, apenas</w:t>
      </w:r>
      <w:r w:rsidR="009E260D">
        <w:t xml:space="preserve"> uma </w:t>
      </w:r>
      <w:r w:rsidR="00090E0E">
        <w:t xml:space="preserve">empresa </w:t>
      </w:r>
      <w:r w:rsidR="009E260D">
        <w:t xml:space="preserve">evidenciou todos os requisitos </w:t>
      </w:r>
      <w:r w:rsidR="008C395D">
        <w:t>específicos de relato</w:t>
      </w:r>
      <w:r w:rsidR="00A63F27">
        <w:t xml:space="preserve">. </w:t>
      </w:r>
      <w:r w:rsidR="00EC6059">
        <w:t xml:space="preserve">As </w:t>
      </w:r>
      <w:r w:rsidR="009E260D">
        <w:t>informações são evidenciadas de forma dispersa nos relatórios</w:t>
      </w:r>
      <w:r w:rsidR="00A63F27">
        <w:t xml:space="preserve"> e </w:t>
      </w:r>
      <w:r w:rsidR="00EC6059">
        <w:t xml:space="preserve">os </w:t>
      </w:r>
      <w:r w:rsidR="00A63F27">
        <w:t>i</w:t>
      </w:r>
      <w:r w:rsidR="009E260D">
        <w:t xml:space="preserve">mpactos socioambientais </w:t>
      </w:r>
      <w:r w:rsidR="00EC6059">
        <w:t>possuem menor destaque</w:t>
      </w:r>
      <w:r w:rsidR="00A41F7E">
        <w:t xml:space="preserve">, o que diminui a </w:t>
      </w:r>
      <w:r w:rsidR="00A41F7E">
        <w:lastRenderedPageBreak/>
        <w:t xml:space="preserve">qualidade </w:t>
      </w:r>
      <w:r w:rsidR="00EC6059">
        <w:t>informacional</w:t>
      </w:r>
      <w:r w:rsidR="00A41F7E">
        <w:rPr>
          <w:i/>
          <w:iCs/>
        </w:rPr>
        <w:t>.</w:t>
      </w:r>
      <w:r w:rsidR="009E260D">
        <w:t xml:space="preserve"> </w:t>
      </w:r>
      <w:r w:rsidR="00EC6059">
        <w:t>Como</w:t>
      </w:r>
      <w:r w:rsidR="00A63F27" w:rsidRPr="00A63F27">
        <w:t xml:space="preserve"> </w:t>
      </w:r>
      <w:r w:rsidR="00EC6059">
        <w:t xml:space="preserve">contribuições teóricas e práticas, esta pesquisa </w:t>
      </w:r>
      <w:r w:rsidR="00A63F27" w:rsidRPr="00A63F27">
        <w:t xml:space="preserve">apresenta uma discussão sobre aspectos socioambientais </w:t>
      </w:r>
      <w:r w:rsidR="00A41F7E">
        <w:t>nas relações interorganizacionais</w:t>
      </w:r>
      <w:r w:rsidR="00EC6059">
        <w:t>, oferece</w:t>
      </w:r>
      <w:r w:rsidR="009E260D">
        <w:t xml:space="preserve"> </w:t>
      </w:r>
      <w:r w:rsidR="009E260D">
        <w:rPr>
          <w:i/>
        </w:rPr>
        <w:t xml:space="preserve">insights </w:t>
      </w:r>
      <w:r w:rsidR="009E260D">
        <w:t>para os gestores aprimorarem a comunicação com usuários externos sobre aspectos socioambientais relacionados à cadeia de suprimentos, e ressalta</w:t>
      </w:r>
      <w:r w:rsidR="00EC6059">
        <w:t xml:space="preserve"> </w:t>
      </w:r>
      <w:r w:rsidR="009E260D">
        <w:t xml:space="preserve">que as organizações </w:t>
      </w:r>
      <w:r w:rsidR="00EC6059">
        <w:t>devem melhorar a</w:t>
      </w:r>
      <w:r w:rsidR="009E260D">
        <w:t xml:space="preserve"> evidenciação de informações </w:t>
      </w:r>
      <w:r w:rsidR="00EC6059">
        <w:t xml:space="preserve">nos seus relatórios de sustentabilidade </w:t>
      </w:r>
      <w:r w:rsidR="00CF2C36">
        <w:t>para</w:t>
      </w:r>
      <w:r w:rsidR="00EC6059">
        <w:t xml:space="preserve"> atender os padrões GRI e fornecer informações </w:t>
      </w:r>
      <w:r w:rsidR="00CF2C36">
        <w:t xml:space="preserve">oportunas aos </w:t>
      </w:r>
      <w:r w:rsidR="00CF2C36" w:rsidRPr="00CF2C36">
        <w:rPr>
          <w:i/>
          <w:iCs/>
        </w:rPr>
        <w:t>stakeholders</w:t>
      </w:r>
      <w:r w:rsidR="00CF2C36">
        <w:t xml:space="preserve">. </w:t>
      </w:r>
    </w:p>
    <w:p w14:paraId="37C260B4" w14:textId="556ACFCF" w:rsidR="00A73C1E" w:rsidRDefault="00F2127F" w:rsidP="00650284">
      <w:pPr>
        <w:ind w:firstLine="0"/>
      </w:pPr>
      <w:r>
        <w:rPr>
          <w:b/>
        </w:rPr>
        <w:t xml:space="preserve">Palavras-chave: </w:t>
      </w:r>
      <w:r w:rsidR="009E260D">
        <w:t xml:space="preserve">Avaliação social de fornecedores; Avaliação ambiental de fornecedores; </w:t>
      </w:r>
      <w:r w:rsidR="009E260D">
        <w:rPr>
          <w:i/>
        </w:rPr>
        <w:t xml:space="preserve">Global </w:t>
      </w:r>
      <w:proofErr w:type="spellStart"/>
      <w:r w:rsidR="009E260D">
        <w:rPr>
          <w:i/>
        </w:rPr>
        <w:t>Reporting</w:t>
      </w:r>
      <w:proofErr w:type="spellEnd"/>
      <w:r w:rsidR="009E260D">
        <w:rPr>
          <w:i/>
        </w:rPr>
        <w:t xml:space="preserve"> </w:t>
      </w:r>
      <w:proofErr w:type="spellStart"/>
      <w:r w:rsidR="009E260D">
        <w:rPr>
          <w:i/>
        </w:rPr>
        <w:t>Initiative</w:t>
      </w:r>
      <w:proofErr w:type="spellEnd"/>
      <w:r w:rsidR="009E260D">
        <w:t>; Índice de Sustentabilidade Empresarial.</w:t>
      </w:r>
    </w:p>
    <w:p w14:paraId="7E2AB1D9" w14:textId="57583332" w:rsidR="009E260D" w:rsidRPr="00650284" w:rsidRDefault="009E260D" w:rsidP="00650284">
      <w:pPr>
        <w:ind w:firstLine="0"/>
        <w:rPr>
          <w:b/>
        </w:rPr>
      </w:pPr>
    </w:p>
    <w:p w14:paraId="6DB0F362" w14:textId="28E7FED4" w:rsidR="00295963" w:rsidRPr="00A436AC" w:rsidRDefault="00207713" w:rsidP="00650284">
      <w:pPr>
        <w:ind w:firstLine="0"/>
        <w:rPr>
          <w:b/>
          <w:lang w:val="en-US"/>
        </w:rPr>
      </w:pPr>
      <w:r>
        <w:rPr>
          <w:b/>
          <w:lang w:val="en-US"/>
        </w:rPr>
        <w:t>Abstract</w:t>
      </w:r>
    </w:p>
    <w:p w14:paraId="1000685F" w14:textId="6727D831" w:rsidR="00005C71" w:rsidRDefault="004E3CFB" w:rsidP="00650284">
      <w:pPr>
        <w:ind w:firstLine="0"/>
        <w:rPr>
          <w:lang w:val="en-US"/>
        </w:rPr>
      </w:pPr>
      <w:r w:rsidRPr="004E3CFB">
        <w:rPr>
          <w:lang w:val="en-US"/>
        </w:rPr>
        <w:t>Regulatory demands encourage companies to incorporate socio-environmental aspects into their decisions and to extend this concern to the selection and evaluation of suppliers, as their conduct reflects on the reputation of the purchasing companies. In this sense, given the growing demand for Corporate Social Responsibility practices and disclosure of reports that include information to stakeholders, this study aims to investigate how the socio-environmental assessment of suppliers is evidenced by companies participating in the Corporate Sustainability Index (ISE B3).</w:t>
      </w:r>
      <w:r>
        <w:rPr>
          <w:lang w:val="en-US"/>
        </w:rPr>
        <w:t xml:space="preserve"> </w:t>
      </w:r>
      <w:r w:rsidR="00A64D86" w:rsidRPr="00A64D86">
        <w:rPr>
          <w:lang w:val="en-US"/>
        </w:rPr>
        <w:t>An analysis of the disclosure, content and similarity of the sustainability reports of the investigated companies was carried out. Although they claim to comply with the standards 308 and 414 of the Global Reporting Initiative, referring to the socio-environmental assessment of suppliers, only one company showed all the specific reporting requirements. The information is dispersed in the reports and the socio-environmental impacts are less prominent, which reduces the quality of information. As theoretical and practical contributions, this research presents a discussion on socio-environmental aspects in inter-organizational relationships, offers insights for managers to improve communication with external users on socio-environmental aspects related to the supply chain, and suggests that organizations improve the disclosure of information in reports. of sustainability to meet GRI standards and provide timely information to stakeholders.</w:t>
      </w:r>
    </w:p>
    <w:p w14:paraId="11D2ACA2" w14:textId="67544190" w:rsidR="00295963" w:rsidRDefault="00295963" w:rsidP="00650284">
      <w:pPr>
        <w:ind w:firstLine="0"/>
        <w:rPr>
          <w:lang w:val="en-US"/>
        </w:rPr>
      </w:pPr>
      <w:r w:rsidRPr="00295963">
        <w:rPr>
          <w:b/>
          <w:bCs/>
          <w:lang w:val="en-US"/>
        </w:rPr>
        <w:t xml:space="preserve">Key-words: </w:t>
      </w:r>
      <w:r w:rsidRPr="00295963">
        <w:rPr>
          <w:lang w:val="en-US"/>
        </w:rPr>
        <w:t>Social assessment of suppliers; Environmental assessment of suppliers; Global Information Initiative; Corporate Sustainability Index.</w:t>
      </w:r>
    </w:p>
    <w:p w14:paraId="020900EF" w14:textId="71D5084B" w:rsidR="00A73C1E" w:rsidRPr="009E260D" w:rsidRDefault="00F2127F" w:rsidP="00650284">
      <w:pPr>
        <w:ind w:firstLine="0"/>
        <w:rPr>
          <w:b/>
        </w:rPr>
      </w:pPr>
      <w:r w:rsidRPr="009E260D">
        <w:rPr>
          <w:b/>
        </w:rPr>
        <w:t xml:space="preserve">1 </w:t>
      </w:r>
      <w:r w:rsidR="003619F4">
        <w:rPr>
          <w:b/>
        </w:rPr>
        <w:t>Introdução</w:t>
      </w:r>
    </w:p>
    <w:p w14:paraId="2C198117" w14:textId="4E4A2D77" w:rsidR="009E260D" w:rsidRDefault="009E260D" w:rsidP="00650284">
      <w:pPr>
        <w:rPr>
          <w:highlight w:val="white"/>
        </w:rPr>
      </w:pPr>
      <w:r>
        <w:rPr>
          <w:highlight w:val="white"/>
        </w:rPr>
        <w:t xml:space="preserve">As organizações enfrentam pressões de diferentes </w:t>
      </w:r>
      <w:r w:rsidR="00CF2C36" w:rsidRPr="00CF2C36">
        <w:rPr>
          <w:i/>
          <w:iCs/>
          <w:highlight w:val="white"/>
        </w:rPr>
        <w:t>stakeholders</w:t>
      </w:r>
      <w:r>
        <w:rPr>
          <w:highlight w:val="white"/>
        </w:rPr>
        <w:t xml:space="preserve"> sobre o impacto de suas operações </w:t>
      </w:r>
      <w:r w:rsidR="00CF2C36">
        <w:rPr>
          <w:highlight w:val="white"/>
        </w:rPr>
        <w:t>para o</w:t>
      </w:r>
      <w:r>
        <w:rPr>
          <w:highlight w:val="white"/>
        </w:rPr>
        <w:t xml:space="preserve"> meio ambiente (Abbas &amp; </w:t>
      </w:r>
      <w:proofErr w:type="spellStart"/>
      <w:r>
        <w:rPr>
          <w:highlight w:val="white"/>
        </w:rPr>
        <w:t>Sağsan</w:t>
      </w:r>
      <w:proofErr w:type="spellEnd"/>
      <w:r>
        <w:rPr>
          <w:highlight w:val="white"/>
        </w:rPr>
        <w:t xml:space="preserve">, 2019), e as preferências dos clientes são capazes de incentivá-las a optarem por produtos e serviços </w:t>
      </w:r>
      <w:r w:rsidR="00CF2C36">
        <w:rPr>
          <w:highlight w:val="white"/>
        </w:rPr>
        <w:t>em prol da sustentabilidade</w:t>
      </w:r>
      <w:r>
        <w:rPr>
          <w:highlight w:val="white"/>
        </w:rPr>
        <w:t xml:space="preserve"> (</w:t>
      </w:r>
      <w:proofErr w:type="spellStart"/>
      <w:r>
        <w:rPr>
          <w:highlight w:val="white"/>
        </w:rPr>
        <w:t>Masocha</w:t>
      </w:r>
      <w:proofErr w:type="spellEnd"/>
      <w:r>
        <w:rPr>
          <w:highlight w:val="white"/>
        </w:rPr>
        <w:t xml:space="preserve">, 2018). Nesse sentido, além da qualidade dos produtos e serviços, as organizações devem </w:t>
      </w:r>
      <w:r w:rsidR="00F53427">
        <w:rPr>
          <w:highlight w:val="white"/>
        </w:rPr>
        <w:t>buscar reduzir o impacto</w:t>
      </w:r>
      <w:r>
        <w:rPr>
          <w:highlight w:val="white"/>
        </w:rPr>
        <w:t xml:space="preserve"> que suas atividades </w:t>
      </w:r>
      <w:r w:rsidR="00F53427">
        <w:rPr>
          <w:highlight w:val="white"/>
        </w:rPr>
        <w:t>geram no</w:t>
      </w:r>
      <w:r>
        <w:rPr>
          <w:highlight w:val="white"/>
        </w:rPr>
        <w:t xml:space="preserve"> ambiente (Abbas, 2020).</w:t>
      </w:r>
    </w:p>
    <w:p w14:paraId="697A2B24" w14:textId="5972A61E" w:rsidR="009E260D" w:rsidRDefault="009E260D" w:rsidP="00650284">
      <w:pPr>
        <w:rPr>
          <w:highlight w:val="white"/>
        </w:rPr>
      </w:pPr>
      <w:r>
        <w:rPr>
          <w:highlight w:val="white"/>
        </w:rPr>
        <w:t>Nesse contexto surgiu uma iniciativa voluntária de organizações para integrar os aspectos socioambientais em suas operações, a Responsabilidade Social Corporativa (RSC) (</w:t>
      </w:r>
      <w:proofErr w:type="spellStart"/>
      <w:r>
        <w:rPr>
          <w:highlight w:val="white"/>
        </w:rPr>
        <w:t>Gazzola</w:t>
      </w:r>
      <w:proofErr w:type="spellEnd"/>
      <w:r>
        <w:rPr>
          <w:highlight w:val="white"/>
        </w:rPr>
        <w:t xml:space="preserve"> &amp; </w:t>
      </w:r>
      <w:proofErr w:type="spellStart"/>
      <w:r>
        <w:rPr>
          <w:highlight w:val="white"/>
        </w:rPr>
        <w:t>Pellicelli</w:t>
      </w:r>
      <w:proofErr w:type="spellEnd"/>
      <w:r>
        <w:rPr>
          <w:highlight w:val="white"/>
        </w:rPr>
        <w:t>, 2009). Por meio da RSC</w:t>
      </w:r>
      <w:r w:rsidR="00F53427">
        <w:rPr>
          <w:highlight w:val="white"/>
        </w:rPr>
        <w:t xml:space="preserve">, </w:t>
      </w:r>
      <w:r>
        <w:rPr>
          <w:highlight w:val="white"/>
        </w:rPr>
        <w:t xml:space="preserve">as organizações buscam apoiar iniciativas voltadas </w:t>
      </w:r>
      <w:r w:rsidR="00F53427">
        <w:rPr>
          <w:highlight w:val="white"/>
        </w:rPr>
        <w:t>a</w:t>
      </w:r>
      <w:r>
        <w:rPr>
          <w:highlight w:val="white"/>
        </w:rPr>
        <w:t xml:space="preserve"> aspectos sociais, culturais e econômicos do ambiente em que estão inseridas (Raimi, 2017). Tais iniciativas dependem de uma série de fatores, como condições econômicas, leis, regulamentos e comportamento organizacional (Campbell, 2018). </w:t>
      </w:r>
    </w:p>
    <w:p w14:paraId="0ED5F17A" w14:textId="01D3775C" w:rsidR="009E260D" w:rsidRDefault="009E260D" w:rsidP="00650284">
      <w:pPr>
        <w:rPr>
          <w:highlight w:val="white"/>
        </w:rPr>
      </w:pPr>
      <w:r>
        <w:rPr>
          <w:highlight w:val="white"/>
        </w:rPr>
        <w:t xml:space="preserve">O processo de comunicação das práticas de RSC é objeto de estudo de investigações que analisam a relevância desse processo para administrar uma imagem institucional positiva junto ao mercado (clientes, fornecedores e investidores). Portanto, as organizações podem ampliar o </w:t>
      </w:r>
      <w:proofErr w:type="spellStart"/>
      <w:r>
        <w:rPr>
          <w:i/>
          <w:highlight w:val="white"/>
        </w:rPr>
        <w:t>disclosure</w:t>
      </w:r>
      <w:proofErr w:type="spellEnd"/>
      <w:r>
        <w:rPr>
          <w:highlight w:val="white"/>
        </w:rPr>
        <w:t xml:space="preserve"> de informações relativas à RSC, em razão da demanda dos usuários externos pela valorização de recursos humanos, utilização de recursos naturais e impactos ambientais da atuação das organizações no ambiente econômico (Conceição</w:t>
      </w:r>
      <w:r w:rsidR="00971A56">
        <w:rPr>
          <w:highlight w:val="white"/>
        </w:rPr>
        <w:t xml:space="preserve"> et al.</w:t>
      </w:r>
      <w:r>
        <w:rPr>
          <w:color w:val="222222"/>
          <w:highlight w:val="white"/>
        </w:rPr>
        <w:t>,</w:t>
      </w:r>
      <w:r>
        <w:rPr>
          <w:highlight w:val="white"/>
        </w:rPr>
        <w:t xml:space="preserve"> 2011).</w:t>
      </w:r>
    </w:p>
    <w:p w14:paraId="409D904A" w14:textId="3B60F31E" w:rsidR="009E260D" w:rsidRDefault="009E260D" w:rsidP="00650284">
      <w:pPr>
        <w:rPr>
          <w:highlight w:val="white"/>
        </w:rPr>
      </w:pPr>
      <w:r>
        <w:rPr>
          <w:highlight w:val="white"/>
        </w:rPr>
        <w:t xml:space="preserve">As práticas de RSC são observadas pela sociedade a partir da divulgação em noticiários, </w:t>
      </w:r>
      <w:r>
        <w:rPr>
          <w:highlight w:val="white"/>
        </w:rPr>
        <w:lastRenderedPageBreak/>
        <w:t>propagandas, relações de consumo e</w:t>
      </w:r>
      <w:r w:rsidR="00F53427">
        <w:rPr>
          <w:highlight w:val="white"/>
        </w:rPr>
        <w:t xml:space="preserve"> </w:t>
      </w:r>
      <w:r>
        <w:rPr>
          <w:highlight w:val="white"/>
        </w:rPr>
        <w:t xml:space="preserve">relatórios contábeis. Desse modo, é função da contabilidade a análise de prestação de contas e </w:t>
      </w:r>
      <w:proofErr w:type="spellStart"/>
      <w:r>
        <w:rPr>
          <w:i/>
          <w:highlight w:val="white"/>
        </w:rPr>
        <w:t>accountability</w:t>
      </w:r>
      <w:proofErr w:type="spellEnd"/>
      <w:r>
        <w:rPr>
          <w:highlight w:val="white"/>
        </w:rPr>
        <w:t xml:space="preserve"> apresentada por agentes sociais. Portanto, as práticas de RSC podem ter sua transparência manifestada por meio da elaboração de informes contábeis e, nesse sentido, órgãos reguladores podem oferecer estímulos adicionais para que as organizações levem a público suas contribuições sociais (</w:t>
      </w:r>
      <w:proofErr w:type="spellStart"/>
      <w:r>
        <w:rPr>
          <w:highlight w:val="white"/>
        </w:rPr>
        <w:t>Fiório</w:t>
      </w:r>
      <w:proofErr w:type="spellEnd"/>
      <w:r w:rsidR="00971A56">
        <w:rPr>
          <w:highlight w:val="white"/>
        </w:rPr>
        <w:t xml:space="preserve"> et al., </w:t>
      </w:r>
      <w:r>
        <w:rPr>
          <w:highlight w:val="white"/>
        </w:rPr>
        <w:t>2008).</w:t>
      </w:r>
    </w:p>
    <w:p w14:paraId="77B53ED8" w14:textId="78DA352D" w:rsidR="009E260D" w:rsidRDefault="009E260D" w:rsidP="00650284">
      <w:pPr>
        <w:ind w:firstLine="700"/>
        <w:rPr>
          <w:highlight w:val="white"/>
        </w:rPr>
      </w:pPr>
      <w:r>
        <w:rPr>
          <w:highlight w:val="white"/>
        </w:rPr>
        <w:t xml:space="preserve">No contexto </w:t>
      </w:r>
      <w:proofErr w:type="spellStart"/>
      <w:r>
        <w:rPr>
          <w:highlight w:val="white"/>
        </w:rPr>
        <w:t>interorganizacional</w:t>
      </w:r>
      <w:proofErr w:type="spellEnd"/>
      <w:r>
        <w:rPr>
          <w:highlight w:val="white"/>
        </w:rPr>
        <w:t xml:space="preserve">, a RSC pode ser aplicada e seus retornos esperados no contexto </w:t>
      </w:r>
      <w:r>
        <w:rPr>
          <w:i/>
          <w:highlight w:val="white"/>
        </w:rPr>
        <w:t>business-</w:t>
      </w:r>
      <w:proofErr w:type="spellStart"/>
      <w:r>
        <w:rPr>
          <w:i/>
          <w:highlight w:val="white"/>
        </w:rPr>
        <w:t>to</w:t>
      </w:r>
      <w:proofErr w:type="spellEnd"/>
      <w:r>
        <w:rPr>
          <w:i/>
          <w:highlight w:val="white"/>
        </w:rPr>
        <w:t xml:space="preserve">-business </w:t>
      </w:r>
      <w:r>
        <w:rPr>
          <w:highlight w:val="white"/>
        </w:rPr>
        <w:t>(B2B) (</w:t>
      </w:r>
      <w:proofErr w:type="spellStart"/>
      <w:r>
        <w:rPr>
          <w:highlight w:val="white"/>
        </w:rPr>
        <w:t>Staniskiene</w:t>
      </w:r>
      <w:proofErr w:type="spellEnd"/>
      <w:r w:rsidR="00971A56">
        <w:rPr>
          <w:highlight w:val="white"/>
        </w:rPr>
        <w:t xml:space="preserve"> et al., </w:t>
      </w:r>
      <w:r>
        <w:rPr>
          <w:highlight w:val="white"/>
        </w:rPr>
        <w:t>2019). Nos relacionamentos interorganizacionais B2B, a literatura buscou enfatizar o papel exercido pela RSC nestes arranjos (</w:t>
      </w:r>
      <w:proofErr w:type="spellStart"/>
      <w:r>
        <w:rPr>
          <w:highlight w:val="white"/>
        </w:rPr>
        <w:t>Kubenka</w:t>
      </w:r>
      <w:proofErr w:type="spellEnd"/>
      <w:r>
        <w:rPr>
          <w:highlight w:val="white"/>
        </w:rPr>
        <w:t xml:space="preserve"> &amp; </w:t>
      </w:r>
      <w:proofErr w:type="spellStart"/>
      <w:r>
        <w:rPr>
          <w:highlight w:val="white"/>
        </w:rPr>
        <w:t>Myskova</w:t>
      </w:r>
      <w:proofErr w:type="spellEnd"/>
      <w:r>
        <w:rPr>
          <w:highlight w:val="white"/>
        </w:rPr>
        <w:t xml:space="preserve">, 2009; </w:t>
      </w:r>
      <w:proofErr w:type="spellStart"/>
      <w:r>
        <w:rPr>
          <w:highlight w:val="white"/>
        </w:rPr>
        <w:t>Homburg</w:t>
      </w:r>
      <w:proofErr w:type="spellEnd"/>
      <w:r w:rsidR="00971A56">
        <w:rPr>
          <w:highlight w:val="white"/>
        </w:rPr>
        <w:t xml:space="preserve"> et al.</w:t>
      </w:r>
      <w:r>
        <w:rPr>
          <w:color w:val="222222"/>
          <w:highlight w:val="white"/>
        </w:rPr>
        <w:t>,</w:t>
      </w:r>
      <w:r>
        <w:rPr>
          <w:highlight w:val="white"/>
        </w:rPr>
        <w:t xml:space="preserve"> 2013; </w:t>
      </w:r>
      <w:proofErr w:type="spellStart"/>
      <w:r>
        <w:rPr>
          <w:highlight w:val="white"/>
        </w:rPr>
        <w:t>McKnight</w:t>
      </w:r>
      <w:proofErr w:type="spellEnd"/>
      <w:r w:rsidR="00971A56">
        <w:rPr>
          <w:highlight w:val="white"/>
        </w:rPr>
        <w:t xml:space="preserve"> et al.</w:t>
      </w:r>
      <w:r>
        <w:rPr>
          <w:color w:val="222222"/>
          <w:highlight w:val="white"/>
        </w:rPr>
        <w:t xml:space="preserve">, </w:t>
      </w:r>
      <w:r>
        <w:rPr>
          <w:highlight w:val="white"/>
        </w:rPr>
        <w:t xml:space="preserve">2017). Tais relacionamentos apresentam resultados positivos com a incorporação de conceitos da RSC em suas atividades, conforme observado no estudo de </w:t>
      </w:r>
      <w:proofErr w:type="spellStart"/>
      <w:r>
        <w:rPr>
          <w:highlight w:val="white"/>
        </w:rPr>
        <w:t>Homburg</w:t>
      </w:r>
      <w:proofErr w:type="spellEnd"/>
      <w:r>
        <w:rPr>
          <w:highlight w:val="white"/>
        </w:rPr>
        <w:t xml:space="preserve"> et al. (2013), que ao investigar 200 díades fornecedor-comprador, observou que as práticas de RSC presentes nesses relacionamentos proporcionam maiores níveis de confiança, identificação e lealdade. </w:t>
      </w:r>
    </w:p>
    <w:p w14:paraId="7F38EE1C" w14:textId="0E8BEB62" w:rsidR="009E260D" w:rsidRDefault="009E260D" w:rsidP="00650284">
      <w:pPr>
        <w:ind w:firstLine="700"/>
        <w:rPr>
          <w:highlight w:val="white"/>
        </w:rPr>
      </w:pPr>
      <w:r>
        <w:rPr>
          <w:highlight w:val="white"/>
        </w:rPr>
        <w:t>Em vista da carência de estudos sobre avaliação de fornecedores preocupados com aspectos relacionados à sustentabilidade, especialmente nos países em desenvolvimento e em relação à dimensão social (</w:t>
      </w:r>
      <w:proofErr w:type="spellStart"/>
      <w:r>
        <w:rPr>
          <w:highlight w:val="white"/>
        </w:rPr>
        <w:t>Luthra</w:t>
      </w:r>
      <w:proofErr w:type="spellEnd"/>
      <w:r>
        <w:rPr>
          <w:highlight w:val="white"/>
        </w:rPr>
        <w:t xml:space="preserve"> et al., 2017), e da crescente demanda da sociedade por práticas de RSC pelas organizações, bem como da necessidade de divulgação de relatórios corporativos apropriados que contemplem informações de RSC aos </w:t>
      </w:r>
      <w:r>
        <w:rPr>
          <w:i/>
          <w:highlight w:val="white"/>
        </w:rPr>
        <w:t>stakeholders</w:t>
      </w:r>
      <w:r>
        <w:rPr>
          <w:highlight w:val="white"/>
        </w:rPr>
        <w:t xml:space="preserve">, este estudo objetiva investigar como a avaliação socioambiental de fornecedores é evidenciada pelas empresas participantes do Índice de Sustentabilidade Empresarial (ISE) da B3 (Brasil, Bolsa, Balcão). O ISE é um indicador de desempenho médio dos ativos das organizações listadas na B3, selecionadas por terem comprometimento com práticas de sustentabilidade organizacional. </w:t>
      </w:r>
      <w:r w:rsidR="00454805">
        <w:rPr>
          <w:highlight w:val="white"/>
        </w:rPr>
        <w:t xml:space="preserve">Para atingir o proposto, realiza-se análise de evidenciação, conteúdo e similitude. </w:t>
      </w:r>
    </w:p>
    <w:p w14:paraId="46139BF0" w14:textId="11D650D0" w:rsidR="009E260D" w:rsidRDefault="009E260D" w:rsidP="00650284">
      <w:pPr>
        <w:rPr>
          <w:highlight w:val="white"/>
        </w:rPr>
      </w:pPr>
      <w:r>
        <w:rPr>
          <w:highlight w:val="white"/>
        </w:rPr>
        <w:t>Há uma crescente busca das organizações por fortalecer seu compromisso com políticas socioambientais, a partir de práticas sustentáveis de gestão e redução de impactos ao meio ambiente e, em decorrência, à sociedade (Melo</w:t>
      </w:r>
      <w:r w:rsidR="00971A56">
        <w:rPr>
          <w:highlight w:val="white"/>
        </w:rPr>
        <w:t xml:space="preserve"> et al., </w:t>
      </w:r>
      <w:r>
        <w:rPr>
          <w:highlight w:val="white"/>
        </w:rPr>
        <w:t>2016). Com isso, a divulgação voluntária de informações financeiras e não financeiras, as quais incluem informações socioambientais, é capaz de facilitar a compreensão dos investidores sobre a organização, e assim reduzir potenciais riscos (Correia</w:t>
      </w:r>
      <w:r w:rsidR="00971A56">
        <w:rPr>
          <w:highlight w:val="white"/>
        </w:rPr>
        <w:t xml:space="preserve"> et al.</w:t>
      </w:r>
      <w:r>
        <w:rPr>
          <w:color w:val="222222"/>
          <w:highlight w:val="white"/>
        </w:rPr>
        <w:t>,</w:t>
      </w:r>
      <w:r>
        <w:rPr>
          <w:highlight w:val="white"/>
        </w:rPr>
        <w:t xml:space="preserve"> 2017). Portanto, este estudo </w:t>
      </w:r>
      <w:r w:rsidR="00F53427">
        <w:rPr>
          <w:highlight w:val="white"/>
        </w:rPr>
        <w:t>contribui</w:t>
      </w:r>
      <w:r>
        <w:rPr>
          <w:highlight w:val="white"/>
        </w:rPr>
        <w:t xml:space="preserve"> para o aprimoramento dos relatórios de divulgação de informações socioambientais na medida em que evidencia elementos inconsistentes acerca da avaliação </w:t>
      </w:r>
      <w:r w:rsidR="00F53427">
        <w:rPr>
          <w:highlight w:val="white"/>
        </w:rPr>
        <w:t>socioambiental</w:t>
      </w:r>
      <w:r>
        <w:rPr>
          <w:highlight w:val="white"/>
        </w:rPr>
        <w:t xml:space="preserve"> de fornecedores. </w:t>
      </w:r>
    </w:p>
    <w:p w14:paraId="581F73E0" w14:textId="6ABC80F6" w:rsidR="00A73C1E" w:rsidRDefault="009E260D" w:rsidP="00650284">
      <w:pPr>
        <w:shd w:val="clear" w:color="auto" w:fill="FFFFFF"/>
      </w:pPr>
      <w:r>
        <w:rPr>
          <w:highlight w:val="white"/>
        </w:rPr>
        <w:t xml:space="preserve">Correia et al. (2017) afirmam ainda que os impactos socioambientais das organizações vêm sendo alvo de investigações de diversas áreas, dentre as quais a contabilidade, que busca analisar a forma pela qual as organizações divulgam essa temática informacional em seus reportes corporativos. Assim, este estudo contribui para esta corrente de investigações ao proporcionar novas discussões para o campo de pesquisa que aborda relacionamentos interorganizacionais sob o ponto de vista socioambiental, e poderá oferecer novos </w:t>
      </w:r>
      <w:r>
        <w:rPr>
          <w:i/>
          <w:highlight w:val="white"/>
        </w:rPr>
        <w:t xml:space="preserve">insights </w:t>
      </w:r>
      <w:r>
        <w:rPr>
          <w:highlight w:val="white"/>
        </w:rPr>
        <w:t>para discussões que abordem a avaliação socioambiental de fornecedores, bem como sua divulgação em relatórios corporativos.</w:t>
      </w:r>
    </w:p>
    <w:p w14:paraId="5CAC5C72" w14:textId="77777777" w:rsidR="00650284" w:rsidRDefault="00650284" w:rsidP="00650284">
      <w:pPr>
        <w:shd w:val="clear" w:color="auto" w:fill="FFFFFF"/>
      </w:pPr>
    </w:p>
    <w:p w14:paraId="20DEB7C5" w14:textId="079A78FF" w:rsidR="009E260D" w:rsidRPr="00650284" w:rsidRDefault="009E260D" w:rsidP="00650284">
      <w:pPr>
        <w:shd w:val="clear" w:color="auto" w:fill="FFFFFF"/>
        <w:ind w:firstLine="0"/>
        <w:rPr>
          <w:b/>
          <w:color w:val="000000" w:themeColor="text1"/>
        </w:rPr>
      </w:pPr>
      <w:r w:rsidRPr="00650284">
        <w:rPr>
          <w:b/>
          <w:color w:val="000000" w:themeColor="text1"/>
        </w:rPr>
        <w:t>2</w:t>
      </w:r>
      <w:r w:rsidR="006B7720" w:rsidRPr="00650284">
        <w:rPr>
          <w:b/>
          <w:color w:val="000000" w:themeColor="text1"/>
        </w:rPr>
        <w:t xml:space="preserve"> </w:t>
      </w:r>
      <w:r w:rsidR="003619F4">
        <w:rPr>
          <w:b/>
          <w:color w:val="000000" w:themeColor="text1"/>
        </w:rPr>
        <w:t>Referencial teórico</w:t>
      </w:r>
    </w:p>
    <w:p w14:paraId="01A5530A" w14:textId="7F9ADA57" w:rsidR="009E260D" w:rsidRPr="009E260D" w:rsidRDefault="009E260D" w:rsidP="00650284">
      <w:pPr>
        <w:shd w:val="clear" w:color="auto" w:fill="FFFFFF"/>
        <w:ind w:firstLine="0"/>
        <w:rPr>
          <w:b/>
          <w:color w:val="000000" w:themeColor="text1"/>
        </w:rPr>
      </w:pPr>
      <w:r w:rsidRPr="00650284">
        <w:rPr>
          <w:b/>
          <w:color w:val="000000" w:themeColor="text1"/>
        </w:rPr>
        <w:t>2.1 Responsabilidade Social Corporativa</w:t>
      </w:r>
    </w:p>
    <w:p w14:paraId="7F6E3093" w14:textId="77777777" w:rsidR="009E260D" w:rsidRDefault="009E260D" w:rsidP="00650284">
      <w:pPr>
        <w:ind w:firstLine="720"/>
        <w:rPr>
          <w:color w:val="FF0000"/>
          <w:highlight w:val="white"/>
        </w:rPr>
      </w:pPr>
      <w:r>
        <w:t>Os impactos sociais ocasionados pelas atividades das organizações geram preocupações sobre Responsabilidade Social Corporativa (RSC), acerca de questões complexas, como: proteçã</w:t>
      </w:r>
      <w:r>
        <w:rPr>
          <w:highlight w:val="white"/>
        </w:rPr>
        <w:t xml:space="preserve">o ambiental, gestão de recursos humanos, saúde, segurança do trabalho e relações com </w:t>
      </w:r>
      <w:r>
        <w:rPr>
          <w:i/>
          <w:highlight w:val="white"/>
        </w:rPr>
        <w:t xml:space="preserve">stakeholders </w:t>
      </w:r>
      <w:r>
        <w:rPr>
          <w:highlight w:val="white"/>
        </w:rPr>
        <w:t xml:space="preserve">(Branco &amp; Lima, 2006). Ao longo do tempo, a literatura não chegou a um consenso sobre o conceito de RSC. </w:t>
      </w:r>
      <w:proofErr w:type="spellStart"/>
      <w:r>
        <w:rPr>
          <w:highlight w:val="white"/>
        </w:rPr>
        <w:t>Bowen</w:t>
      </w:r>
      <w:proofErr w:type="spellEnd"/>
      <w:r>
        <w:rPr>
          <w:highlight w:val="white"/>
        </w:rPr>
        <w:t xml:space="preserve"> (1953) a definiu como as obrigações das organizações em seguir políticas e alinhá-la aos objetivos e valores da sociedade. O debate se expandiu para quatro expectativas </w:t>
      </w:r>
      <w:r>
        <w:rPr>
          <w:highlight w:val="white"/>
        </w:rPr>
        <w:lastRenderedPageBreak/>
        <w:t xml:space="preserve">empresariais: econômica, legal, ética e social (Carroll, 1979), e até preocupações a respeito das obrigações das empresas com </w:t>
      </w:r>
      <w:r>
        <w:rPr>
          <w:i/>
          <w:highlight w:val="white"/>
        </w:rPr>
        <w:t>stakeholders</w:t>
      </w:r>
      <w:r>
        <w:rPr>
          <w:highlight w:val="white"/>
        </w:rPr>
        <w:t>: funcionários, clientes, fornecedores e comunidade (Jones, 1980).</w:t>
      </w:r>
      <w:r>
        <w:rPr>
          <w:color w:val="FF0000"/>
          <w:highlight w:val="white"/>
        </w:rPr>
        <w:t xml:space="preserve"> </w:t>
      </w:r>
    </w:p>
    <w:p w14:paraId="414A6BC4" w14:textId="726EF7BD" w:rsidR="009E260D" w:rsidRDefault="009E260D" w:rsidP="00650284">
      <w:pPr>
        <w:ind w:firstLine="720"/>
        <w:rPr>
          <w:color w:val="FF0000"/>
          <w:highlight w:val="white"/>
        </w:rPr>
      </w:pPr>
      <w:r>
        <w:rPr>
          <w:highlight w:val="white"/>
        </w:rPr>
        <w:t>Jamali e Karam (2018) argumentam que embora a RSC tenha tido origem por volta dos anos de 1950, sua expansão ocorreu mais recentemente com o atual cenário global de negócios. O conjunto de ações socialmente responsáveis podem proporcionar maior desempenho financeiro e mais credibilidade às organizações (Lee &amp; Hu, 2018), que passaram a divulgar informações sobre RSC em seus relatórios anuais (</w:t>
      </w:r>
      <w:proofErr w:type="spellStart"/>
      <w:r>
        <w:rPr>
          <w:highlight w:val="white"/>
        </w:rPr>
        <w:t>Nekhili</w:t>
      </w:r>
      <w:proofErr w:type="spellEnd"/>
      <w:r w:rsidR="00971A56">
        <w:rPr>
          <w:highlight w:val="white"/>
        </w:rPr>
        <w:t xml:space="preserve"> et al.</w:t>
      </w:r>
      <w:r>
        <w:rPr>
          <w:highlight w:val="white"/>
        </w:rPr>
        <w:t xml:space="preserve">, 2017). Parte dessa expansão, conforme apresentado por </w:t>
      </w:r>
      <w:proofErr w:type="spellStart"/>
      <w:r>
        <w:rPr>
          <w:highlight w:val="white"/>
        </w:rPr>
        <w:t>Javed</w:t>
      </w:r>
      <w:proofErr w:type="spellEnd"/>
      <w:r w:rsidR="00971A56">
        <w:rPr>
          <w:highlight w:val="white"/>
        </w:rPr>
        <w:t xml:space="preserve"> et al. </w:t>
      </w:r>
      <w:r>
        <w:rPr>
          <w:highlight w:val="white"/>
        </w:rPr>
        <w:t xml:space="preserve">(2019), </w:t>
      </w:r>
      <w:r w:rsidR="00971A56">
        <w:rPr>
          <w:highlight w:val="white"/>
        </w:rPr>
        <w:t>deve-se</w:t>
      </w:r>
      <w:r>
        <w:rPr>
          <w:highlight w:val="white"/>
        </w:rPr>
        <w:t xml:space="preserve"> ao Pacto Global das Nações Unidas, de 2014, no qual mais de 12.000 organizações de 170 países se comprometeram a reinventar suas operações, com adoção de diretrizes socialmente responsáveis e sustentáveis.</w:t>
      </w:r>
      <w:r>
        <w:rPr>
          <w:color w:val="FF0000"/>
          <w:highlight w:val="white"/>
        </w:rPr>
        <w:t xml:space="preserve"> </w:t>
      </w:r>
    </w:p>
    <w:p w14:paraId="5F151B7D" w14:textId="1FE384B9" w:rsidR="009E260D" w:rsidRDefault="009E260D" w:rsidP="00650284">
      <w:pPr>
        <w:ind w:firstLine="720"/>
      </w:pPr>
      <w:r>
        <w:rPr>
          <w:highlight w:val="white"/>
        </w:rPr>
        <w:t>Esse movimento se deve à pressão crescente das partes interessadas sobre como as empresas se comportam e quais seus esforços de RSC (</w:t>
      </w:r>
      <w:proofErr w:type="spellStart"/>
      <w:r>
        <w:rPr>
          <w:highlight w:val="white"/>
        </w:rPr>
        <w:t>Grougiou</w:t>
      </w:r>
      <w:proofErr w:type="spellEnd"/>
      <w:r w:rsidR="00971A56">
        <w:rPr>
          <w:highlight w:val="white"/>
        </w:rPr>
        <w:t xml:space="preserve"> et al.</w:t>
      </w:r>
      <w:r>
        <w:rPr>
          <w:highlight w:val="white"/>
        </w:rPr>
        <w:t xml:space="preserve">, 2016; </w:t>
      </w:r>
      <w:proofErr w:type="spellStart"/>
      <w:r>
        <w:rPr>
          <w:highlight w:val="white"/>
        </w:rPr>
        <w:t>Perks</w:t>
      </w:r>
      <w:proofErr w:type="spellEnd"/>
      <w:r w:rsidR="00971A56">
        <w:rPr>
          <w:highlight w:val="white"/>
        </w:rPr>
        <w:t xml:space="preserve"> et al.</w:t>
      </w:r>
      <w:r>
        <w:rPr>
          <w:highlight w:val="white"/>
        </w:rPr>
        <w:t xml:space="preserve">, 2013). Em virtude dessa demanda, surgiu a </w:t>
      </w:r>
      <w:r>
        <w:rPr>
          <w:i/>
          <w:highlight w:val="white"/>
        </w:rPr>
        <w:t xml:space="preserve">Global </w:t>
      </w:r>
      <w:proofErr w:type="spellStart"/>
      <w:r>
        <w:rPr>
          <w:i/>
          <w:highlight w:val="white"/>
        </w:rPr>
        <w:t>Reporting</w:t>
      </w:r>
      <w:proofErr w:type="spellEnd"/>
      <w:r>
        <w:rPr>
          <w:i/>
          <w:highlight w:val="white"/>
        </w:rPr>
        <w:t xml:space="preserve"> </w:t>
      </w:r>
      <w:proofErr w:type="spellStart"/>
      <w:r>
        <w:rPr>
          <w:i/>
          <w:highlight w:val="white"/>
        </w:rPr>
        <w:t>Initiative</w:t>
      </w:r>
      <w:proofErr w:type="spellEnd"/>
      <w:r>
        <w:rPr>
          <w:i/>
          <w:highlight w:val="white"/>
        </w:rPr>
        <w:t xml:space="preserve"> </w:t>
      </w:r>
      <w:r>
        <w:rPr>
          <w:highlight w:val="white"/>
        </w:rPr>
        <w:t>(GRI), uma organização não governamental internacional que possui a missão de permitir que as organizações sejam tr</w:t>
      </w:r>
      <w:r>
        <w:t>ansparentes e assumam responsabilidade por seus impactos por meio da adoção de padrões, usados em nível mundial, na elaboração dos relatórios de sustentabilidade (GRI, 2021a).</w:t>
      </w:r>
    </w:p>
    <w:p w14:paraId="47CC69B8" w14:textId="77777777" w:rsidR="009E260D" w:rsidRDefault="009E260D" w:rsidP="00650284">
      <w:pPr>
        <w:ind w:firstLine="720"/>
        <w:rPr>
          <w:color w:val="FF0000"/>
          <w:highlight w:val="white"/>
        </w:rPr>
      </w:pPr>
      <w:r>
        <w:t>Os padrões GRI são compostos por 37 critérios, que representam “as melhores práticas globais para o relato público de diferentes impactos econômicos, ambientais e sociais” (GRI, 2021b). Dentre esses critérios,</w:t>
      </w:r>
      <w:r>
        <w:rPr>
          <w:highlight w:val="white"/>
        </w:rPr>
        <w:t xml:space="preserve"> este estudo foca em dois, voltados à avaliação de fornecedores: GRI 308: avaliação ambiental de fornecedores, e GRI 414: avaliação social de fornecedores. </w:t>
      </w:r>
    </w:p>
    <w:p w14:paraId="79CE91B2" w14:textId="77777777" w:rsidR="00650284" w:rsidRDefault="00650284" w:rsidP="002F0A1F">
      <w:pPr>
        <w:ind w:firstLine="0"/>
        <w:rPr>
          <w:color w:val="FF0000"/>
          <w:highlight w:val="white"/>
        </w:rPr>
      </w:pPr>
    </w:p>
    <w:p w14:paraId="1926B525" w14:textId="72B73B0E" w:rsidR="009E260D" w:rsidRDefault="009E260D" w:rsidP="00650284">
      <w:pPr>
        <w:ind w:firstLine="0"/>
        <w:rPr>
          <w:b/>
          <w:highlight w:val="white"/>
        </w:rPr>
      </w:pPr>
      <w:r>
        <w:rPr>
          <w:b/>
          <w:highlight w:val="white"/>
        </w:rPr>
        <w:t>2.2 Gestão socioambiental na relação das organizações com seus fornecedores</w:t>
      </w:r>
    </w:p>
    <w:p w14:paraId="7D000FA6" w14:textId="6082788A" w:rsidR="009E260D" w:rsidRDefault="009E260D" w:rsidP="00650284">
      <w:pPr>
        <w:ind w:firstLine="700"/>
        <w:rPr>
          <w:highlight w:val="white"/>
        </w:rPr>
      </w:pPr>
      <w:r>
        <w:rPr>
          <w:highlight w:val="white"/>
        </w:rPr>
        <w:t xml:space="preserve">Demandas regulatórias e pressão de </w:t>
      </w:r>
      <w:r>
        <w:rPr>
          <w:i/>
          <w:highlight w:val="white"/>
        </w:rPr>
        <w:t xml:space="preserve">stakeholders </w:t>
      </w:r>
      <w:r>
        <w:rPr>
          <w:highlight w:val="white"/>
        </w:rPr>
        <w:t>incentivam organizações a incorporar aspectos socioambientais em suas decisões (</w:t>
      </w:r>
      <w:proofErr w:type="spellStart"/>
      <w:r>
        <w:rPr>
          <w:highlight w:val="white"/>
        </w:rPr>
        <w:t>Luthra</w:t>
      </w:r>
      <w:proofErr w:type="spellEnd"/>
      <w:r w:rsidR="00971A56">
        <w:rPr>
          <w:highlight w:val="white"/>
        </w:rPr>
        <w:t xml:space="preserve"> et al., </w:t>
      </w:r>
      <w:r>
        <w:rPr>
          <w:highlight w:val="white"/>
        </w:rPr>
        <w:t>2017; Shi</w:t>
      </w:r>
      <w:r w:rsidR="00971A56">
        <w:rPr>
          <w:highlight w:val="white"/>
        </w:rPr>
        <w:t xml:space="preserve"> et al., </w:t>
      </w:r>
      <w:r>
        <w:rPr>
          <w:highlight w:val="white"/>
        </w:rPr>
        <w:t>2017). No entanto, iniciativas socioambientais devem-se também ao reconhecimento da sua importância para a competitividade no longo prazo, visto a propensão de consumidores a valorizarem organizações social e ambientalmente responsáveis ​​(</w:t>
      </w:r>
      <w:proofErr w:type="spellStart"/>
      <w:r>
        <w:rPr>
          <w:highlight w:val="white"/>
        </w:rPr>
        <w:t>Bai</w:t>
      </w:r>
      <w:proofErr w:type="spellEnd"/>
      <w:r w:rsidR="00971A56">
        <w:rPr>
          <w:highlight w:val="white"/>
        </w:rPr>
        <w:t xml:space="preserve"> et al., </w:t>
      </w:r>
      <w:r>
        <w:rPr>
          <w:highlight w:val="white"/>
        </w:rPr>
        <w:t>2019; Wolf, 2014; Yang &amp; Zhang, 2017).</w:t>
      </w:r>
    </w:p>
    <w:p w14:paraId="066550E3" w14:textId="6325763C" w:rsidR="009E260D" w:rsidRDefault="009E260D" w:rsidP="00650284">
      <w:pPr>
        <w:ind w:firstLine="700"/>
        <w:rPr>
          <w:highlight w:val="white"/>
        </w:rPr>
      </w:pPr>
      <w:r>
        <w:rPr>
          <w:highlight w:val="white"/>
        </w:rPr>
        <w:t>Devido à tendência de terceirização, principalmente orientada aos custos, organizações têm se deparado com questões socioambientais resultantes da relação com fornecedores (Chen &amp; Chen, 2019). Quaisquer condutas socioambientais inadequadas que ocorram a</w:t>
      </w:r>
      <w:r w:rsidR="00F90FA1">
        <w:rPr>
          <w:highlight w:val="white"/>
        </w:rPr>
        <w:t xml:space="preserve">o longo da cadeia de suprimentos </w:t>
      </w:r>
      <w:r>
        <w:rPr>
          <w:highlight w:val="white"/>
        </w:rPr>
        <w:t>podem resultar em publicidades adversas e obrigações onerosas ao comprador, especialmente nos casos em que este ocupa posição de maior poder (</w:t>
      </w:r>
      <w:proofErr w:type="spellStart"/>
      <w:r>
        <w:rPr>
          <w:highlight w:val="white"/>
        </w:rPr>
        <w:t>Hajmohammad</w:t>
      </w:r>
      <w:proofErr w:type="spellEnd"/>
      <w:r>
        <w:rPr>
          <w:highlight w:val="white"/>
        </w:rPr>
        <w:t xml:space="preserve"> &amp; </w:t>
      </w:r>
      <w:proofErr w:type="spellStart"/>
      <w:r>
        <w:rPr>
          <w:highlight w:val="white"/>
        </w:rPr>
        <w:t>Vachon</w:t>
      </w:r>
      <w:proofErr w:type="spellEnd"/>
      <w:r>
        <w:rPr>
          <w:highlight w:val="white"/>
        </w:rPr>
        <w:t xml:space="preserve">, 2016). Portanto, as atividades dos fornecedores afetam tanto o desempenho quanto a reputação das organizações </w:t>
      </w:r>
      <w:r w:rsidR="00F90FA1">
        <w:rPr>
          <w:highlight w:val="white"/>
        </w:rPr>
        <w:t xml:space="preserve">compradoras </w:t>
      </w:r>
      <w:r>
        <w:rPr>
          <w:highlight w:val="white"/>
        </w:rPr>
        <w:t>(</w:t>
      </w:r>
      <w:proofErr w:type="spellStart"/>
      <w:r>
        <w:rPr>
          <w:highlight w:val="white"/>
        </w:rPr>
        <w:t>Memari</w:t>
      </w:r>
      <w:proofErr w:type="spellEnd"/>
      <w:r w:rsidR="00971A56">
        <w:rPr>
          <w:highlight w:val="white"/>
        </w:rPr>
        <w:t xml:space="preserve"> et al., </w:t>
      </w:r>
      <w:r>
        <w:rPr>
          <w:highlight w:val="white"/>
        </w:rPr>
        <w:t>2019).</w:t>
      </w:r>
    </w:p>
    <w:p w14:paraId="77DCD86C" w14:textId="6D8170F3" w:rsidR="009E260D" w:rsidRDefault="009E260D" w:rsidP="00650284">
      <w:pPr>
        <w:ind w:firstLine="700"/>
        <w:rPr>
          <w:color w:val="FF0000"/>
          <w:highlight w:val="white"/>
        </w:rPr>
      </w:pPr>
      <w:r>
        <w:rPr>
          <w:highlight w:val="white"/>
        </w:rPr>
        <w:t>Historicamente, decisões de fornecimento consideravam sobretudo aspectos econômicos, como preço, qualidade e prazo de entrega (</w:t>
      </w:r>
      <w:proofErr w:type="spellStart"/>
      <w:r>
        <w:rPr>
          <w:highlight w:val="white"/>
        </w:rPr>
        <w:t>Memari</w:t>
      </w:r>
      <w:proofErr w:type="spellEnd"/>
      <w:r>
        <w:rPr>
          <w:highlight w:val="white"/>
        </w:rPr>
        <w:t xml:space="preserve"> et al., 2019). Ao introduzir aspectos sociais e ambientais às práticas tradicionais de seleção e avaliação de fornecedores, a gestão socioambiental reduz riscos potenciais à reputação (Yang &amp; Zhang, 2017). Para isso, não se deve limitar a autodeclarações que alegam conformidade com padrões previstos, mas compreender medidas de seleção, avaliação e monitoramento de fornecedores, bem como sistemas de incentivo à conformidade (Baden</w:t>
      </w:r>
      <w:r w:rsidR="00971A56">
        <w:rPr>
          <w:highlight w:val="white"/>
        </w:rPr>
        <w:t xml:space="preserve"> et al., </w:t>
      </w:r>
      <w:r>
        <w:rPr>
          <w:highlight w:val="white"/>
        </w:rPr>
        <w:t>2009).</w:t>
      </w:r>
    </w:p>
    <w:p w14:paraId="6E679DC5" w14:textId="03213860" w:rsidR="009E260D" w:rsidRDefault="009E260D" w:rsidP="00650284">
      <w:pPr>
        <w:ind w:firstLine="700"/>
        <w:rPr>
          <w:color w:val="FF0000"/>
          <w:highlight w:val="white"/>
        </w:rPr>
      </w:pPr>
      <w:r>
        <w:rPr>
          <w:highlight w:val="white"/>
        </w:rPr>
        <w:t>A seleção de fornecedores desempenha uma função estratégica na gestão da cadeia de suprimentos sustentável (Liu</w:t>
      </w:r>
      <w:r w:rsidR="00971A56">
        <w:rPr>
          <w:highlight w:val="white"/>
        </w:rPr>
        <w:t xml:space="preserve"> et al., </w:t>
      </w:r>
      <w:r>
        <w:rPr>
          <w:highlight w:val="white"/>
        </w:rPr>
        <w:t>2019; Mohammed</w:t>
      </w:r>
      <w:r w:rsidR="00971A56">
        <w:rPr>
          <w:highlight w:val="white"/>
        </w:rPr>
        <w:t xml:space="preserve"> et al., </w:t>
      </w:r>
      <w:r>
        <w:rPr>
          <w:highlight w:val="white"/>
        </w:rPr>
        <w:t>2019). Fornecedores sustentáveis oferecem recursos intangíveis que contribuem para a imagem organizacional, redução de custos e continuidade dos negócios (</w:t>
      </w:r>
      <w:proofErr w:type="spellStart"/>
      <w:r>
        <w:rPr>
          <w:highlight w:val="white"/>
        </w:rPr>
        <w:t>Bai</w:t>
      </w:r>
      <w:proofErr w:type="spellEnd"/>
      <w:r>
        <w:rPr>
          <w:highlight w:val="white"/>
        </w:rPr>
        <w:t xml:space="preserve"> et al., 2019). Para selecionar fornecedores sustentáveis, organizações podem considerar requisitos de sustentabilidade em suas decisões de compra, como </w:t>
      </w:r>
      <w:r>
        <w:rPr>
          <w:highlight w:val="white"/>
        </w:rPr>
        <w:lastRenderedPageBreak/>
        <w:t>proteção ambiental e direitos trabalhistas (</w:t>
      </w:r>
      <w:proofErr w:type="spellStart"/>
      <w:r>
        <w:rPr>
          <w:highlight w:val="white"/>
        </w:rPr>
        <w:t>Xu</w:t>
      </w:r>
      <w:proofErr w:type="spellEnd"/>
      <w:r w:rsidR="00971A56">
        <w:rPr>
          <w:highlight w:val="white"/>
        </w:rPr>
        <w:t xml:space="preserve"> et al., </w:t>
      </w:r>
      <w:r>
        <w:rPr>
          <w:highlight w:val="white"/>
        </w:rPr>
        <w:t>2013). Além disso, podem exigir padrões éticos e certificações ambientais (</w:t>
      </w:r>
      <w:proofErr w:type="spellStart"/>
      <w:r>
        <w:rPr>
          <w:highlight w:val="white"/>
        </w:rPr>
        <w:t>Yazdani</w:t>
      </w:r>
      <w:proofErr w:type="spellEnd"/>
      <w:r w:rsidR="00971A56">
        <w:rPr>
          <w:highlight w:val="white"/>
        </w:rPr>
        <w:t xml:space="preserve"> et al., </w:t>
      </w:r>
      <w:r>
        <w:rPr>
          <w:highlight w:val="white"/>
        </w:rPr>
        <w:t>2016).</w:t>
      </w:r>
    </w:p>
    <w:p w14:paraId="181C7632" w14:textId="20D21D32" w:rsidR="009E260D" w:rsidRDefault="009E260D" w:rsidP="00650284">
      <w:pPr>
        <w:ind w:firstLine="700"/>
      </w:pPr>
      <w:r>
        <w:rPr>
          <w:highlight w:val="white"/>
        </w:rPr>
        <w:t>O ambiente de negócios é dinâmico e incerto, portanto, organizações compradoras devem avaliar continuamente seus fornecedores para verificar a conformidade com os acordos socioambientais realizados, seja por meio de inspeções ou auditorias (Yang &amp; Zhang, 2017). Essas avaliações contínuas de monitoramento esclarecem a expectativa do comprador e direcionam os fornecedores para melhorias adicionais (</w:t>
      </w:r>
      <w:proofErr w:type="spellStart"/>
      <w:r>
        <w:rPr>
          <w:highlight w:val="white"/>
        </w:rPr>
        <w:t>Prajogo</w:t>
      </w:r>
      <w:proofErr w:type="spellEnd"/>
      <w:r w:rsidR="00971A56">
        <w:rPr>
          <w:highlight w:val="white"/>
        </w:rPr>
        <w:t xml:space="preserve"> et al., </w:t>
      </w:r>
      <w:r>
        <w:rPr>
          <w:highlight w:val="white"/>
        </w:rPr>
        <w:t>2012). No entanto, a avaliação torna-se mais complexa ao considerar critérios socioambientais (</w:t>
      </w:r>
      <w:proofErr w:type="spellStart"/>
      <w:r>
        <w:rPr>
          <w:highlight w:val="white"/>
        </w:rPr>
        <w:t>Zimmer</w:t>
      </w:r>
      <w:proofErr w:type="spellEnd"/>
      <w:r w:rsidR="00971A56">
        <w:rPr>
          <w:highlight w:val="white"/>
        </w:rPr>
        <w:t xml:space="preserve"> et al., </w:t>
      </w:r>
      <w:r>
        <w:rPr>
          <w:highlight w:val="white"/>
        </w:rPr>
        <w:t xml:space="preserve">2016). </w:t>
      </w:r>
    </w:p>
    <w:p w14:paraId="670C839E" w14:textId="66223038" w:rsidR="009E260D" w:rsidRDefault="009E260D" w:rsidP="00650284">
      <w:pPr>
        <w:ind w:firstLine="0"/>
      </w:pPr>
    </w:p>
    <w:p w14:paraId="48A0BCCB" w14:textId="317DB2CD" w:rsidR="009E260D" w:rsidRPr="009E260D" w:rsidRDefault="009E260D" w:rsidP="00650284">
      <w:pPr>
        <w:ind w:firstLine="0"/>
        <w:rPr>
          <w:b/>
          <w:bCs/>
        </w:rPr>
      </w:pPr>
      <w:r w:rsidRPr="009E260D">
        <w:rPr>
          <w:b/>
          <w:bCs/>
        </w:rPr>
        <w:t>3</w:t>
      </w:r>
      <w:r w:rsidR="006B7720">
        <w:rPr>
          <w:b/>
          <w:bCs/>
        </w:rPr>
        <w:t xml:space="preserve"> </w:t>
      </w:r>
      <w:r w:rsidR="003619F4">
        <w:rPr>
          <w:b/>
          <w:bCs/>
        </w:rPr>
        <w:t>Procedimentos metodológicos</w:t>
      </w:r>
    </w:p>
    <w:p w14:paraId="4E8B9011" w14:textId="77777777" w:rsidR="009E260D" w:rsidRDefault="009E260D" w:rsidP="00650284">
      <w:pPr>
        <w:rPr>
          <w:highlight w:val="white"/>
        </w:rPr>
      </w:pPr>
      <w:r>
        <w:t>Esta pesquisa é classificada como qualitativa, descritiva e realizada por meio de análise documental.</w:t>
      </w:r>
      <w:r>
        <w:rPr>
          <w:color w:val="FF0000"/>
        </w:rPr>
        <w:t xml:space="preserve"> </w:t>
      </w:r>
      <w:r>
        <w:t xml:space="preserve">A </w:t>
      </w:r>
      <w:r>
        <w:rPr>
          <w:highlight w:val="white"/>
        </w:rPr>
        <w:t xml:space="preserve">coleta dos dados foi operacionalizada a partir do último relatório de sustentabilidade (2019 ou 2020) publicado pelas empresas participantes do ISE B3 no Brasil no ano de 2021. </w:t>
      </w:r>
      <w:r>
        <w:t>Os relatórios das empresas foram extraídos de seus respectivos sítios eletrônicos, embora com diferentes denominações: relatório de sustentabilidade, relatório anual e de sustentabilidade, relatório anual, relatório integrado, relato integrado, relatório de responsabilidade socioambiental e econômico-financeiro. Apesar das denominações, os relatórios aten</w:t>
      </w:r>
      <w:r>
        <w:rPr>
          <w:highlight w:val="white"/>
        </w:rPr>
        <w:t xml:space="preserve">dem aos padrões GRI e, portanto, correspondem ao objeto de análise. </w:t>
      </w:r>
    </w:p>
    <w:p w14:paraId="5B22B6B0" w14:textId="77777777" w:rsidR="009E260D" w:rsidRDefault="009E260D" w:rsidP="00650284">
      <w:pPr>
        <w:rPr>
          <w:highlight w:val="white"/>
        </w:rPr>
      </w:pPr>
      <w:r>
        <w:rPr>
          <w:highlight w:val="white"/>
        </w:rPr>
        <w:t xml:space="preserve">A amostra abrange 38 empresas participantes do ISE B3 2021: AES Brasil Energia, B2W, Banco do Brasil, BR Distribuidora, Bradesco, BRF, BTG, CCR, Cemig, Cielo, Copel, </w:t>
      </w:r>
      <w:proofErr w:type="spellStart"/>
      <w:r>
        <w:rPr>
          <w:highlight w:val="white"/>
        </w:rPr>
        <w:t>Cosan</w:t>
      </w:r>
      <w:proofErr w:type="spellEnd"/>
      <w:r>
        <w:rPr>
          <w:highlight w:val="white"/>
        </w:rPr>
        <w:t xml:space="preserve">, CPFL, Duratex, </w:t>
      </w:r>
      <w:proofErr w:type="spellStart"/>
      <w:r>
        <w:rPr>
          <w:highlight w:val="white"/>
        </w:rPr>
        <w:t>Ecorodovias</w:t>
      </w:r>
      <w:proofErr w:type="spellEnd"/>
      <w:r>
        <w:rPr>
          <w:highlight w:val="white"/>
        </w:rPr>
        <w:t xml:space="preserve">, EDP, Eletrobras, </w:t>
      </w:r>
      <w:proofErr w:type="spellStart"/>
      <w:r>
        <w:rPr>
          <w:highlight w:val="white"/>
        </w:rPr>
        <w:t>Engie</w:t>
      </w:r>
      <w:proofErr w:type="spellEnd"/>
      <w:r>
        <w:rPr>
          <w:highlight w:val="white"/>
        </w:rPr>
        <w:t xml:space="preserve">, Fleury, GPA, Itaú Unibanco, Itaúsa, Klabin, Light, Lojas Americanas, Lojas Renner, M. Dias Branco, </w:t>
      </w:r>
      <w:proofErr w:type="spellStart"/>
      <w:r>
        <w:rPr>
          <w:highlight w:val="white"/>
        </w:rPr>
        <w:t>Marfrig</w:t>
      </w:r>
      <w:proofErr w:type="spellEnd"/>
      <w:r>
        <w:rPr>
          <w:highlight w:val="white"/>
        </w:rPr>
        <w:t xml:space="preserve">, Minerva, Movida, MRV, Natura, </w:t>
      </w:r>
      <w:proofErr w:type="spellStart"/>
      <w:r>
        <w:rPr>
          <w:highlight w:val="white"/>
        </w:rPr>
        <w:t>Neoenergia</w:t>
      </w:r>
      <w:proofErr w:type="spellEnd"/>
      <w:r>
        <w:rPr>
          <w:highlight w:val="white"/>
        </w:rPr>
        <w:t xml:space="preserve">, Petrobras, Suzano, Telefônica, Tim e Weg. A empresa Santander, embora participe do ISE B3 2021, não foi objeto de análise, uma vez que a adequação aos padrões GRI não foi confirmada pela leitura do relatório de sustentabilidade, não sendo possível verificar se a mesma adota os padrões GRI. Portanto, não apresenta a condição básica para ser analisada neste estudo. </w:t>
      </w:r>
    </w:p>
    <w:p w14:paraId="69703811" w14:textId="6246DEDE" w:rsidR="009E260D" w:rsidRDefault="009E260D" w:rsidP="00650284">
      <w:pPr>
        <w:ind w:firstLine="720"/>
        <w:rPr>
          <w:highlight w:val="white"/>
        </w:rPr>
      </w:pPr>
      <w:r>
        <w:rPr>
          <w:highlight w:val="white"/>
        </w:rPr>
        <w:t>Buscou-se informações a respeito da avaliação de fornecedores perante aspectos socioambientais, conforme os padrões GRI 308 e 414.</w:t>
      </w:r>
      <w:r>
        <w:rPr>
          <w:color w:val="FF0000"/>
          <w:highlight w:val="white"/>
        </w:rPr>
        <w:t xml:space="preserve"> </w:t>
      </w:r>
      <w:r>
        <w:rPr>
          <w:highlight w:val="white"/>
        </w:rPr>
        <w:t xml:space="preserve">Na Tabela 1 são apresentados os requisitos específicos de relato dos padrões GRI 308 e 414: avaliação ambiental e avaliação social de fornecedores, respectivamente, os quais devem ser evidenciados pelas organizações que afirmam estar em conformidade com tais padrões. </w:t>
      </w:r>
    </w:p>
    <w:p w14:paraId="53E0CE61" w14:textId="77777777" w:rsidR="002430E2" w:rsidRDefault="002430E2" w:rsidP="00650284">
      <w:pPr>
        <w:ind w:firstLine="720"/>
        <w:rPr>
          <w:highlight w:val="white"/>
        </w:rPr>
      </w:pPr>
    </w:p>
    <w:p w14:paraId="26CAA741" w14:textId="77777777" w:rsidR="002430E2" w:rsidRPr="006720C5" w:rsidRDefault="002430E2" w:rsidP="00650284">
      <w:pPr>
        <w:widowControl/>
        <w:suppressLineNumbers w:val="0"/>
        <w:suppressAutoHyphens w:val="0"/>
        <w:ind w:firstLine="0"/>
        <w:jc w:val="left"/>
        <w:rPr>
          <w:b/>
          <w:bCs/>
        </w:rPr>
      </w:pPr>
      <w:r w:rsidRPr="006720C5">
        <w:rPr>
          <w:b/>
          <w:bCs/>
          <w:highlight w:val="white"/>
        </w:rPr>
        <w:t>Tabela 1</w:t>
      </w:r>
    </w:p>
    <w:p w14:paraId="477F25E8" w14:textId="77777777" w:rsidR="002430E2" w:rsidRPr="006720C5" w:rsidRDefault="002430E2" w:rsidP="00650284">
      <w:pPr>
        <w:widowControl/>
        <w:suppressLineNumbers w:val="0"/>
        <w:suppressAutoHyphens w:val="0"/>
        <w:ind w:firstLine="0"/>
        <w:jc w:val="left"/>
        <w:rPr>
          <w:bCs/>
          <w:i/>
          <w:iCs/>
        </w:rPr>
      </w:pPr>
      <w:r w:rsidRPr="006720C5">
        <w:rPr>
          <w:bCs/>
          <w:i/>
          <w:iCs/>
        </w:rPr>
        <w:t>Instrumento de análise - requisitos de relato dos padrões GRI 308 e 414</w:t>
      </w:r>
    </w:p>
    <w:tbl>
      <w:tblPr>
        <w:tblW w:w="9025" w:type="dxa"/>
        <w:tblBorders>
          <w:top w:val="single" w:sz="4" w:space="0" w:color="auto"/>
          <w:bottom w:val="single" w:sz="4" w:space="0" w:color="auto"/>
        </w:tblBorders>
        <w:tblLayout w:type="fixed"/>
        <w:tblLook w:val="0400" w:firstRow="0" w:lastRow="0" w:firstColumn="0" w:lastColumn="0" w:noHBand="0" w:noVBand="1"/>
      </w:tblPr>
      <w:tblGrid>
        <w:gridCol w:w="1125"/>
        <w:gridCol w:w="3390"/>
        <w:gridCol w:w="1050"/>
        <w:gridCol w:w="3460"/>
      </w:tblGrid>
      <w:tr w:rsidR="002430E2" w:rsidRPr="002430E2" w14:paraId="749CCA9C" w14:textId="77777777" w:rsidTr="006720C5">
        <w:trPr>
          <w:trHeight w:val="214"/>
        </w:trPr>
        <w:tc>
          <w:tcPr>
            <w:tcW w:w="4515" w:type="dxa"/>
            <w:gridSpan w:val="2"/>
            <w:tcBorders>
              <w:top w:val="single" w:sz="4" w:space="0" w:color="auto"/>
              <w:bottom w:val="single" w:sz="4" w:space="0" w:color="auto"/>
            </w:tcBorders>
          </w:tcPr>
          <w:p w14:paraId="73DDFF15" w14:textId="77777777" w:rsidR="002430E2" w:rsidRPr="002430E2" w:rsidRDefault="002430E2" w:rsidP="00650284">
            <w:pPr>
              <w:suppressLineNumbers w:val="0"/>
              <w:suppressAutoHyphens w:val="0"/>
              <w:ind w:firstLine="0"/>
              <w:jc w:val="center"/>
              <w:rPr>
                <w:b/>
                <w:sz w:val="20"/>
                <w:szCs w:val="20"/>
                <w:highlight w:val="white"/>
              </w:rPr>
            </w:pPr>
            <w:r w:rsidRPr="002430E2">
              <w:rPr>
                <w:b/>
                <w:sz w:val="20"/>
                <w:szCs w:val="20"/>
                <w:highlight w:val="white"/>
              </w:rPr>
              <w:t>Requisitos de relato</w:t>
            </w:r>
          </w:p>
        </w:tc>
        <w:tc>
          <w:tcPr>
            <w:tcW w:w="4510" w:type="dxa"/>
            <w:gridSpan w:val="2"/>
            <w:tcBorders>
              <w:top w:val="single" w:sz="4" w:space="0" w:color="auto"/>
              <w:bottom w:val="single" w:sz="4" w:space="0" w:color="auto"/>
            </w:tcBorders>
          </w:tcPr>
          <w:p w14:paraId="268FC59C" w14:textId="77777777" w:rsidR="002430E2" w:rsidRPr="002430E2" w:rsidRDefault="002430E2" w:rsidP="00650284">
            <w:pPr>
              <w:suppressLineNumbers w:val="0"/>
              <w:suppressAutoHyphens w:val="0"/>
              <w:ind w:firstLine="0"/>
              <w:jc w:val="center"/>
              <w:rPr>
                <w:b/>
                <w:sz w:val="20"/>
                <w:szCs w:val="20"/>
                <w:highlight w:val="white"/>
              </w:rPr>
            </w:pPr>
            <w:r w:rsidRPr="002430E2">
              <w:rPr>
                <w:b/>
                <w:sz w:val="20"/>
                <w:szCs w:val="20"/>
                <w:highlight w:val="white"/>
              </w:rPr>
              <w:t>Requisitos de relato</w:t>
            </w:r>
          </w:p>
        </w:tc>
      </w:tr>
      <w:tr w:rsidR="002430E2" w:rsidRPr="002430E2" w14:paraId="2FD00ED0" w14:textId="77777777" w:rsidTr="006720C5">
        <w:tc>
          <w:tcPr>
            <w:tcW w:w="1125" w:type="dxa"/>
            <w:tcBorders>
              <w:top w:val="single" w:sz="4" w:space="0" w:color="auto"/>
            </w:tcBorders>
          </w:tcPr>
          <w:p w14:paraId="3E15B3D0" w14:textId="77777777" w:rsidR="002430E2" w:rsidRPr="002430E2" w:rsidRDefault="002430E2" w:rsidP="00650284">
            <w:pPr>
              <w:suppressLineNumbers w:val="0"/>
              <w:pBdr>
                <w:top w:val="nil"/>
                <w:left w:val="nil"/>
                <w:bottom w:val="nil"/>
                <w:right w:val="nil"/>
                <w:between w:val="nil"/>
              </w:pBdr>
              <w:suppressAutoHyphens w:val="0"/>
              <w:ind w:firstLine="0"/>
              <w:rPr>
                <w:sz w:val="20"/>
                <w:szCs w:val="20"/>
                <w:highlight w:val="white"/>
              </w:rPr>
            </w:pPr>
            <w:r w:rsidRPr="002430E2">
              <w:rPr>
                <w:sz w:val="20"/>
                <w:szCs w:val="20"/>
                <w:highlight w:val="white"/>
              </w:rPr>
              <w:t>308-1 a.</w:t>
            </w:r>
          </w:p>
        </w:tc>
        <w:tc>
          <w:tcPr>
            <w:tcW w:w="3390" w:type="dxa"/>
            <w:tcBorders>
              <w:top w:val="single" w:sz="4" w:space="0" w:color="auto"/>
            </w:tcBorders>
          </w:tcPr>
          <w:p w14:paraId="61A01731" w14:textId="77777777" w:rsidR="002430E2" w:rsidRPr="002430E2" w:rsidRDefault="002430E2" w:rsidP="00650284">
            <w:pPr>
              <w:suppressLineNumbers w:val="0"/>
              <w:pBdr>
                <w:top w:val="nil"/>
                <w:left w:val="nil"/>
                <w:bottom w:val="nil"/>
                <w:right w:val="nil"/>
                <w:between w:val="nil"/>
              </w:pBdr>
              <w:suppressAutoHyphens w:val="0"/>
              <w:ind w:firstLine="0"/>
              <w:rPr>
                <w:sz w:val="20"/>
                <w:szCs w:val="20"/>
                <w:highlight w:val="white"/>
              </w:rPr>
            </w:pPr>
            <w:r w:rsidRPr="002430E2">
              <w:rPr>
                <w:sz w:val="20"/>
                <w:szCs w:val="20"/>
                <w:highlight w:val="white"/>
              </w:rPr>
              <w:t>Percentual de novos fornecedores que foram selecionados com base em critérios ambientais.</w:t>
            </w:r>
          </w:p>
        </w:tc>
        <w:tc>
          <w:tcPr>
            <w:tcW w:w="1050" w:type="dxa"/>
            <w:tcBorders>
              <w:top w:val="single" w:sz="4" w:space="0" w:color="auto"/>
            </w:tcBorders>
          </w:tcPr>
          <w:p w14:paraId="55A68A77" w14:textId="77777777" w:rsidR="002430E2" w:rsidRPr="002430E2" w:rsidRDefault="002430E2" w:rsidP="00650284">
            <w:pPr>
              <w:suppressLineNumbers w:val="0"/>
              <w:suppressAutoHyphens w:val="0"/>
              <w:ind w:firstLine="0"/>
              <w:rPr>
                <w:sz w:val="20"/>
                <w:szCs w:val="20"/>
                <w:highlight w:val="white"/>
              </w:rPr>
            </w:pPr>
            <w:r w:rsidRPr="002430E2">
              <w:rPr>
                <w:sz w:val="20"/>
                <w:szCs w:val="20"/>
                <w:highlight w:val="white"/>
              </w:rPr>
              <w:t>414-1 a.</w:t>
            </w:r>
          </w:p>
        </w:tc>
        <w:tc>
          <w:tcPr>
            <w:tcW w:w="3460" w:type="dxa"/>
            <w:tcBorders>
              <w:top w:val="single" w:sz="4" w:space="0" w:color="auto"/>
            </w:tcBorders>
          </w:tcPr>
          <w:p w14:paraId="711AE4FF" w14:textId="77777777" w:rsidR="002430E2" w:rsidRPr="002430E2" w:rsidRDefault="002430E2" w:rsidP="00650284">
            <w:pPr>
              <w:suppressLineNumbers w:val="0"/>
              <w:pBdr>
                <w:top w:val="nil"/>
                <w:left w:val="nil"/>
                <w:bottom w:val="nil"/>
                <w:right w:val="nil"/>
                <w:between w:val="nil"/>
              </w:pBdr>
              <w:suppressAutoHyphens w:val="0"/>
              <w:ind w:firstLine="0"/>
              <w:rPr>
                <w:sz w:val="20"/>
                <w:szCs w:val="20"/>
                <w:highlight w:val="white"/>
              </w:rPr>
            </w:pPr>
            <w:r w:rsidRPr="002430E2">
              <w:rPr>
                <w:sz w:val="20"/>
                <w:szCs w:val="20"/>
                <w:highlight w:val="white"/>
              </w:rPr>
              <w:t>Percentual de novos fornecedores selecionados com base em critérios sociais.</w:t>
            </w:r>
          </w:p>
        </w:tc>
      </w:tr>
      <w:tr w:rsidR="002430E2" w:rsidRPr="002430E2" w14:paraId="5B39BC16" w14:textId="77777777" w:rsidTr="006720C5">
        <w:tc>
          <w:tcPr>
            <w:tcW w:w="1125" w:type="dxa"/>
          </w:tcPr>
          <w:p w14:paraId="5BD504EC" w14:textId="77777777" w:rsidR="002430E2" w:rsidRPr="002430E2" w:rsidRDefault="002430E2" w:rsidP="00650284">
            <w:pPr>
              <w:suppressLineNumbers w:val="0"/>
              <w:pBdr>
                <w:top w:val="nil"/>
                <w:left w:val="nil"/>
                <w:bottom w:val="nil"/>
                <w:right w:val="nil"/>
                <w:between w:val="nil"/>
              </w:pBdr>
              <w:suppressAutoHyphens w:val="0"/>
              <w:ind w:firstLine="0"/>
              <w:rPr>
                <w:sz w:val="20"/>
                <w:szCs w:val="20"/>
                <w:highlight w:val="white"/>
              </w:rPr>
            </w:pPr>
            <w:r w:rsidRPr="002430E2">
              <w:rPr>
                <w:sz w:val="20"/>
                <w:szCs w:val="20"/>
                <w:highlight w:val="white"/>
              </w:rPr>
              <w:t>308-2 a.</w:t>
            </w:r>
          </w:p>
        </w:tc>
        <w:tc>
          <w:tcPr>
            <w:tcW w:w="3390" w:type="dxa"/>
          </w:tcPr>
          <w:p w14:paraId="162AB6E4" w14:textId="77777777" w:rsidR="002430E2" w:rsidRPr="002430E2" w:rsidRDefault="002430E2" w:rsidP="00650284">
            <w:pPr>
              <w:suppressLineNumbers w:val="0"/>
              <w:pBdr>
                <w:top w:val="nil"/>
                <w:left w:val="nil"/>
                <w:bottom w:val="nil"/>
                <w:right w:val="nil"/>
                <w:between w:val="nil"/>
              </w:pBdr>
              <w:suppressAutoHyphens w:val="0"/>
              <w:ind w:firstLine="0"/>
              <w:rPr>
                <w:sz w:val="20"/>
                <w:szCs w:val="20"/>
                <w:highlight w:val="white"/>
              </w:rPr>
            </w:pPr>
            <w:r w:rsidRPr="002430E2">
              <w:rPr>
                <w:sz w:val="20"/>
                <w:szCs w:val="20"/>
                <w:highlight w:val="white"/>
              </w:rPr>
              <w:t>Número de fornecedores avaliados com relação aos impactos ambientais.</w:t>
            </w:r>
          </w:p>
        </w:tc>
        <w:tc>
          <w:tcPr>
            <w:tcW w:w="1050" w:type="dxa"/>
          </w:tcPr>
          <w:p w14:paraId="7FB7048B" w14:textId="77777777" w:rsidR="002430E2" w:rsidRPr="002430E2" w:rsidRDefault="002430E2" w:rsidP="00650284">
            <w:pPr>
              <w:suppressLineNumbers w:val="0"/>
              <w:suppressAutoHyphens w:val="0"/>
              <w:ind w:firstLine="0"/>
              <w:rPr>
                <w:sz w:val="20"/>
                <w:szCs w:val="20"/>
                <w:highlight w:val="white"/>
              </w:rPr>
            </w:pPr>
            <w:r w:rsidRPr="002430E2">
              <w:rPr>
                <w:sz w:val="20"/>
                <w:szCs w:val="20"/>
                <w:highlight w:val="white"/>
              </w:rPr>
              <w:t>414-2 a.</w:t>
            </w:r>
          </w:p>
        </w:tc>
        <w:tc>
          <w:tcPr>
            <w:tcW w:w="3460" w:type="dxa"/>
          </w:tcPr>
          <w:p w14:paraId="2B363FC9" w14:textId="77777777" w:rsidR="002430E2" w:rsidRPr="002430E2" w:rsidRDefault="002430E2" w:rsidP="00650284">
            <w:pPr>
              <w:suppressLineNumbers w:val="0"/>
              <w:pBdr>
                <w:top w:val="nil"/>
                <w:left w:val="nil"/>
                <w:bottom w:val="nil"/>
                <w:right w:val="nil"/>
                <w:between w:val="nil"/>
              </w:pBdr>
              <w:suppressAutoHyphens w:val="0"/>
              <w:ind w:firstLine="0"/>
              <w:rPr>
                <w:sz w:val="20"/>
                <w:szCs w:val="20"/>
                <w:highlight w:val="white"/>
              </w:rPr>
            </w:pPr>
            <w:r w:rsidRPr="002430E2">
              <w:rPr>
                <w:sz w:val="20"/>
                <w:szCs w:val="20"/>
                <w:highlight w:val="white"/>
              </w:rPr>
              <w:t>Número de fornecedores avaliados com relação aos impactos sociais.</w:t>
            </w:r>
          </w:p>
        </w:tc>
      </w:tr>
      <w:tr w:rsidR="002430E2" w:rsidRPr="002430E2" w14:paraId="318B3F59" w14:textId="77777777" w:rsidTr="006720C5">
        <w:tc>
          <w:tcPr>
            <w:tcW w:w="1125" w:type="dxa"/>
          </w:tcPr>
          <w:p w14:paraId="50F18F6D" w14:textId="77777777" w:rsidR="002430E2" w:rsidRPr="002430E2" w:rsidRDefault="002430E2" w:rsidP="00650284">
            <w:pPr>
              <w:suppressLineNumbers w:val="0"/>
              <w:suppressAutoHyphens w:val="0"/>
              <w:ind w:firstLine="0"/>
              <w:rPr>
                <w:sz w:val="20"/>
                <w:szCs w:val="20"/>
                <w:highlight w:val="white"/>
              </w:rPr>
            </w:pPr>
            <w:r w:rsidRPr="002430E2">
              <w:rPr>
                <w:sz w:val="20"/>
                <w:szCs w:val="20"/>
                <w:highlight w:val="white"/>
              </w:rPr>
              <w:t>308-2 b.</w:t>
            </w:r>
          </w:p>
        </w:tc>
        <w:tc>
          <w:tcPr>
            <w:tcW w:w="3390" w:type="dxa"/>
          </w:tcPr>
          <w:p w14:paraId="5E1836F7" w14:textId="77777777" w:rsidR="002430E2" w:rsidRPr="002430E2" w:rsidRDefault="002430E2" w:rsidP="00650284">
            <w:pPr>
              <w:suppressLineNumbers w:val="0"/>
              <w:pBdr>
                <w:top w:val="nil"/>
                <w:left w:val="nil"/>
                <w:bottom w:val="nil"/>
                <w:right w:val="nil"/>
                <w:between w:val="nil"/>
              </w:pBdr>
              <w:suppressAutoHyphens w:val="0"/>
              <w:ind w:firstLine="0"/>
              <w:rPr>
                <w:sz w:val="20"/>
                <w:szCs w:val="20"/>
                <w:highlight w:val="white"/>
              </w:rPr>
            </w:pPr>
            <w:r w:rsidRPr="002430E2">
              <w:rPr>
                <w:sz w:val="20"/>
                <w:szCs w:val="20"/>
                <w:highlight w:val="white"/>
              </w:rPr>
              <w:t>Número de fornecedores identificados como causadores de impactos ambientais negativos reais e potenciais.</w:t>
            </w:r>
          </w:p>
        </w:tc>
        <w:tc>
          <w:tcPr>
            <w:tcW w:w="1050" w:type="dxa"/>
          </w:tcPr>
          <w:p w14:paraId="620190EC" w14:textId="77777777" w:rsidR="002430E2" w:rsidRPr="002430E2" w:rsidRDefault="002430E2" w:rsidP="00650284">
            <w:pPr>
              <w:suppressLineNumbers w:val="0"/>
              <w:suppressAutoHyphens w:val="0"/>
              <w:ind w:firstLine="0"/>
              <w:rPr>
                <w:sz w:val="20"/>
                <w:szCs w:val="20"/>
                <w:highlight w:val="white"/>
              </w:rPr>
            </w:pPr>
            <w:r w:rsidRPr="002430E2">
              <w:rPr>
                <w:sz w:val="20"/>
                <w:szCs w:val="20"/>
                <w:highlight w:val="white"/>
              </w:rPr>
              <w:t>414-2 b.</w:t>
            </w:r>
          </w:p>
        </w:tc>
        <w:tc>
          <w:tcPr>
            <w:tcW w:w="3460" w:type="dxa"/>
          </w:tcPr>
          <w:p w14:paraId="71219CDA" w14:textId="77777777" w:rsidR="002430E2" w:rsidRPr="002430E2" w:rsidRDefault="002430E2" w:rsidP="00650284">
            <w:pPr>
              <w:suppressLineNumbers w:val="0"/>
              <w:pBdr>
                <w:top w:val="nil"/>
                <w:left w:val="nil"/>
                <w:bottom w:val="nil"/>
                <w:right w:val="nil"/>
                <w:between w:val="nil"/>
              </w:pBdr>
              <w:suppressAutoHyphens w:val="0"/>
              <w:ind w:firstLine="0"/>
              <w:rPr>
                <w:sz w:val="20"/>
                <w:szCs w:val="20"/>
                <w:highlight w:val="white"/>
              </w:rPr>
            </w:pPr>
            <w:r w:rsidRPr="002430E2">
              <w:rPr>
                <w:sz w:val="20"/>
                <w:szCs w:val="20"/>
                <w:highlight w:val="white"/>
              </w:rPr>
              <w:t>Número de fornecedores identificados como causadores de impactos sociais negativos reais e potenciais.</w:t>
            </w:r>
          </w:p>
        </w:tc>
      </w:tr>
      <w:tr w:rsidR="002430E2" w:rsidRPr="002430E2" w14:paraId="21E69035" w14:textId="77777777" w:rsidTr="006720C5">
        <w:tc>
          <w:tcPr>
            <w:tcW w:w="1125" w:type="dxa"/>
          </w:tcPr>
          <w:p w14:paraId="4609FF64" w14:textId="77777777" w:rsidR="002430E2" w:rsidRPr="002430E2" w:rsidRDefault="002430E2" w:rsidP="00650284">
            <w:pPr>
              <w:suppressLineNumbers w:val="0"/>
              <w:suppressAutoHyphens w:val="0"/>
              <w:ind w:firstLine="0"/>
              <w:rPr>
                <w:sz w:val="20"/>
                <w:szCs w:val="20"/>
                <w:highlight w:val="white"/>
              </w:rPr>
            </w:pPr>
            <w:r w:rsidRPr="002430E2">
              <w:rPr>
                <w:sz w:val="20"/>
                <w:szCs w:val="20"/>
                <w:highlight w:val="white"/>
              </w:rPr>
              <w:t>308-2 c.</w:t>
            </w:r>
          </w:p>
        </w:tc>
        <w:tc>
          <w:tcPr>
            <w:tcW w:w="3390" w:type="dxa"/>
          </w:tcPr>
          <w:p w14:paraId="089772CD" w14:textId="77777777" w:rsidR="002430E2" w:rsidRPr="002430E2" w:rsidRDefault="002430E2" w:rsidP="00650284">
            <w:pPr>
              <w:suppressLineNumbers w:val="0"/>
              <w:pBdr>
                <w:top w:val="nil"/>
                <w:left w:val="nil"/>
                <w:bottom w:val="nil"/>
                <w:right w:val="nil"/>
                <w:between w:val="nil"/>
              </w:pBdr>
              <w:suppressAutoHyphens w:val="0"/>
              <w:ind w:firstLine="0"/>
              <w:rPr>
                <w:sz w:val="20"/>
                <w:szCs w:val="20"/>
                <w:highlight w:val="white"/>
              </w:rPr>
            </w:pPr>
            <w:r w:rsidRPr="002430E2">
              <w:rPr>
                <w:sz w:val="20"/>
                <w:szCs w:val="20"/>
                <w:highlight w:val="white"/>
              </w:rPr>
              <w:t>Impactos ambientais negativos significativos – reais e potenciais – identificados na cadeia de fornecedores.</w:t>
            </w:r>
          </w:p>
        </w:tc>
        <w:tc>
          <w:tcPr>
            <w:tcW w:w="1050" w:type="dxa"/>
          </w:tcPr>
          <w:p w14:paraId="351BE349" w14:textId="77777777" w:rsidR="002430E2" w:rsidRPr="002430E2" w:rsidRDefault="002430E2" w:rsidP="00650284">
            <w:pPr>
              <w:suppressLineNumbers w:val="0"/>
              <w:suppressAutoHyphens w:val="0"/>
              <w:ind w:firstLine="0"/>
              <w:rPr>
                <w:sz w:val="20"/>
                <w:szCs w:val="20"/>
                <w:highlight w:val="white"/>
              </w:rPr>
            </w:pPr>
            <w:r w:rsidRPr="002430E2">
              <w:rPr>
                <w:sz w:val="20"/>
                <w:szCs w:val="20"/>
                <w:highlight w:val="white"/>
              </w:rPr>
              <w:t>414-2 c.</w:t>
            </w:r>
          </w:p>
        </w:tc>
        <w:tc>
          <w:tcPr>
            <w:tcW w:w="3460" w:type="dxa"/>
          </w:tcPr>
          <w:p w14:paraId="09EB45EF" w14:textId="77777777" w:rsidR="002430E2" w:rsidRPr="002430E2" w:rsidRDefault="002430E2" w:rsidP="00650284">
            <w:pPr>
              <w:suppressLineNumbers w:val="0"/>
              <w:pBdr>
                <w:top w:val="nil"/>
                <w:left w:val="nil"/>
                <w:bottom w:val="nil"/>
                <w:right w:val="nil"/>
                <w:between w:val="nil"/>
              </w:pBdr>
              <w:suppressAutoHyphens w:val="0"/>
              <w:ind w:firstLine="0"/>
              <w:rPr>
                <w:sz w:val="20"/>
                <w:szCs w:val="20"/>
                <w:highlight w:val="white"/>
              </w:rPr>
            </w:pPr>
            <w:r w:rsidRPr="002430E2">
              <w:rPr>
                <w:sz w:val="20"/>
                <w:szCs w:val="20"/>
                <w:highlight w:val="white"/>
              </w:rPr>
              <w:t>Impactos sociais negativos significativos – reais e potenciais – identificados na cadeia de fornecedores.</w:t>
            </w:r>
          </w:p>
        </w:tc>
      </w:tr>
      <w:tr w:rsidR="002430E2" w:rsidRPr="002430E2" w14:paraId="61A4F3BA" w14:textId="77777777" w:rsidTr="006720C5">
        <w:tc>
          <w:tcPr>
            <w:tcW w:w="1125" w:type="dxa"/>
          </w:tcPr>
          <w:p w14:paraId="25370571" w14:textId="77777777" w:rsidR="002430E2" w:rsidRPr="002430E2" w:rsidRDefault="002430E2" w:rsidP="00650284">
            <w:pPr>
              <w:suppressLineNumbers w:val="0"/>
              <w:suppressAutoHyphens w:val="0"/>
              <w:ind w:firstLine="0"/>
              <w:rPr>
                <w:sz w:val="20"/>
                <w:szCs w:val="20"/>
                <w:highlight w:val="white"/>
              </w:rPr>
            </w:pPr>
            <w:r w:rsidRPr="002430E2">
              <w:rPr>
                <w:sz w:val="20"/>
                <w:szCs w:val="20"/>
                <w:highlight w:val="white"/>
              </w:rPr>
              <w:t>308-2 d.</w:t>
            </w:r>
          </w:p>
        </w:tc>
        <w:tc>
          <w:tcPr>
            <w:tcW w:w="3390" w:type="dxa"/>
          </w:tcPr>
          <w:p w14:paraId="4AD87EC4" w14:textId="77777777" w:rsidR="002430E2" w:rsidRPr="002430E2" w:rsidRDefault="002430E2" w:rsidP="00650284">
            <w:pPr>
              <w:suppressLineNumbers w:val="0"/>
              <w:pBdr>
                <w:top w:val="nil"/>
                <w:left w:val="nil"/>
                <w:bottom w:val="nil"/>
                <w:right w:val="nil"/>
                <w:between w:val="nil"/>
              </w:pBdr>
              <w:suppressAutoHyphens w:val="0"/>
              <w:ind w:firstLine="0"/>
              <w:rPr>
                <w:sz w:val="20"/>
                <w:szCs w:val="20"/>
                <w:highlight w:val="white"/>
              </w:rPr>
            </w:pPr>
            <w:r w:rsidRPr="002430E2">
              <w:rPr>
                <w:sz w:val="20"/>
                <w:szCs w:val="20"/>
                <w:highlight w:val="white"/>
              </w:rPr>
              <w:t xml:space="preserve">Percentual de fornecedores identificados como causadores de impactos ambientais negativos – reais e </w:t>
            </w:r>
            <w:r w:rsidRPr="002430E2">
              <w:rPr>
                <w:sz w:val="20"/>
                <w:szCs w:val="20"/>
                <w:highlight w:val="white"/>
              </w:rPr>
              <w:lastRenderedPageBreak/>
              <w:t>potenciais – com os quais foram acordadas melhorias como decorrência da avaliação realizada.</w:t>
            </w:r>
          </w:p>
        </w:tc>
        <w:tc>
          <w:tcPr>
            <w:tcW w:w="1050" w:type="dxa"/>
          </w:tcPr>
          <w:p w14:paraId="6E840050" w14:textId="77777777" w:rsidR="002430E2" w:rsidRPr="002430E2" w:rsidRDefault="002430E2" w:rsidP="00650284">
            <w:pPr>
              <w:suppressLineNumbers w:val="0"/>
              <w:suppressAutoHyphens w:val="0"/>
              <w:ind w:firstLine="0"/>
              <w:rPr>
                <w:sz w:val="20"/>
                <w:szCs w:val="20"/>
                <w:highlight w:val="white"/>
              </w:rPr>
            </w:pPr>
            <w:r w:rsidRPr="002430E2">
              <w:rPr>
                <w:sz w:val="20"/>
                <w:szCs w:val="20"/>
                <w:highlight w:val="white"/>
              </w:rPr>
              <w:lastRenderedPageBreak/>
              <w:t>414-2 d.</w:t>
            </w:r>
          </w:p>
        </w:tc>
        <w:tc>
          <w:tcPr>
            <w:tcW w:w="3460" w:type="dxa"/>
          </w:tcPr>
          <w:p w14:paraId="590CF878" w14:textId="77777777" w:rsidR="002430E2" w:rsidRPr="002430E2" w:rsidRDefault="002430E2" w:rsidP="00650284">
            <w:pPr>
              <w:suppressLineNumbers w:val="0"/>
              <w:pBdr>
                <w:top w:val="nil"/>
                <w:left w:val="nil"/>
                <w:bottom w:val="nil"/>
                <w:right w:val="nil"/>
                <w:between w:val="nil"/>
              </w:pBdr>
              <w:suppressAutoHyphens w:val="0"/>
              <w:ind w:firstLine="0"/>
              <w:rPr>
                <w:sz w:val="20"/>
                <w:szCs w:val="20"/>
                <w:highlight w:val="white"/>
              </w:rPr>
            </w:pPr>
            <w:r w:rsidRPr="002430E2">
              <w:rPr>
                <w:sz w:val="20"/>
                <w:szCs w:val="20"/>
                <w:highlight w:val="white"/>
              </w:rPr>
              <w:t xml:space="preserve">Percentual de fornecedores identificados como causadores de impactos sociais negativos – reais e potenciais – com os </w:t>
            </w:r>
            <w:r w:rsidRPr="002430E2">
              <w:rPr>
                <w:sz w:val="20"/>
                <w:szCs w:val="20"/>
                <w:highlight w:val="white"/>
              </w:rPr>
              <w:lastRenderedPageBreak/>
              <w:t>quais foram acordadas melhorias como decorrência da avaliação realizada.</w:t>
            </w:r>
          </w:p>
        </w:tc>
      </w:tr>
      <w:tr w:rsidR="002430E2" w:rsidRPr="002430E2" w14:paraId="33693CE9" w14:textId="77777777" w:rsidTr="006720C5">
        <w:tc>
          <w:tcPr>
            <w:tcW w:w="1125" w:type="dxa"/>
          </w:tcPr>
          <w:p w14:paraId="10270223" w14:textId="77777777" w:rsidR="002430E2" w:rsidRPr="002430E2" w:rsidRDefault="002430E2" w:rsidP="00650284">
            <w:pPr>
              <w:suppressLineNumbers w:val="0"/>
              <w:suppressAutoHyphens w:val="0"/>
              <w:ind w:firstLine="0"/>
              <w:rPr>
                <w:sz w:val="20"/>
                <w:szCs w:val="20"/>
                <w:highlight w:val="white"/>
              </w:rPr>
            </w:pPr>
            <w:r w:rsidRPr="002430E2">
              <w:rPr>
                <w:sz w:val="20"/>
                <w:szCs w:val="20"/>
                <w:highlight w:val="white"/>
              </w:rPr>
              <w:lastRenderedPageBreak/>
              <w:t>308-2 e.</w:t>
            </w:r>
          </w:p>
        </w:tc>
        <w:tc>
          <w:tcPr>
            <w:tcW w:w="3390" w:type="dxa"/>
          </w:tcPr>
          <w:p w14:paraId="4389AAD8" w14:textId="77777777" w:rsidR="002430E2" w:rsidRPr="002430E2" w:rsidRDefault="002430E2" w:rsidP="00650284">
            <w:pPr>
              <w:suppressLineNumbers w:val="0"/>
              <w:pBdr>
                <w:top w:val="nil"/>
                <w:left w:val="nil"/>
                <w:bottom w:val="nil"/>
                <w:right w:val="nil"/>
                <w:between w:val="nil"/>
              </w:pBdr>
              <w:suppressAutoHyphens w:val="0"/>
              <w:ind w:firstLine="0"/>
              <w:rPr>
                <w:sz w:val="20"/>
                <w:szCs w:val="20"/>
                <w:highlight w:val="white"/>
              </w:rPr>
            </w:pPr>
            <w:r w:rsidRPr="002430E2">
              <w:rPr>
                <w:sz w:val="20"/>
                <w:szCs w:val="20"/>
                <w:highlight w:val="white"/>
              </w:rPr>
              <w:t>Percentual de fornecedores identificados como causadores de impactos ambientais negativos significativos – reais e potenciais – com os quais a organização encerrou as relações de negócios em decorrência da avaliação e as razões que motivaram esse encerramento.</w:t>
            </w:r>
          </w:p>
        </w:tc>
        <w:tc>
          <w:tcPr>
            <w:tcW w:w="1050" w:type="dxa"/>
          </w:tcPr>
          <w:p w14:paraId="136BE7CE" w14:textId="77777777" w:rsidR="002430E2" w:rsidRPr="002430E2" w:rsidRDefault="002430E2" w:rsidP="00650284">
            <w:pPr>
              <w:suppressLineNumbers w:val="0"/>
              <w:suppressAutoHyphens w:val="0"/>
              <w:ind w:firstLine="0"/>
              <w:rPr>
                <w:sz w:val="20"/>
                <w:szCs w:val="20"/>
                <w:highlight w:val="white"/>
              </w:rPr>
            </w:pPr>
            <w:r w:rsidRPr="002430E2">
              <w:rPr>
                <w:sz w:val="20"/>
                <w:szCs w:val="20"/>
                <w:highlight w:val="white"/>
              </w:rPr>
              <w:t>414-2 e.</w:t>
            </w:r>
          </w:p>
        </w:tc>
        <w:tc>
          <w:tcPr>
            <w:tcW w:w="3460" w:type="dxa"/>
          </w:tcPr>
          <w:p w14:paraId="2DA87A51" w14:textId="77777777" w:rsidR="002430E2" w:rsidRPr="002430E2" w:rsidRDefault="002430E2" w:rsidP="00650284">
            <w:pPr>
              <w:suppressLineNumbers w:val="0"/>
              <w:pBdr>
                <w:top w:val="nil"/>
                <w:left w:val="nil"/>
                <w:bottom w:val="nil"/>
                <w:right w:val="nil"/>
                <w:between w:val="nil"/>
              </w:pBdr>
              <w:suppressAutoHyphens w:val="0"/>
              <w:ind w:firstLine="0"/>
              <w:rPr>
                <w:sz w:val="20"/>
                <w:szCs w:val="20"/>
                <w:highlight w:val="white"/>
              </w:rPr>
            </w:pPr>
            <w:r w:rsidRPr="002430E2">
              <w:rPr>
                <w:sz w:val="20"/>
                <w:szCs w:val="20"/>
                <w:highlight w:val="white"/>
              </w:rPr>
              <w:t>Percentual de fornecedores identificados como causadores de impactos sociais negativos significativos – reais e potenciais – com os quais a organização encerrou as relações de negócios em decorrência da avaliação e as razões que motivaram esse encerramento.</w:t>
            </w:r>
          </w:p>
        </w:tc>
      </w:tr>
    </w:tbl>
    <w:p w14:paraId="6752750F" w14:textId="77777777" w:rsidR="002430E2" w:rsidRPr="002430E2" w:rsidRDefault="002430E2" w:rsidP="00650284">
      <w:pPr>
        <w:widowControl/>
        <w:suppressLineNumbers w:val="0"/>
        <w:suppressAutoHyphens w:val="0"/>
        <w:ind w:firstLine="0"/>
        <w:jc w:val="left"/>
        <w:rPr>
          <w:sz w:val="20"/>
          <w:szCs w:val="20"/>
        </w:rPr>
      </w:pPr>
      <w:bookmarkStart w:id="0" w:name="_gjdgxs" w:colFirst="0" w:colLast="0"/>
      <w:bookmarkEnd w:id="0"/>
      <w:r w:rsidRPr="002430E2">
        <w:rPr>
          <w:b/>
          <w:sz w:val="20"/>
          <w:szCs w:val="20"/>
          <w:highlight w:val="white"/>
        </w:rPr>
        <w:t>Fonte:</w:t>
      </w:r>
      <w:r w:rsidRPr="002430E2">
        <w:rPr>
          <w:sz w:val="20"/>
          <w:szCs w:val="20"/>
          <w:highlight w:val="white"/>
        </w:rPr>
        <w:t xml:space="preserve"> Padrões GRI 308 (2016) e GRI 414 (2016).</w:t>
      </w:r>
    </w:p>
    <w:p w14:paraId="4D2078AE" w14:textId="71C27876" w:rsidR="002430E2" w:rsidRDefault="002430E2" w:rsidP="00650284">
      <w:pPr>
        <w:ind w:firstLine="0"/>
        <w:rPr>
          <w:highlight w:val="white"/>
        </w:rPr>
      </w:pPr>
    </w:p>
    <w:p w14:paraId="1123E043" w14:textId="77777777" w:rsidR="009E260D" w:rsidRDefault="009E260D" w:rsidP="00650284">
      <w:pPr>
        <w:ind w:right="4" w:firstLine="708"/>
      </w:pPr>
      <w:r>
        <w:rPr>
          <w:highlight w:val="white"/>
        </w:rPr>
        <w:t xml:space="preserve">Os fragmentos que apresentavam informações a respeito das categorias de avaliação de fornecedores (social e/ou ambiental) foram extraídos e tabulados com o auxílio do </w:t>
      </w:r>
      <w:r>
        <w:rPr>
          <w:i/>
          <w:highlight w:val="white"/>
        </w:rPr>
        <w:t xml:space="preserve">software Microsoft </w:t>
      </w:r>
      <w:r>
        <w:rPr>
          <w:i/>
        </w:rPr>
        <w:t>Excel</w:t>
      </w:r>
      <w:r>
        <w:t xml:space="preserve"> para análise posterior. As informações nos relatórios de sustentabilidade foram coletadas por meio da busca de termos relacionados ao tema: fornecedor, fornecedores, avaliação, social, ambiental, GRI e padrões.  </w:t>
      </w:r>
    </w:p>
    <w:p w14:paraId="285F1606" w14:textId="77777777" w:rsidR="009E260D" w:rsidRDefault="009E260D" w:rsidP="00650284">
      <w:pPr>
        <w:ind w:firstLine="720"/>
      </w:pPr>
      <w:r>
        <w:rPr>
          <w:color w:val="FF0000"/>
          <w:highlight w:val="white"/>
        </w:rPr>
        <w:t xml:space="preserve"> </w:t>
      </w:r>
      <w:r>
        <w:t xml:space="preserve">Para a análise dos dados coletados nos relatórios de sustentabilidade adotou-se a análise de conteúdo, considerando os pressupostos de Bardin (1995). Inicialmente realiza-se a (i) </w:t>
      </w:r>
      <w:proofErr w:type="spellStart"/>
      <w:r>
        <w:t>pré-análise</w:t>
      </w:r>
      <w:proofErr w:type="spellEnd"/>
      <w:r>
        <w:t xml:space="preserve">, que neste estudo corresponde à leitura dos relatórios de sustentabilidade e organização dos fragmentos relacionados à avaliação socioambiental de fornecedores no </w:t>
      </w:r>
      <w:r>
        <w:rPr>
          <w:i/>
          <w:highlight w:val="white"/>
        </w:rPr>
        <w:t xml:space="preserve">software Microsoft Excel. </w:t>
      </w:r>
      <w:r>
        <w:rPr>
          <w:highlight w:val="white"/>
        </w:rPr>
        <w:t>Posteriormente, realiza-se a (</w:t>
      </w:r>
      <w:proofErr w:type="spellStart"/>
      <w:r>
        <w:t>ii</w:t>
      </w:r>
      <w:proofErr w:type="spellEnd"/>
      <w:r>
        <w:t>) exploração do material, que consiste na codificação e categorização dos fragmentos coletados, e o (</w:t>
      </w:r>
      <w:proofErr w:type="spellStart"/>
      <w:r>
        <w:t>iii</w:t>
      </w:r>
      <w:proofErr w:type="spellEnd"/>
      <w:r>
        <w:t xml:space="preserve">) tratamento dos resultados, que abrange a interpretação e a inferência do material. </w:t>
      </w:r>
    </w:p>
    <w:p w14:paraId="62DCBA0C" w14:textId="55594871" w:rsidR="009E260D" w:rsidRDefault="009E260D" w:rsidP="00650284">
      <w:pPr>
        <w:ind w:right="4" w:firstLine="708"/>
      </w:pPr>
      <w:r>
        <w:t xml:space="preserve">Para obter uma perspectiva geral do conteúdo analisado, os fragmentos coletados foram processados com auxílio do </w:t>
      </w:r>
      <w:r>
        <w:rPr>
          <w:i/>
        </w:rPr>
        <w:t>software</w:t>
      </w:r>
      <w:r>
        <w:t xml:space="preserve"> </w:t>
      </w:r>
      <w:proofErr w:type="spellStart"/>
      <w:r>
        <w:t>Iramuteq</w:t>
      </w:r>
      <w:proofErr w:type="spellEnd"/>
      <w:r>
        <w:t xml:space="preserve"> (</w:t>
      </w:r>
      <w:r>
        <w:rPr>
          <w:i/>
        </w:rPr>
        <w:t xml:space="preserve">Interface de R </w:t>
      </w:r>
      <w:proofErr w:type="spellStart"/>
      <w:r>
        <w:rPr>
          <w:i/>
        </w:rPr>
        <w:t>pour</w:t>
      </w:r>
      <w:proofErr w:type="spellEnd"/>
      <w:r>
        <w:rPr>
          <w:i/>
        </w:rPr>
        <w:t xml:space="preserve"> </w:t>
      </w:r>
      <w:proofErr w:type="spellStart"/>
      <w:r>
        <w:rPr>
          <w:i/>
        </w:rPr>
        <w:t>les</w:t>
      </w:r>
      <w:proofErr w:type="spellEnd"/>
      <w:r>
        <w:rPr>
          <w:i/>
        </w:rPr>
        <w:t xml:space="preserve"> </w:t>
      </w:r>
      <w:proofErr w:type="spellStart"/>
      <w:r>
        <w:rPr>
          <w:i/>
        </w:rPr>
        <w:t>Analyses</w:t>
      </w:r>
      <w:proofErr w:type="spellEnd"/>
      <w:r>
        <w:rPr>
          <w:i/>
        </w:rPr>
        <w:t xml:space="preserve"> </w:t>
      </w:r>
      <w:proofErr w:type="spellStart"/>
      <w:r>
        <w:rPr>
          <w:i/>
        </w:rPr>
        <w:t>Multidimensionnelles</w:t>
      </w:r>
      <w:proofErr w:type="spellEnd"/>
      <w:r>
        <w:rPr>
          <w:i/>
        </w:rPr>
        <w:t xml:space="preserve"> de </w:t>
      </w:r>
      <w:proofErr w:type="spellStart"/>
      <w:r>
        <w:rPr>
          <w:i/>
        </w:rPr>
        <w:t>Textes</w:t>
      </w:r>
      <w:proofErr w:type="spellEnd"/>
      <w:r>
        <w:rPr>
          <w:i/>
        </w:rPr>
        <w:t xml:space="preserve"> et de </w:t>
      </w:r>
      <w:proofErr w:type="spellStart"/>
      <w:r>
        <w:rPr>
          <w:i/>
        </w:rPr>
        <w:t>Questionnaires</w:t>
      </w:r>
      <w:proofErr w:type="spellEnd"/>
      <w:r>
        <w:t xml:space="preserve">). Por meio do </w:t>
      </w:r>
      <w:proofErr w:type="spellStart"/>
      <w:r>
        <w:t>Iramuteq</w:t>
      </w:r>
      <w:proofErr w:type="spellEnd"/>
      <w:r>
        <w:t xml:space="preserve"> é possível identificar informações importantes contidas num corpus textual por meio de análises estatísticas textuais (Camargo &amp; Justo, 2013). Para fins desta investigação, adotou-se a análise de similitude, que é ancorada na Teoria dos Grafos (</w:t>
      </w:r>
      <w:r>
        <w:rPr>
          <w:highlight w:val="white"/>
        </w:rPr>
        <w:t xml:space="preserve">Marchand &amp; </w:t>
      </w:r>
      <w:proofErr w:type="spellStart"/>
      <w:r>
        <w:rPr>
          <w:highlight w:val="white"/>
        </w:rPr>
        <w:t>Ratinaud</w:t>
      </w:r>
      <w:proofErr w:type="spellEnd"/>
      <w:r>
        <w:rPr>
          <w:highlight w:val="white"/>
        </w:rPr>
        <w:t>, 2012</w:t>
      </w:r>
      <w:r>
        <w:t xml:space="preserve">). </w:t>
      </w:r>
      <w:r>
        <w:rPr>
          <w:highlight w:val="white"/>
        </w:rPr>
        <w:t>De acordo com</w:t>
      </w:r>
      <w:r>
        <w:t xml:space="preserve"> Camargo e Justo (2013), a análise de similitude permite identificar </w:t>
      </w:r>
      <w:proofErr w:type="spellStart"/>
      <w:r>
        <w:t>coocorrências</w:t>
      </w:r>
      <w:proofErr w:type="spellEnd"/>
      <w:r>
        <w:t xml:space="preserve"> entre os termos utilizados no corpus textual, de modo a demonstrar conexões entre palavras e permitir identificar estruturas de representação. </w:t>
      </w:r>
    </w:p>
    <w:p w14:paraId="6A06FF42" w14:textId="297B7AF8" w:rsidR="009E260D" w:rsidRDefault="009E260D" w:rsidP="00650284">
      <w:pPr>
        <w:ind w:right="4" w:firstLine="0"/>
      </w:pPr>
    </w:p>
    <w:p w14:paraId="01293678" w14:textId="07238669" w:rsidR="009E260D" w:rsidRPr="00650284" w:rsidRDefault="009E260D" w:rsidP="00650284">
      <w:pPr>
        <w:ind w:right="4" w:firstLine="0"/>
        <w:rPr>
          <w:b/>
          <w:bCs/>
        </w:rPr>
      </w:pPr>
      <w:r w:rsidRPr="00650284">
        <w:rPr>
          <w:b/>
          <w:bCs/>
        </w:rPr>
        <w:t>4</w:t>
      </w:r>
      <w:r w:rsidR="006B7720" w:rsidRPr="00650284">
        <w:rPr>
          <w:b/>
          <w:bCs/>
        </w:rPr>
        <w:t xml:space="preserve"> </w:t>
      </w:r>
      <w:r w:rsidR="003619F4">
        <w:rPr>
          <w:b/>
          <w:bCs/>
        </w:rPr>
        <w:t xml:space="preserve">Resultados e discussões </w:t>
      </w:r>
      <w:r w:rsidRPr="00650284">
        <w:rPr>
          <w:b/>
          <w:bCs/>
        </w:rPr>
        <w:t xml:space="preserve"> </w:t>
      </w:r>
    </w:p>
    <w:p w14:paraId="467E8D2D" w14:textId="07664675" w:rsidR="009E260D" w:rsidRDefault="009E260D" w:rsidP="00650284">
      <w:pPr>
        <w:ind w:firstLine="0"/>
        <w:rPr>
          <w:b/>
        </w:rPr>
      </w:pPr>
      <w:r w:rsidRPr="00650284">
        <w:rPr>
          <w:b/>
        </w:rPr>
        <w:t>4.1 Características das empresas e análise de evidenciação</w:t>
      </w:r>
      <w:r>
        <w:rPr>
          <w:b/>
        </w:rPr>
        <w:t xml:space="preserve"> </w:t>
      </w:r>
    </w:p>
    <w:p w14:paraId="2DFAA060" w14:textId="77777777" w:rsidR="009E260D" w:rsidRDefault="009E260D" w:rsidP="00650284">
      <w:r>
        <w:t>O Índice de Sustentabilidade Empresarial (ISE) é uma iniciativa pioneira na América Latina e busca proporcionar um ambiente de investimento em que as organizações cumpram demandas voltadas à sustentabilidade e responsabilidade ética (</w:t>
      </w:r>
      <w:r>
        <w:rPr>
          <w:highlight w:val="white"/>
        </w:rPr>
        <w:t>B3</w:t>
      </w:r>
      <w:r>
        <w:t xml:space="preserve">, 2019). Os setores com mais representatividade no ISE B3 são energia elétrica (23,7%), financeiro (15,8%) e alimentos (10,5%). Quanto aos níveis de governança corporativa, 73,7% das 38 empresas analisadas são do Novo Mercado. Estas empresas são </w:t>
      </w:r>
      <w:r>
        <w:rPr>
          <w:highlight w:val="white"/>
        </w:rPr>
        <w:t>comprometidas a adotarem, de forma voluntária, práticas de governança corporativa além das exigidas por lei</w:t>
      </w:r>
      <w:r>
        <w:t xml:space="preserve">. Destaca-se ainda que há um equilíbrio quanto ao ano de publicação do último relatório de sustentabilidade, sendo 47,4% publicados em 2019 e 52,6% em 2020.  </w:t>
      </w:r>
    </w:p>
    <w:p w14:paraId="7510FC6F" w14:textId="57826195" w:rsidR="0008492B" w:rsidRDefault="009E260D" w:rsidP="00650284">
      <w:r>
        <w:t xml:space="preserve">Todas as 38 empresas analisadas informaram, em seus relatórios, estar em conformidade com os padrões GRI 308 e 414, sobre avaliação ambiental e social de fornecedores, respectivamente. A Tabela 2 apresenta o nível de evidenciação dos requisitos de relato conforme </w:t>
      </w:r>
      <w:r>
        <w:lastRenderedPageBreak/>
        <w:t xml:space="preserve">os padrões GRI 308 e 414. </w:t>
      </w:r>
    </w:p>
    <w:p w14:paraId="494BB884" w14:textId="34E5690C" w:rsidR="002430E2" w:rsidRDefault="002430E2" w:rsidP="006720C5">
      <w:pPr>
        <w:ind w:firstLine="0"/>
      </w:pPr>
    </w:p>
    <w:p w14:paraId="5FFBAF06" w14:textId="574A6597" w:rsidR="006720C5" w:rsidRPr="006720C5" w:rsidRDefault="006720C5" w:rsidP="006720C5">
      <w:pPr>
        <w:widowControl/>
        <w:suppressLineNumbers w:val="0"/>
        <w:suppressAutoHyphens w:val="0"/>
        <w:ind w:firstLine="0"/>
        <w:jc w:val="left"/>
        <w:rPr>
          <w:b/>
          <w:bCs/>
        </w:rPr>
      </w:pPr>
      <w:r w:rsidRPr="006720C5">
        <w:rPr>
          <w:b/>
          <w:bCs/>
          <w:highlight w:val="white"/>
        </w:rPr>
        <w:t xml:space="preserve">Tabela </w:t>
      </w:r>
      <w:r w:rsidRPr="006720C5">
        <w:rPr>
          <w:b/>
          <w:bCs/>
        </w:rPr>
        <w:t>2</w:t>
      </w:r>
    </w:p>
    <w:p w14:paraId="61A7C0D5" w14:textId="77777777" w:rsidR="002430E2" w:rsidRPr="006720C5" w:rsidRDefault="002430E2" w:rsidP="00650284">
      <w:pPr>
        <w:widowControl/>
        <w:suppressLineNumbers w:val="0"/>
        <w:suppressAutoHyphens w:val="0"/>
        <w:ind w:firstLine="0"/>
        <w:rPr>
          <w:bCs/>
          <w:i/>
          <w:iCs/>
        </w:rPr>
      </w:pPr>
      <w:r w:rsidRPr="006720C5">
        <w:rPr>
          <w:bCs/>
          <w:i/>
          <w:iCs/>
        </w:rPr>
        <w:t>Evidenciação dos requisit</w:t>
      </w:r>
      <w:r w:rsidRPr="006720C5">
        <w:rPr>
          <w:bCs/>
          <w:i/>
          <w:iCs/>
          <w:highlight w:val="white"/>
        </w:rPr>
        <w:t>os de relato d</w:t>
      </w:r>
      <w:r w:rsidRPr="006720C5">
        <w:rPr>
          <w:bCs/>
          <w:i/>
          <w:iCs/>
        </w:rPr>
        <w:t>os padrões GRI 308 e 414</w:t>
      </w:r>
    </w:p>
    <w:tbl>
      <w:tblPr>
        <w:tblW w:w="0" w:type="auto"/>
        <w:jc w:val="center"/>
        <w:tblLook w:val="0400" w:firstRow="0" w:lastRow="0" w:firstColumn="0" w:lastColumn="0" w:noHBand="0" w:noVBand="1"/>
      </w:tblPr>
      <w:tblGrid>
        <w:gridCol w:w="1300"/>
        <w:gridCol w:w="1167"/>
        <w:gridCol w:w="1184"/>
        <w:gridCol w:w="1064"/>
        <w:gridCol w:w="1379"/>
        <w:gridCol w:w="1081"/>
        <w:gridCol w:w="1064"/>
        <w:gridCol w:w="1166"/>
      </w:tblGrid>
      <w:tr w:rsidR="002430E2" w:rsidRPr="002430E2" w14:paraId="250D2F99" w14:textId="77777777" w:rsidTr="000D0D14">
        <w:trPr>
          <w:jc w:val="center"/>
        </w:trPr>
        <w:tc>
          <w:tcPr>
            <w:tcW w:w="0" w:type="auto"/>
            <w:tcBorders>
              <w:top w:val="single" w:sz="4" w:space="0" w:color="auto"/>
              <w:bottom w:val="single" w:sz="4" w:space="0" w:color="auto"/>
            </w:tcBorders>
          </w:tcPr>
          <w:p w14:paraId="7B9D99AC" w14:textId="77777777" w:rsidR="002430E2" w:rsidRPr="002430E2" w:rsidRDefault="002430E2" w:rsidP="00650284">
            <w:pPr>
              <w:widowControl/>
              <w:suppressLineNumbers w:val="0"/>
              <w:suppressAutoHyphens w:val="0"/>
              <w:ind w:firstLine="0"/>
              <w:jc w:val="center"/>
              <w:rPr>
                <w:b/>
                <w:sz w:val="20"/>
                <w:szCs w:val="20"/>
              </w:rPr>
            </w:pPr>
            <w:r w:rsidRPr="002430E2">
              <w:rPr>
                <w:b/>
                <w:sz w:val="20"/>
                <w:szCs w:val="20"/>
              </w:rPr>
              <w:t>Empresa</w:t>
            </w:r>
          </w:p>
        </w:tc>
        <w:tc>
          <w:tcPr>
            <w:tcW w:w="0" w:type="auto"/>
            <w:tcBorders>
              <w:top w:val="single" w:sz="4" w:space="0" w:color="auto"/>
              <w:bottom w:val="single" w:sz="4" w:space="0" w:color="auto"/>
            </w:tcBorders>
          </w:tcPr>
          <w:p w14:paraId="681D43B5" w14:textId="77777777" w:rsidR="002430E2" w:rsidRPr="002430E2" w:rsidRDefault="002430E2" w:rsidP="00650284">
            <w:pPr>
              <w:widowControl/>
              <w:suppressLineNumbers w:val="0"/>
              <w:suppressAutoHyphens w:val="0"/>
              <w:ind w:left="-120" w:right="-68" w:firstLine="0"/>
              <w:jc w:val="center"/>
              <w:rPr>
                <w:b/>
                <w:sz w:val="20"/>
                <w:szCs w:val="20"/>
              </w:rPr>
            </w:pPr>
            <w:r w:rsidRPr="002430E2">
              <w:rPr>
                <w:b/>
                <w:sz w:val="20"/>
                <w:szCs w:val="20"/>
              </w:rPr>
              <w:t>% Divulgação requisitos GRI 308</w:t>
            </w:r>
          </w:p>
        </w:tc>
        <w:tc>
          <w:tcPr>
            <w:tcW w:w="0" w:type="auto"/>
            <w:tcBorders>
              <w:top w:val="single" w:sz="4" w:space="0" w:color="auto"/>
              <w:bottom w:val="single" w:sz="4" w:space="0" w:color="auto"/>
            </w:tcBorders>
          </w:tcPr>
          <w:p w14:paraId="45BB6A12" w14:textId="77777777" w:rsidR="002430E2" w:rsidRPr="002430E2" w:rsidRDefault="002430E2" w:rsidP="00650284">
            <w:pPr>
              <w:widowControl/>
              <w:suppressLineNumbers w:val="0"/>
              <w:suppressAutoHyphens w:val="0"/>
              <w:ind w:left="-104" w:right="-72" w:firstLine="3"/>
              <w:jc w:val="center"/>
              <w:rPr>
                <w:b/>
                <w:sz w:val="20"/>
                <w:szCs w:val="20"/>
              </w:rPr>
            </w:pPr>
            <w:r w:rsidRPr="002430E2">
              <w:rPr>
                <w:b/>
                <w:sz w:val="20"/>
                <w:szCs w:val="20"/>
              </w:rPr>
              <w:t>% Divulgação requisitos GRI 414</w:t>
            </w:r>
          </w:p>
        </w:tc>
        <w:tc>
          <w:tcPr>
            <w:tcW w:w="0" w:type="auto"/>
            <w:tcBorders>
              <w:top w:val="single" w:sz="4" w:space="0" w:color="auto"/>
              <w:bottom w:val="single" w:sz="4" w:space="0" w:color="auto"/>
            </w:tcBorders>
          </w:tcPr>
          <w:p w14:paraId="41E0FCEC" w14:textId="77777777" w:rsidR="002430E2" w:rsidRPr="002430E2" w:rsidRDefault="002430E2" w:rsidP="00650284">
            <w:pPr>
              <w:widowControl/>
              <w:suppressLineNumbers w:val="0"/>
              <w:suppressAutoHyphens w:val="0"/>
              <w:ind w:left="-128" w:right="-112" w:firstLine="0"/>
              <w:jc w:val="center"/>
              <w:rPr>
                <w:b/>
                <w:sz w:val="20"/>
                <w:szCs w:val="20"/>
              </w:rPr>
            </w:pPr>
            <w:r w:rsidRPr="002430E2">
              <w:rPr>
                <w:b/>
                <w:sz w:val="20"/>
                <w:szCs w:val="20"/>
              </w:rPr>
              <w:t>%</w:t>
            </w:r>
          </w:p>
          <w:p w14:paraId="6F53AF0A" w14:textId="77777777" w:rsidR="002430E2" w:rsidRPr="002430E2" w:rsidRDefault="002430E2" w:rsidP="00650284">
            <w:pPr>
              <w:widowControl/>
              <w:suppressLineNumbers w:val="0"/>
              <w:suppressAutoHyphens w:val="0"/>
              <w:ind w:left="-128" w:right="-112" w:firstLine="0"/>
              <w:jc w:val="center"/>
              <w:rPr>
                <w:b/>
                <w:sz w:val="20"/>
                <w:szCs w:val="20"/>
              </w:rPr>
            </w:pPr>
            <w:r w:rsidRPr="002430E2">
              <w:rPr>
                <w:b/>
                <w:sz w:val="20"/>
                <w:szCs w:val="20"/>
              </w:rPr>
              <w:t xml:space="preserve">Total de divulgação </w:t>
            </w:r>
          </w:p>
          <w:p w14:paraId="786F1382" w14:textId="77777777" w:rsidR="002430E2" w:rsidRPr="002430E2" w:rsidRDefault="002430E2" w:rsidP="00650284">
            <w:pPr>
              <w:widowControl/>
              <w:suppressLineNumbers w:val="0"/>
              <w:suppressAutoHyphens w:val="0"/>
              <w:ind w:left="-128" w:right="-112" w:firstLine="0"/>
              <w:jc w:val="center"/>
              <w:rPr>
                <w:b/>
                <w:sz w:val="20"/>
                <w:szCs w:val="20"/>
                <w:highlight w:val="yellow"/>
              </w:rPr>
            </w:pPr>
            <w:r w:rsidRPr="002430E2">
              <w:rPr>
                <w:b/>
                <w:sz w:val="20"/>
                <w:szCs w:val="20"/>
              </w:rPr>
              <w:t xml:space="preserve">requisitos </w:t>
            </w:r>
          </w:p>
        </w:tc>
        <w:tc>
          <w:tcPr>
            <w:tcW w:w="0" w:type="auto"/>
            <w:tcBorders>
              <w:top w:val="single" w:sz="4" w:space="0" w:color="auto"/>
              <w:bottom w:val="single" w:sz="4" w:space="0" w:color="auto"/>
            </w:tcBorders>
          </w:tcPr>
          <w:p w14:paraId="584C4C40" w14:textId="77777777" w:rsidR="002430E2" w:rsidRPr="002430E2" w:rsidRDefault="002430E2" w:rsidP="00650284">
            <w:pPr>
              <w:widowControl/>
              <w:suppressLineNumbers w:val="0"/>
              <w:suppressAutoHyphens w:val="0"/>
              <w:ind w:firstLine="0"/>
              <w:jc w:val="center"/>
              <w:rPr>
                <w:b/>
                <w:sz w:val="20"/>
                <w:szCs w:val="20"/>
              </w:rPr>
            </w:pPr>
            <w:r w:rsidRPr="002430E2">
              <w:rPr>
                <w:b/>
                <w:sz w:val="20"/>
                <w:szCs w:val="20"/>
              </w:rPr>
              <w:t>Empresa</w:t>
            </w:r>
          </w:p>
        </w:tc>
        <w:tc>
          <w:tcPr>
            <w:tcW w:w="0" w:type="auto"/>
            <w:tcBorders>
              <w:top w:val="single" w:sz="4" w:space="0" w:color="auto"/>
              <w:bottom w:val="single" w:sz="4" w:space="0" w:color="auto"/>
            </w:tcBorders>
          </w:tcPr>
          <w:p w14:paraId="02160DFE" w14:textId="77777777" w:rsidR="002430E2" w:rsidRPr="002430E2" w:rsidRDefault="002430E2" w:rsidP="00650284">
            <w:pPr>
              <w:widowControl/>
              <w:suppressLineNumbers w:val="0"/>
              <w:suppressAutoHyphens w:val="0"/>
              <w:ind w:left="-135" w:right="-118" w:firstLine="0"/>
              <w:jc w:val="center"/>
              <w:rPr>
                <w:b/>
                <w:sz w:val="20"/>
                <w:szCs w:val="20"/>
              </w:rPr>
            </w:pPr>
            <w:r w:rsidRPr="002430E2">
              <w:rPr>
                <w:b/>
                <w:sz w:val="20"/>
                <w:szCs w:val="20"/>
              </w:rPr>
              <w:t>% Divulgação</w:t>
            </w:r>
          </w:p>
          <w:p w14:paraId="23237B7A" w14:textId="77777777" w:rsidR="002430E2" w:rsidRPr="002430E2" w:rsidRDefault="002430E2" w:rsidP="00650284">
            <w:pPr>
              <w:widowControl/>
              <w:suppressLineNumbers w:val="0"/>
              <w:suppressAutoHyphens w:val="0"/>
              <w:ind w:left="-135" w:right="-118" w:firstLine="0"/>
              <w:jc w:val="center"/>
              <w:rPr>
                <w:b/>
                <w:sz w:val="20"/>
                <w:szCs w:val="20"/>
              </w:rPr>
            </w:pPr>
            <w:r w:rsidRPr="002430E2">
              <w:rPr>
                <w:b/>
                <w:sz w:val="20"/>
                <w:szCs w:val="20"/>
              </w:rPr>
              <w:t>requisitos GRI 308</w:t>
            </w:r>
          </w:p>
        </w:tc>
        <w:tc>
          <w:tcPr>
            <w:tcW w:w="0" w:type="auto"/>
            <w:tcBorders>
              <w:top w:val="single" w:sz="4" w:space="0" w:color="auto"/>
              <w:bottom w:val="single" w:sz="4" w:space="0" w:color="auto"/>
            </w:tcBorders>
          </w:tcPr>
          <w:p w14:paraId="2344C5A0" w14:textId="77777777" w:rsidR="002430E2" w:rsidRPr="002430E2" w:rsidRDefault="002430E2" w:rsidP="00650284">
            <w:pPr>
              <w:widowControl/>
              <w:suppressLineNumbers w:val="0"/>
              <w:suppressAutoHyphens w:val="0"/>
              <w:ind w:left="-153" w:right="-121" w:firstLine="20"/>
              <w:jc w:val="center"/>
              <w:rPr>
                <w:b/>
                <w:sz w:val="20"/>
                <w:szCs w:val="20"/>
              </w:rPr>
            </w:pPr>
            <w:r w:rsidRPr="002430E2">
              <w:rPr>
                <w:b/>
                <w:sz w:val="20"/>
                <w:szCs w:val="20"/>
              </w:rPr>
              <w:t>% Divulgação</w:t>
            </w:r>
          </w:p>
          <w:p w14:paraId="205E4E7D" w14:textId="77777777" w:rsidR="002430E2" w:rsidRPr="002430E2" w:rsidRDefault="002430E2" w:rsidP="00650284">
            <w:pPr>
              <w:widowControl/>
              <w:suppressLineNumbers w:val="0"/>
              <w:suppressAutoHyphens w:val="0"/>
              <w:ind w:left="-153" w:right="-121" w:firstLine="20"/>
              <w:jc w:val="center"/>
              <w:rPr>
                <w:b/>
                <w:sz w:val="20"/>
                <w:szCs w:val="20"/>
              </w:rPr>
            </w:pPr>
            <w:r w:rsidRPr="002430E2">
              <w:rPr>
                <w:b/>
                <w:sz w:val="20"/>
                <w:szCs w:val="20"/>
              </w:rPr>
              <w:t>requisitos GRI 414</w:t>
            </w:r>
          </w:p>
        </w:tc>
        <w:tc>
          <w:tcPr>
            <w:tcW w:w="0" w:type="auto"/>
            <w:tcBorders>
              <w:top w:val="single" w:sz="4" w:space="0" w:color="auto"/>
              <w:bottom w:val="single" w:sz="4" w:space="0" w:color="auto"/>
            </w:tcBorders>
          </w:tcPr>
          <w:p w14:paraId="5CF5D033" w14:textId="77777777" w:rsidR="002430E2" w:rsidRPr="002430E2" w:rsidRDefault="002430E2" w:rsidP="00650284">
            <w:pPr>
              <w:widowControl/>
              <w:suppressLineNumbers w:val="0"/>
              <w:suppressAutoHyphens w:val="0"/>
              <w:ind w:left="-95" w:right="-15" w:firstLine="0"/>
              <w:jc w:val="center"/>
              <w:rPr>
                <w:b/>
                <w:sz w:val="20"/>
                <w:szCs w:val="20"/>
              </w:rPr>
            </w:pPr>
            <w:r w:rsidRPr="002430E2">
              <w:rPr>
                <w:b/>
                <w:sz w:val="20"/>
                <w:szCs w:val="20"/>
              </w:rPr>
              <w:t xml:space="preserve">% </w:t>
            </w:r>
          </w:p>
          <w:p w14:paraId="5D41169B" w14:textId="77777777" w:rsidR="002430E2" w:rsidRPr="002430E2" w:rsidRDefault="002430E2" w:rsidP="00650284">
            <w:pPr>
              <w:widowControl/>
              <w:suppressLineNumbers w:val="0"/>
              <w:suppressAutoHyphens w:val="0"/>
              <w:ind w:left="-95" w:right="-15" w:firstLine="0"/>
              <w:jc w:val="center"/>
              <w:rPr>
                <w:b/>
                <w:sz w:val="20"/>
                <w:szCs w:val="20"/>
              </w:rPr>
            </w:pPr>
            <w:r w:rsidRPr="002430E2">
              <w:rPr>
                <w:b/>
                <w:sz w:val="20"/>
                <w:szCs w:val="20"/>
              </w:rPr>
              <w:t xml:space="preserve">Total Divulgação requisitos </w:t>
            </w:r>
          </w:p>
        </w:tc>
      </w:tr>
      <w:tr w:rsidR="002430E2" w:rsidRPr="002430E2" w14:paraId="6ED5A810" w14:textId="77777777" w:rsidTr="000D0D14">
        <w:trPr>
          <w:jc w:val="center"/>
        </w:trPr>
        <w:tc>
          <w:tcPr>
            <w:tcW w:w="0" w:type="auto"/>
            <w:tcBorders>
              <w:top w:val="single" w:sz="4" w:space="0" w:color="auto"/>
            </w:tcBorders>
            <w:vAlign w:val="center"/>
          </w:tcPr>
          <w:p w14:paraId="05E7BAA8" w14:textId="77777777" w:rsidR="002430E2" w:rsidRPr="002430E2" w:rsidRDefault="002430E2" w:rsidP="00650284">
            <w:pPr>
              <w:widowControl/>
              <w:suppressLineNumbers w:val="0"/>
              <w:suppressAutoHyphens w:val="0"/>
              <w:ind w:firstLine="0"/>
              <w:jc w:val="left"/>
              <w:rPr>
                <w:sz w:val="20"/>
                <w:szCs w:val="20"/>
              </w:rPr>
            </w:pPr>
            <w:r w:rsidRPr="002430E2">
              <w:rPr>
                <w:sz w:val="20"/>
                <w:szCs w:val="20"/>
              </w:rPr>
              <w:t>AES Brasil</w:t>
            </w:r>
          </w:p>
        </w:tc>
        <w:tc>
          <w:tcPr>
            <w:tcW w:w="0" w:type="auto"/>
            <w:tcBorders>
              <w:top w:val="single" w:sz="4" w:space="0" w:color="auto"/>
            </w:tcBorders>
            <w:vAlign w:val="center"/>
          </w:tcPr>
          <w:p w14:paraId="25F069BE" w14:textId="77777777" w:rsidR="002430E2" w:rsidRPr="002430E2" w:rsidRDefault="002430E2" w:rsidP="00650284">
            <w:pPr>
              <w:widowControl/>
              <w:suppressLineNumbers w:val="0"/>
              <w:suppressAutoHyphens w:val="0"/>
              <w:ind w:firstLine="0"/>
              <w:jc w:val="center"/>
              <w:rPr>
                <w:sz w:val="20"/>
                <w:szCs w:val="20"/>
              </w:rPr>
            </w:pPr>
            <w:r w:rsidRPr="002430E2">
              <w:rPr>
                <w:sz w:val="20"/>
                <w:szCs w:val="20"/>
              </w:rPr>
              <w:t>0%</w:t>
            </w:r>
          </w:p>
        </w:tc>
        <w:tc>
          <w:tcPr>
            <w:tcW w:w="0" w:type="auto"/>
            <w:tcBorders>
              <w:top w:val="single" w:sz="4" w:space="0" w:color="auto"/>
            </w:tcBorders>
            <w:vAlign w:val="center"/>
          </w:tcPr>
          <w:p w14:paraId="13156608" w14:textId="77777777" w:rsidR="002430E2" w:rsidRPr="002430E2" w:rsidRDefault="002430E2" w:rsidP="00650284">
            <w:pPr>
              <w:widowControl/>
              <w:suppressLineNumbers w:val="0"/>
              <w:suppressAutoHyphens w:val="0"/>
              <w:ind w:firstLine="0"/>
              <w:jc w:val="center"/>
              <w:rPr>
                <w:sz w:val="20"/>
                <w:szCs w:val="20"/>
              </w:rPr>
            </w:pPr>
            <w:r w:rsidRPr="002430E2">
              <w:rPr>
                <w:sz w:val="20"/>
                <w:szCs w:val="20"/>
              </w:rPr>
              <w:t>0%</w:t>
            </w:r>
          </w:p>
        </w:tc>
        <w:tc>
          <w:tcPr>
            <w:tcW w:w="0" w:type="auto"/>
            <w:tcBorders>
              <w:top w:val="single" w:sz="4" w:space="0" w:color="auto"/>
            </w:tcBorders>
            <w:vAlign w:val="center"/>
          </w:tcPr>
          <w:p w14:paraId="36F809BD" w14:textId="77777777" w:rsidR="002430E2" w:rsidRPr="002430E2" w:rsidRDefault="002430E2" w:rsidP="00650284">
            <w:pPr>
              <w:widowControl/>
              <w:suppressLineNumbers w:val="0"/>
              <w:suppressAutoHyphens w:val="0"/>
              <w:ind w:firstLine="0"/>
              <w:jc w:val="center"/>
              <w:rPr>
                <w:sz w:val="20"/>
                <w:szCs w:val="20"/>
              </w:rPr>
            </w:pPr>
            <w:r w:rsidRPr="002430E2">
              <w:rPr>
                <w:sz w:val="20"/>
                <w:szCs w:val="20"/>
              </w:rPr>
              <w:t>0%</w:t>
            </w:r>
          </w:p>
        </w:tc>
        <w:tc>
          <w:tcPr>
            <w:tcW w:w="0" w:type="auto"/>
            <w:tcBorders>
              <w:top w:val="single" w:sz="4" w:space="0" w:color="auto"/>
            </w:tcBorders>
            <w:vAlign w:val="center"/>
          </w:tcPr>
          <w:p w14:paraId="649A606A" w14:textId="77777777" w:rsidR="002430E2" w:rsidRPr="002430E2" w:rsidRDefault="002430E2" w:rsidP="00650284">
            <w:pPr>
              <w:widowControl/>
              <w:suppressLineNumbers w:val="0"/>
              <w:suppressAutoHyphens w:val="0"/>
              <w:ind w:firstLine="0"/>
              <w:jc w:val="left"/>
              <w:rPr>
                <w:sz w:val="20"/>
                <w:szCs w:val="20"/>
              </w:rPr>
            </w:pPr>
            <w:r w:rsidRPr="002430E2">
              <w:rPr>
                <w:sz w:val="20"/>
                <w:szCs w:val="20"/>
              </w:rPr>
              <w:t>GPA</w:t>
            </w:r>
          </w:p>
        </w:tc>
        <w:tc>
          <w:tcPr>
            <w:tcW w:w="0" w:type="auto"/>
            <w:tcBorders>
              <w:top w:val="single" w:sz="4" w:space="0" w:color="auto"/>
            </w:tcBorders>
            <w:vAlign w:val="center"/>
          </w:tcPr>
          <w:p w14:paraId="1171AAA9" w14:textId="77777777" w:rsidR="002430E2" w:rsidRPr="002430E2" w:rsidRDefault="002430E2" w:rsidP="00650284">
            <w:pPr>
              <w:widowControl/>
              <w:suppressLineNumbers w:val="0"/>
              <w:suppressAutoHyphens w:val="0"/>
              <w:ind w:firstLine="0"/>
              <w:jc w:val="center"/>
              <w:rPr>
                <w:sz w:val="20"/>
                <w:szCs w:val="20"/>
              </w:rPr>
            </w:pPr>
            <w:r w:rsidRPr="002430E2">
              <w:rPr>
                <w:sz w:val="20"/>
                <w:szCs w:val="20"/>
              </w:rPr>
              <w:t>0%</w:t>
            </w:r>
          </w:p>
        </w:tc>
        <w:tc>
          <w:tcPr>
            <w:tcW w:w="0" w:type="auto"/>
            <w:tcBorders>
              <w:top w:val="single" w:sz="4" w:space="0" w:color="auto"/>
            </w:tcBorders>
            <w:vAlign w:val="center"/>
          </w:tcPr>
          <w:p w14:paraId="50ACDB4D" w14:textId="77777777" w:rsidR="002430E2" w:rsidRPr="002430E2" w:rsidRDefault="002430E2" w:rsidP="00650284">
            <w:pPr>
              <w:widowControl/>
              <w:suppressLineNumbers w:val="0"/>
              <w:suppressAutoHyphens w:val="0"/>
              <w:ind w:firstLine="0"/>
              <w:jc w:val="center"/>
              <w:rPr>
                <w:sz w:val="20"/>
                <w:szCs w:val="20"/>
              </w:rPr>
            </w:pPr>
            <w:r w:rsidRPr="002430E2">
              <w:rPr>
                <w:sz w:val="20"/>
                <w:szCs w:val="20"/>
              </w:rPr>
              <w:t>0%</w:t>
            </w:r>
          </w:p>
        </w:tc>
        <w:tc>
          <w:tcPr>
            <w:tcW w:w="0" w:type="auto"/>
            <w:tcBorders>
              <w:top w:val="single" w:sz="4" w:space="0" w:color="auto"/>
            </w:tcBorders>
            <w:vAlign w:val="center"/>
          </w:tcPr>
          <w:p w14:paraId="126604DF" w14:textId="77777777" w:rsidR="002430E2" w:rsidRPr="002430E2" w:rsidRDefault="002430E2" w:rsidP="00650284">
            <w:pPr>
              <w:widowControl/>
              <w:suppressLineNumbers w:val="0"/>
              <w:suppressAutoHyphens w:val="0"/>
              <w:ind w:firstLine="0"/>
              <w:jc w:val="center"/>
              <w:rPr>
                <w:sz w:val="20"/>
                <w:szCs w:val="20"/>
              </w:rPr>
            </w:pPr>
            <w:r w:rsidRPr="002430E2">
              <w:rPr>
                <w:sz w:val="20"/>
                <w:szCs w:val="20"/>
              </w:rPr>
              <w:t>0%</w:t>
            </w:r>
          </w:p>
        </w:tc>
      </w:tr>
      <w:tr w:rsidR="002430E2" w:rsidRPr="002430E2" w14:paraId="06E5767B" w14:textId="77777777" w:rsidTr="000D0D14">
        <w:trPr>
          <w:jc w:val="center"/>
        </w:trPr>
        <w:tc>
          <w:tcPr>
            <w:tcW w:w="0" w:type="auto"/>
            <w:vAlign w:val="center"/>
          </w:tcPr>
          <w:p w14:paraId="159D71D7" w14:textId="77777777" w:rsidR="002430E2" w:rsidRPr="002430E2" w:rsidRDefault="002430E2" w:rsidP="00650284">
            <w:pPr>
              <w:widowControl/>
              <w:suppressLineNumbers w:val="0"/>
              <w:suppressAutoHyphens w:val="0"/>
              <w:ind w:firstLine="0"/>
              <w:jc w:val="left"/>
              <w:rPr>
                <w:sz w:val="20"/>
                <w:szCs w:val="20"/>
              </w:rPr>
            </w:pPr>
            <w:r w:rsidRPr="002430E2">
              <w:rPr>
                <w:sz w:val="20"/>
                <w:szCs w:val="20"/>
              </w:rPr>
              <w:t>B2W</w:t>
            </w:r>
          </w:p>
        </w:tc>
        <w:tc>
          <w:tcPr>
            <w:tcW w:w="0" w:type="auto"/>
            <w:vAlign w:val="center"/>
          </w:tcPr>
          <w:p w14:paraId="5424FAAE" w14:textId="77777777" w:rsidR="002430E2" w:rsidRPr="002430E2" w:rsidRDefault="002430E2" w:rsidP="00650284">
            <w:pPr>
              <w:widowControl/>
              <w:suppressLineNumbers w:val="0"/>
              <w:suppressAutoHyphens w:val="0"/>
              <w:ind w:firstLine="0"/>
              <w:jc w:val="center"/>
              <w:rPr>
                <w:sz w:val="20"/>
                <w:szCs w:val="20"/>
              </w:rPr>
            </w:pPr>
            <w:r w:rsidRPr="002430E2">
              <w:rPr>
                <w:sz w:val="20"/>
                <w:szCs w:val="20"/>
              </w:rPr>
              <w:t>0%</w:t>
            </w:r>
          </w:p>
        </w:tc>
        <w:tc>
          <w:tcPr>
            <w:tcW w:w="0" w:type="auto"/>
            <w:vAlign w:val="center"/>
          </w:tcPr>
          <w:p w14:paraId="29B1BA2E" w14:textId="77777777" w:rsidR="002430E2" w:rsidRPr="002430E2" w:rsidRDefault="002430E2" w:rsidP="00650284">
            <w:pPr>
              <w:widowControl/>
              <w:suppressLineNumbers w:val="0"/>
              <w:suppressAutoHyphens w:val="0"/>
              <w:ind w:firstLine="0"/>
              <w:jc w:val="center"/>
              <w:rPr>
                <w:sz w:val="20"/>
                <w:szCs w:val="20"/>
              </w:rPr>
            </w:pPr>
            <w:r w:rsidRPr="002430E2">
              <w:rPr>
                <w:sz w:val="20"/>
                <w:szCs w:val="20"/>
              </w:rPr>
              <w:t>0%</w:t>
            </w:r>
          </w:p>
        </w:tc>
        <w:tc>
          <w:tcPr>
            <w:tcW w:w="0" w:type="auto"/>
            <w:vAlign w:val="center"/>
          </w:tcPr>
          <w:p w14:paraId="22404FCE" w14:textId="77777777" w:rsidR="002430E2" w:rsidRPr="002430E2" w:rsidRDefault="002430E2" w:rsidP="00650284">
            <w:pPr>
              <w:widowControl/>
              <w:suppressLineNumbers w:val="0"/>
              <w:suppressAutoHyphens w:val="0"/>
              <w:ind w:firstLine="0"/>
              <w:jc w:val="center"/>
              <w:rPr>
                <w:sz w:val="20"/>
                <w:szCs w:val="20"/>
              </w:rPr>
            </w:pPr>
            <w:r w:rsidRPr="002430E2">
              <w:rPr>
                <w:sz w:val="20"/>
                <w:szCs w:val="20"/>
              </w:rPr>
              <w:t>0%</w:t>
            </w:r>
          </w:p>
        </w:tc>
        <w:tc>
          <w:tcPr>
            <w:tcW w:w="0" w:type="auto"/>
            <w:vAlign w:val="center"/>
          </w:tcPr>
          <w:p w14:paraId="18424431" w14:textId="77777777" w:rsidR="002430E2" w:rsidRPr="002430E2" w:rsidRDefault="002430E2" w:rsidP="00650284">
            <w:pPr>
              <w:widowControl/>
              <w:suppressLineNumbers w:val="0"/>
              <w:suppressAutoHyphens w:val="0"/>
              <w:ind w:firstLine="0"/>
              <w:jc w:val="left"/>
              <w:rPr>
                <w:sz w:val="20"/>
                <w:szCs w:val="20"/>
              </w:rPr>
            </w:pPr>
            <w:r w:rsidRPr="002430E2">
              <w:rPr>
                <w:sz w:val="20"/>
                <w:szCs w:val="20"/>
              </w:rPr>
              <w:t>Itaú/Unibanco</w:t>
            </w:r>
          </w:p>
        </w:tc>
        <w:tc>
          <w:tcPr>
            <w:tcW w:w="0" w:type="auto"/>
            <w:vAlign w:val="center"/>
          </w:tcPr>
          <w:p w14:paraId="413EC1AD" w14:textId="77777777" w:rsidR="002430E2" w:rsidRPr="002430E2" w:rsidRDefault="002430E2" w:rsidP="00650284">
            <w:pPr>
              <w:widowControl/>
              <w:suppressLineNumbers w:val="0"/>
              <w:suppressAutoHyphens w:val="0"/>
              <w:ind w:firstLine="0"/>
              <w:jc w:val="center"/>
              <w:rPr>
                <w:sz w:val="20"/>
                <w:szCs w:val="20"/>
              </w:rPr>
            </w:pPr>
            <w:r w:rsidRPr="002430E2">
              <w:rPr>
                <w:sz w:val="20"/>
                <w:szCs w:val="20"/>
              </w:rPr>
              <w:t>16,7%</w:t>
            </w:r>
          </w:p>
        </w:tc>
        <w:tc>
          <w:tcPr>
            <w:tcW w:w="0" w:type="auto"/>
            <w:vAlign w:val="center"/>
          </w:tcPr>
          <w:p w14:paraId="1F98D454" w14:textId="77777777" w:rsidR="002430E2" w:rsidRPr="002430E2" w:rsidRDefault="002430E2" w:rsidP="00650284">
            <w:pPr>
              <w:widowControl/>
              <w:suppressLineNumbers w:val="0"/>
              <w:suppressAutoHyphens w:val="0"/>
              <w:ind w:firstLine="0"/>
              <w:jc w:val="center"/>
              <w:rPr>
                <w:sz w:val="20"/>
                <w:szCs w:val="20"/>
              </w:rPr>
            </w:pPr>
            <w:r w:rsidRPr="002430E2">
              <w:rPr>
                <w:sz w:val="20"/>
                <w:szCs w:val="20"/>
              </w:rPr>
              <w:t>16,7%</w:t>
            </w:r>
          </w:p>
        </w:tc>
        <w:tc>
          <w:tcPr>
            <w:tcW w:w="0" w:type="auto"/>
            <w:vAlign w:val="center"/>
          </w:tcPr>
          <w:p w14:paraId="4516631F" w14:textId="77777777" w:rsidR="002430E2" w:rsidRPr="002430E2" w:rsidRDefault="002430E2" w:rsidP="00650284">
            <w:pPr>
              <w:widowControl/>
              <w:suppressLineNumbers w:val="0"/>
              <w:suppressAutoHyphens w:val="0"/>
              <w:ind w:firstLine="0"/>
              <w:jc w:val="center"/>
              <w:rPr>
                <w:sz w:val="20"/>
                <w:szCs w:val="20"/>
              </w:rPr>
            </w:pPr>
            <w:r w:rsidRPr="002430E2">
              <w:rPr>
                <w:sz w:val="20"/>
                <w:szCs w:val="20"/>
              </w:rPr>
              <w:t>16,7%</w:t>
            </w:r>
          </w:p>
        </w:tc>
      </w:tr>
      <w:tr w:rsidR="002430E2" w:rsidRPr="002430E2" w14:paraId="3697B0BB" w14:textId="77777777" w:rsidTr="000D0D14">
        <w:trPr>
          <w:jc w:val="center"/>
        </w:trPr>
        <w:tc>
          <w:tcPr>
            <w:tcW w:w="0" w:type="auto"/>
            <w:vAlign w:val="center"/>
          </w:tcPr>
          <w:p w14:paraId="2BFEF479" w14:textId="77777777" w:rsidR="002430E2" w:rsidRPr="002430E2" w:rsidRDefault="002430E2" w:rsidP="00650284">
            <w:pPr>
              <w:widowControl/>
              <w:suppressLineNumbers w:val="0"/>
              <w:suppressAutoHyphens w:val="0"/>
              <w:ind w:firstLine="0"/>
              <w:jc w:val="left"/>
              <w:rPr>
                <w:sz w:val="20"/>
                <w:szCs w:val="20"/>
              </w:rPr>
            </w:pPr>
            <w:r w:rsidRPr="002430E2">
              <w:rPr>
                <w:sz w:val="20"/>
                <w:szCs w:val="20"/>
              </w:rPr>
              <w:t>Banco do Brasil</w:t>
            </w:r>
          </w:p>
        </w:tc>
        <w:tc>
          <w:tcPr>
            <w:tcW w:w="0" w:type="auto"/>
            <w:vAlign w:val="center"/>
          </w:tcPr>
          <w:p w14:paraId="6EF58ABD" w14:textId="77777777" w:rsidR="002430E2" w:rsidRPr="002430E2" w:rsidRDefault="002430E2" w:rsidP="00650284">
            <w:pPr>
              <w:widowControl/>
              <w:suppressLineNumbers w:val="0"/>
              <w:suppressAutoHyphens w:val="0"/>
              <w:ind w:firstLine="0"/>
              <w:jc w:val="center"/>
              <w:rPr>
                <w:sz w:val="20"/>
                <w:szCs w:val="20"/>
              </w:rPr>
            </w:pPr>
            <w:r w:rsidRPr="002430E2">
              <w:rPr>
                <w:sz w:val="20"/>
                <w:szCs w:val="20"/>
              </w:rPr>
              <w:t>16,7%</w:t>
            </w:r>
          </w:p>
        </w:tc>
        <w:tc>
          <w:tcPr>
            <w:tcW w:w="0" w:type="auto"/>
            <w:vAlign w:val="center"/>
          </w:tcPr>
          <w:p w14:paraId="5CD86B1F" w14:textId="77777777" w:rsidR="002430E2" w:rsidRPr="002430E2" w:rsidRDefault="002430E2" w:rsidP="00650284">
            <w:pPr>
              <w:widowControl/>
              <w:suppressLineNumbers w:val="0"/>
              <w:suppressAutoHyphens w:val="0"/>
              <w:ind w:firstLine="0"/>
              <w:jc w:val="center"/>
              <w:rPr>
                <w:sz w:val="20"/>
                <w:szCs w:val="20"/>
              </w:rPr>
            </w:pPr>
            <w:r w:rsidRPr="002430E2">
              <w:rPr>
                <w:sz w:val="20"/>
                <w:szCs w:val="20"/>
              </w:rPr>
              <w:t>33,3%</w:t>
            </w:r>
          </w:p>
        </w:tc>
        <w:tc>
          <w:tcPr>
            <w:tcW w:w="0" w:type="auto"/>
            <w:vAlign w:val="center"/>
          </w:tcPr>
          <w:p w14:paraId="759264D7" w14:textId="77777777" w:rsidR="002430E2" w:rsidRPr="002430E2" w:rsidRDefault="002430E2" w:rsidP="00650284">
            <w:pPr>
              <w:widowControl/>
              <w:suppressLineNumbers w:val="0"/>
              <w:suppressAutoHyphens w:val="0"/>
              <w:ind w:firstLine="0"/>
              <w:jc w:val="center"/>
              <w:rPr>
                <w:sz w:val="20"/>
                <w:szCs w:val="20"/>
              </w:rPr>
            </w:pPr>
            <w:r w:rsidRPr="002430E2">
              <w:rPr>
                <w:sz w:val="20"/>
                <w:szCs w:val="20"/>
              </w:rPr>
              <w:t>25%</w:t>
            </w:r>
          </w:p>
        </w:tc>
        <w:tc>
          <w:tcPr>
            <w:tcW w:w="0" w:type="auto"/>
            <w:vAlign w:val="center"/>
          </w:tcPr>
          <w:p w14:paraId="0C33917B" w14:textId="77777777" w:rsidR="002430E2" w:rsidRPr="002430E2" w:rsidRDefault="002430E2" w:rsidP="00650284">
            <w:pPr>
              <w:widowControl/>
              <w:suppressLineNumbers w:val="0"/>
              <w:suppressAutoHyphens w:val="0"/>
              <w:ind w:firstLine="0"/>
              <w:jc w:val="left"/>
              <w:rPr>
                <w:sz w:val="20"/>
                <w:szCs w:val="20"/>
              </w:rPr>
            </w:pPr>
            <w:r w:rsidRPr="002430E2">
              <w:rPr>
                <w:sz w:val="20"/>
                <w:szCs w:val="20"/>
              </w:rPr>
              <w:t>Itaúsa</w:t>
            </w:r>
          </w:p>
        </w:tc>
        <w:tc>
          <w:tcPr>
            <w:tcW w:w="0" w:type="auto"/>
            <w:vAlign w:val="center"/>
          </w:tcPr>
          <w:p w14:paraId="3160DB73" w14:textId="77777777" w:rsidR="002430E2" w:rsidRPr="002430E2" w:rsidRDefault="002430E2" w:rsidP="00650284">
            <w:pPr>
              <w:widowControl/>
              <w:suppressLineNumbers w:val="0"/>
              <w:suppressAutoHyphens w:val="0"/>
              <w:ind w:firstLine="0"/>
              <w:jc w:val="center"/>
              <w:rPr>
                <w:sz w:val="20"/>
                <w:szCs w:val="20"/>
              </w:rPr>
            </w:pPr>
            <w:r w:rsidRPr="002430E2">
              <w:rPr>
                <w:sz w:val="20"/>
                <w:szCs w:val="20"/>
              </w:rPr>
              <w:t>0%</w:t>
            </w:r>
          </w:p>
        </w:tc>
        <w:tc>
          <w:tcPr>
            <w:tcW w:w="0" w:type="auto"/>
            <w:vAlign w:val="center"/>
          </w:tcPr>
          <w:p w14:paraId="6BCF945B" w14:textId="77777777" w:rsidR="002430E2" w:rsidRPr="002430E2" w:rsidRDefault="002430E2" w:rsidP="00650284">
            <w:pPr>
              <w:widowControl/>
              <w:suppressLineNumbers w:val="0"/>
              <w:suppressAutoHyphens w:val="0"/>
              <w:ind w:firstLine="0"/>
              <w:jc w:val="center"/>
              <w:rPr>
                <w:sz w:val="20"/>
                <w:szCs w:val="20"/>
              </w:rPr>
            </w:pPr>
            <w:r w:rsidRPr="002430E2">
              <w:rPr>
                <w:sz w:val="20"/>
                <w:szCs w:val="20"/>
              </w:rPr>
              <w:t>0%</w:t>
            </w:r>
          </w:p>
        </w:tc>
        <w:tc>
          <w:tcPr>
            <w:tcW w:w="0" w:type="auto"/>
            <w:vAlign w:val="center"/>
          </w:tcPr>
          <w:p w14:paraId="157B4F23" w14:textId="77777777" w:rsidR="002430E2" w:rsidRPr="002430E2" w:rsidRDefault="002430E2" w:rsidP="00650284">
            <w:pPr>
              <w:widowControl/>
              <w:suppressLineNumbers w:val="0"/>
              <w:suppressAutoHyphens w:val="0"/>
              <w:ind w:firstLine="0"/>
              <w:jc w:val="center"/>
              <w:rPr>
                <w:sz w:val="20"/>
                <w:szCs w:val="20"/>
              </w:rPr>
            </w:pPr>
            <w:r w:rsidRPr="002430E2">
              <w:rPr>
                <w:sz w:val="20"/>
                <w:szCs w:val="20"/>
              </w:rPr>
              <w:t>0%</w:t>
            </w:r>
          </w:p>
        </w:tc>
      </w:tr>
      <w:tr w:rsidR="002430E2" w:rsidRPr="002430E2" w14:paraId="5467D6F8" w14:textId="77777777" w:rsidTr="000D0D14">
        <w:trPr>
          <w:jc w:val="center"/>
        </w:trPr>
        <w:tc>
          <w:tcPr>
            <w:tcW w:w="0" w:type="auto"/>
            <w:vAlign w:val="center"/>
          </w:tcPr>
          <w:p w14:paraId="7463C68E" w14:textId="77777777" w:rsidR="002430E2" w:rsidRPr="002430E2" w:rsidRDefault="002430E2" w:rsidP="00650284">
            <w:pPr>
              <w:widowControl/>
              <w:suppressLineNumbers w:val="0"/>
              <w:suppressAutoHyphens w:val="0"/>
              <w:ind w:firstLine="0"/>
              <w:jc w:val="left"/>
              <w:rPr>
                <w:sz w:val="20"/>
                <w:szCs w:val="20"/>
              </w:rPr>
            </w:pPr>
            <w:r w:rsidRPr="002430E2">
              <w:rPr>
                <w:sz w:val="20"/>
                <w:szCs w:val="20"/>
              </w:rPr>
              <w:t>BR Distribuidora</w:t>
            </w:r>
          </w:p>
        </w:tc>
        <w:tc>
          <w:tcPr>
            <w:tcW w:w="0" w:type="auto"/>
            <w:vAlign w:val="center"/>
          </w:tcPr>
          <w:p w14:paraId="32C52082" w14:textId="77777777" w:rsidR="002430E2" w:rsidRPr="002430E2" w:rsidRDefault="002430E2" w:rsidP="00650284">
            <w:pPr>
              <w:widowControl/>
              <w:suppressLineNumbers w:val="0"/>
              <w:suppressAutoHyphens w:val="0"/>
              <w:ind w:firstLine="0"/>
              <w:jc w:val="center"/>
              <w:rPr>
                <w:sz w:val="20"/>
                <w:szCs w:val="20"/>
              </w:rPr>
            </w:pPr>
            <w:r w:rsidRPr="002430E2">
              <w:rPr>
                <w:sz w:val="20"/>
                <w:szCs w:val="20"/>
              </w:rPr>
              <w:t>0%</w:t>
            </w:r>
          </w:p>
        </w:tc>
        <w:tc>
          <w:tcPr>
            <w:tcW w:w="0" w:type="auto"/>
            <w:vAlign w:val="center"/>
          </w:tcPr>
          <w:p w14:paraId="4F7CFCDC" w14:textId="77777777" w:rsidR="002430E2" w:rsidRPr="002430E2" w:rsidRDefault="002430E2" w:rsidP="00650284">
            <w:pPr>
              <w:widowControl/>
              <w:suppressLineNumbers w:val="0"/>
              <w:suppressAutoHyphens w:val="0"/>
              <w:ind w:firstLine="0"/>
              <w:jc w:val="center"/>
              <w:rPr>
                <w:sz w:val="20"/>
                <w:szCs w:val="20"/>
              </w:rPr>
            </w:pPr>
            <w:r w:rsidRPr="002430E2">
              <w:rPr>
                <w:sz w:val="20"/>
                <w:szCs w:val="20"/>
              </w:rPr>
              <w:t>0%</w:t>
            </w:r>
          </w:p>
        </w:tc>
        <w:tc>
          <w:tcPr>
            <w:tcW w:w="0" w:type="auto"/>
            <w:vAlign w:val="center"/>
          </w:tcPr>
          <w:p w14:paraId="08FD5167" w14:textId="77777777" w:rsidR="002430E2" w:rsidRPr="002430E2" w:rsidRDefault="002430E2" w:rsidP="00650284">
            <w:pPr>
              <w:widowControl/>
              <w:suppressLineNumbers w:val="0"/>
              <w:suppressAutoHyphens w:val="0"/>
              <w:ind w:firstLine="0"/>
              <w:jc w:val="center"/>
              <w:rPr>
                <w:sz w:val="20"/>
                <w:szCs w:val="20"/>
              </w:rPr>
            </w:pPr>
            <w:r w:rsidRPr="002430E2">
              <w:rPr>
                <w:sz w:val="20"/>
                <w:szCs w:val="20"/>
              </w:rPr>
              <w:t>0%</w:t>
            </w:r>
          </w:p>
        </w:tc>
        <w:tc>
          <w:tcPr>
            <w:tcW w:w="0" w:type="auto"/>
            <w:vAlign w:val="center"/>
          </w:tcPr>
          <w:p w14:paraId="792888D9" w14:textId="77777777" w:rsidR="002430E2" w:rsidRPr="002430E2" w:rsidRDefault="002430E2" w:rsidP="00650284">
            <w:pPr>
              <w:widowControl/>
              <w:suppressLineNumbers w:val="0"/>
              <w:suppressAutoHyphens w:val="0"/>
              <w:ind w:firstLine="0"/>
              <w:jc w:val="left"/>
              <w:rPr>
                <w:sz w:val="20"/>
                <w:szCs w:val="20"/>
              </w:rPr>
            </w:pPr>
            <w:r w:rsidRPr="002430E2">
              <w:rPr>
                <w:sz w:val="20"/>
                <w:szCs w:val="20"/>
              </w:rPr>
              <w:t>Klabin</w:t>
            </w:r>
          </w:p>
        </w:tc>
        <w:tc>
          <w:tcPr>
            <w:tcW w:w="0" w:type="auto"/>
            <w:vAlign w:val="center"/>
          </w:tcPr>
          <w:p w14:paraId="2316E206" w14:textId="77777777" w:rsidR="002430E2" w:rsidRPr="002430E2" w:rsidRDefault="002430E2" w:rsidP="00650284">
            <w:pPr>
              <w:widowControl/>
              <w:suppressLineNumbers w:val="0"/>
              <w:suppressAutoHyphens w:val="0"/>
              <w:ind w:firstLine="0"/>
              <w:jc w:val="center"/>
              <w:rPr>
                <w:sz w:val="20"/>
                <w:szCs w:val="20"/>
              </w:rPr>
            </w:pPr>
            <w:r w:rsidRPr="002430E2">
              <w:rPr>
                <w:sz w:val="20"/>
                <w:szCs w:val="20"/>
              </w:rPr>
              <w:t>16,7%</w:t>
            </w:r>
          </w:p>
        </w:tc>
        <w:tc>
          <w:tcPr>
            <w:tcW w:w="0" w:type="auto"/>
            <w:vAlign w:val="center"/>
          </w:tcPr>
          <w:p w14:paraId="3FE9B6F4" w14:textId="77777777" w:rsidR="002430E2" w:rsidRPr="002430E2" w:rsidRDefault="002430E2" w:rsidP="00650284">
            <w:pPr>
              <w:widowControl/>
              <w:suppressLineNumbers w:val="0"/>
              <w:suppressAutoHyphens w:val="0"/>
              <w:ind w:firstLine="0"/>
              <w:jc w:val="center"/>
              <w:rPr>
                <w:sz w:val="20"/>
                <w:szCs w:val="20"/>
              </w:rPr>
            </w:pPr>
            <w:r w:rsidRPr="002430E2">
              <w:rPr>
                <w:sz w:val="20"/>
                <w:szCs w:val="20"/>
              </w:rPr>
              <w:t>16,7%</w:t>
            </w:r>
          </w:p>
        </w:tc>
        <w:tc>
          <w:tcPr>
            <w:tcW w:w="0" w:type="auto"/>
            <w:vAlign w:val="center"/>
          </w:tcPr>
          <w:p w14:paraId="041C8004" w14:textId="77777777" w:rsidR="002430E2" w:rsidRPr="002430E2" w:rsidRDefault="002430E2" w:rsidP="00650284">
            <w:pPr>
              <w:widowControl/>
              <w:suppressLineNumbers w:val="0"/>
              <w:suppressAutoHyphens w:val="0"/>
              <w:ind w:firstLine="0"/>
              <w:jc w:val="center"/>
              <w:rPr>
                <w:sz w:val="20"/>
                <w:szCs w:val="20"/>
              </w:rPr>
            </w:pPr>
            <w:r w:rsidRPr="002430E2">
              <w:rPr>
                <w:sz w:val="20"/>
                <w:szCs w:val="20"/>
              </w:rPr>
              <w:t>16,7%</w:t>
            </w:r>
          </w:p>
        </w:tc>
      </w:tr>
      <w:tr w:rsidR="002430E2" w:rsidRPr="002430E2" w14:paraId="3D2402E0" w14:textId="77777777" w:rsidTr="000D0D14">
        <w:trPr>
          <w:jc w:val="center"/>
        </w:trPr>
        <w:tc>
          <w:tcPr>
            <w:tcW w:w="0" w:type="auto"/>
            <w:vAlign w:val="center"/>
          </w:tcPr>
          <w:p w14:paraId="2EAEC6CE" w14:textId="77777777" w:rsidR="002430E2" w:rsidRPr="002430E2" w:rsidRDefault="002430E2" w:rsidP="00650284">
            <w:pPr>
              <w:widowControl/>
              <w:suppressLineNumbers w:val="0"/>
              <w:suppressAutoHyphens w:val="0"/>
              <w:ind w:firstLine="0"/>
              <w:jc w:val="left"/>
              <w:rPr>
                <w:sz w:val="20"/>
                <w:szCs w:val="20"/>
              </w:rPr>
            </w:pPr>
            <w:r w:rsidRPr="002430E2">
              <w:rPr>
                <w:sz w:val="20"/>
                <w:szCs w:val="20"/>
              </w:rPr>
              <w:t>Bradesco</w:t>
            </w:r>
          </w:p>
        </w:tc>
        <w:tc>
          <w:tcPr>
            <w:tcW w:w="0" w:type="auto"/>
            <w:vAlign w:val="center"/>
          </w:tcPr>
          <w:p w14:paraId="020D9718" w14:textId="77777777" w:rsidR="002430E2" w:rsidRPr="002430E2" w:rsidRDefault="002430E2" w:rsidP="00650284">
            <w:pPr>
              <w:widowControl/>
              <w:suppressLineNumbers w:val="0"/>
              <w:suppressAutoHyphens w:val="0"/>
              <w:ind w:firstLine="0"/>
              <w:jc w:val="center"/>
              <w:rPr>
                <w:sz w:val="20"/>
                <w:szCs w:val="20"/>
              </w:rPr>
            </w:pPr>
            <w:r w:rsidRPr="002430E2">
              <w:rPr>
                <w:sz w:val="20"/>
                <w:szCs w:val="20"/>
              </w:rPr>
              <w:t>83,3%</w:t>
            </w:r>
          </w:p>
        </w:tc>
        <w:tc>
          <w:tcPr>
            <w:tcW w:w="0" w:type="auto"/>
            <w:vAlign w:val="center"/>
          </w:tcPr>
          <w:p w14:paraId="5E6A276B" w14:textId="77777777" w:rsidR="002430E2" w:rsidRPr="002430E2" w:rsidRDefault="002430E2" w:rsidP="00650284">
            <w:pPr>
              <w:widowControl/>
              <w:suppressLineNumbers w:val="0"/>
              <w:suppressAutoHyphens w:val="0"/>
              <w:ind w:firstLine="0"/>
              <w:jc w:val="center"/>
              <w:rPr>
                <w:sz w:val="20"/>
                <w:szCs w:val="20"/>
              </w:rPr>
            </w:pPr>
            <w:r w:rsidRPr="002430E2">
              <w:rPr>
                <w:sz w:val="20"/>
                <w:szCs w:val="20"/>
              </w:rPr>
              <w:t>100%</w:t>
            </w:r>
          </w:p>
        </w:tc>
        <w:tc>
          <w:tcPr>
            <w:tcW w:w="0" w:type="auto"/>
            <w:vAlign w:val="center"/>
          </w:tcPr>
          <w:p w14:paraId="29771A74" w14:textId="77777777" w:rsidR="002430E2" w:rsidRPr="002430E2" w:rsidRDefault="002430E2" w:rsidP="00650284">
            <w:pPr>
              <w:widowControl/>
              <w:suppressLineNumbers w:val="0"/>
              <w:suppressAutoHyphens w:val="0"/>
              <w:ind w:firstLine="0"/>
              <w:jc w:val="center"/>
              <w:rPr>
                <w:sz w:val="20"/>
                <w:szCs w:val="20"/>
              </w:rPr>
            </w:pPr>
            <w:r w:rsidRPr="002430E2">
              <w:rPr>
                <w:sz w:val="20"/>
                <w:szCs w:val="20"/>
              </w:rPr>
              <w:t>91,7%</w:t>
            </w:r>
          </w:p>
        </w:tc>
        <w:tc>
          <w:tcPr>
            <w:tcW w:w="0" w:type="auto"/>
            <w:vAlign w:val="center"/>
          </w:tcPr>
          <w:p w14:paraId="593E91CE" w14:textId="77777777" w:rsidR="002430E2" w:rsidRPr="002430E2" w:rsidRDefault="002430E2" w:rsidP="00650284">
            <w:pPr>
              <w:widowControl/>
              <w:suppressLineNumbers w:val="0"/>
              <w:suppressAutoHyphens w:val="0"/>
              <w:ind w:firstLine="0"/>
              <w:jc w:val="left"/>
              <w:rPr>
                <w:sz w:val="20"/>
                <w:szCs w:val="20"/>
              </w:rPr>
            </w:pPr>
            <w:r w:rsidRPr="002430E2">
              <w:rPr>
                <w:sz w:val="20"/>
                <w:szCs w:val="20"/>
              </w:rPr>
              <w:t>Light</w:t>
            </w:r>
          </w:p>
        </w:tc>
        <w:tc>
          <w:tcPr>
            <w:tcW w:w="0" w:type="auto"/>
            <w:vAlign w:val="center"/>
          </w:tcPr>
          <w:p w14:paraId="506C787B" w14:textId="77777777" w:rsidR="002430E2" w:rsidRPr="002430E2" w:rsidRDefault="002430E2" w:rsidP="00650284">
            <w:pPr>
              <w:widowControl/>
              <w:suppressLineNumbers w:val="0"/>
              <w:suppressAutoHyphens w:val="0"/>
              <w:ind w:firstLine="0"/>
              <w:jc w:val="center"/>
              <w:rPr>
                <w:sz w:val="20"/>
                <w:szCs w:val="20"/>
              </w:rPr>
            </w:pPr>
            <w:r w:rsidRPr="002430E2">
              <w:rPr>
                <w:sz w:val="20"/>
                <w:szCs w:val="20"/>
              </w:rPr>
              <w:t>0%</w:t>
            </w:r>
          </w:p>
        </w:tc>
        <w:tc>
          <w:tcPr>
            <w:tcW w:w="0" w:type="auto"/>
            <w:vAlign w:val="center"/>
          </w:tcPr>
          <w:p w14:paraId="6C56EF0E" w14:textId="77777777" w:rsidR="002430E2" w:rsidRPr="002430E2" w:rsidRDefault="002430E2" w:rsidP="00650284">
            <w:pPr>
              <w:widowControl/>
              <w:suppressLineNumbers w:val="0"/>
              <w:suppressAutoHyphens w:val="0"/>
              <w:ind w:firstLine="0"/>
              <w:jc w:val="center"/>
              <w:rPr>
                <w:sz w:val="20"/>
                <w:szCs w:val="20"/>
              </w:rPr>
            </w:pPr>
            <w:r w:rsidRPr="002430E2">
              <w:rPr>
                <w:sz w:val="20"/>
                <w:szCs w:val="20"/>
              </w:rPr>
              <w:t>0%</w:t>
            </w:r>
          </w:p>
        </w:tc>
        <w:tc>
          <w:tcPr>
            <w:tcW w:w="0" w:type="auto"/>
            <w:vAlign w:val="center"/>
          </w:tcPr>
          <w:p w14:paraId="5E1DED43" w14:textId="77777777" w:rsidR="002430E2" w:rsidRPr="002430E2" w:rsidRDefault="002430E2" w:rsidP="00650284">
            <w:pPr>
              <w:widowControl/>
              <w:suppressLineNumbers w:val="0"/>
              <w:suppressAutoHyphens w:val="0"/>
              <w:ind w:firstLine="0"/>
              <w:jc w:val="center"/>
              <w:rPr>
                <w:sz w:val="20"/>
                <w:szCs w:val="20"/>
              </w:rPr>
            </w:pPr>
            <w:r w:rsidRPr="002430E2">
              <w:rPr>
                <w:sz w:val="20"/>
                <w:szCs w:val="20"/>
              </w:rPr>
              <w:t>0%</w:t>
            </w:r>
          </w:p>
        </w:tc>
      </w:tr>
      <w:tr w:rsidR="002430E2" w:rsidRPr="002430E2" w14:paraId="145FCFA4" w14:textId="77777777" w:rsidTr="000D0D14">
        <w:trPr>
          <w:jc w:val="center"/>
        </w:trPr>
        <w:tc>
          <w:tcPr>
            <w:tcW w:w="0" w:type="auto"/>
            <w:vAlign w:val="center"/>
          </w:tcPr>
          <w:p w14:paraId="298F158E" w14:textId="77777777" w:rsidR="002430E2" w:rsidRPr="002430E2" w:rsidRDefault="002430E2" w:rsidP="00650284">
            <w:pPr>
              <w:widowControl/>
              <w:suppressLineNumbers w:val="0"/>
              <w:suppressAutoHyphens w:val="0"/>
              <w:ind w:firstLine="0"/>
              <w:jc w:val="left"/>
              <w:rPr>
                <w:sz w:val="20"/>
                <w:szCs w:val="20"/>
              </w:rPr>
            </w:pPr>
            <w:r w:rsidRPr="002430E2">
              <w:rPr>
                <w:sz w:val="20"/>
                <w:szCs w:val="20"/>
              </w:rPr>
              <w:t>BRF</w:t>
            </w:r>
          </w:p>
        </w:tc>
        <w:tc>
          <w:tcPr>
            <w:tcW w:w="0" w:type="auto"/>
            <w:vAlign w:val="center"/>
          </w:tcPr>
          <w:p w14:paraId="713ABBAE" w14:textId="77777777" w:rsidR="002430E2" w:rsidRPr="002430E2" w:rsidRDefault="002430E2" w:rsidP="00650284">
            <w:pPr>
              <w:widowControl/>
              <w:suppressLineNumbers w:val="0"/>
              <w:suppressAutoHyphens w:val="0"/>
              <w:ind w:firstLine="0"/>
              <w:jc w:val="center"/>
              <w:rPr>
                <w:sz w:val="20"/>
                <w:szCs w:val="20"/>
              </w:rPr>
            </w:pPr>
            <w:r w:rsidRPr="002430E2">
              <w:rPr>
                <w:sz w:val="20"/>
                <w:szCs w:val="20"/>
              </w:rPr>
              <w:t>83,3%</w:t>
            </w:r>
          </w:p>
        </w:tc>
        <w:tc>
          <w:tcPr>
            <w:tcW w:w="0" w:type="auto"/>
            <w:vAlign w:val="center"/>
          </w:tcPr>
          <w:p w14:paraId="753EECE8" w14:textId="77777777" w:rsidR="002430E2" w:rsidRPr="002430E2" w:rsidRDefault="002430E2" w:rsidP="00650284">
            <w:pPr>
              <w:widowControl/>
              <w:suppressLineNumbers w:val="0"/>
              <w:suppressAutoHyphens w:val="0"/>
              <w:ind w:firstLine="0"/>
              <w:jc w:val="center"/>
              <w:rPr>
                <w:sz w:val="20"/>
                <w:szCs w:val="20"/>
              </w:rPr>
            </w:pPr>
            <w:r w:rsidRPr="002430E2">
              <w:rPr>
                <w:sz w:val="20"/>
                <w:szCs w:val="20"/>
              </w:rPr>
              <w:t>100%</w:t>
            </w:r>
          </w:p>
        </w:tc>
        <w:tc>
          <w:tcPr>
            <w:tcW w:w="0" w:type="auto"/>
            <w:vAlign w:val="center"/>
          </w:tcPr>
          <w:p w14:paraId="0A13734D" w14:textId="77777777" w:rsidR="002430E2" w:rsidRPr="002430E2" w:rsidRDefault="002430E2" w:rsidP="00650284">
            <w:pPr>
              <w:widowControl/>
              <w:suppressLineNumbers w:val="0"/>
              <w:suppressAutoHyphens w:val="0"/>
              <w:ind w:firstLine="0"/>
              <w:jc w:val="center"/>
              <w:rPr>
                <w:sz w:val="20"/>
                <w:szCs w:val="20"/>
              </w:rPr>
            </w:pPr>
            <w:r w:rsidRPr="002430E2">
              <w:rPr>
                <w:sz w:val="20"/>
                <w:szCs w:val="20"/>
              </w:rPr>
              <w:t>91,7%</w:t>
            </w:r>
          </w:p>
        </w:tc>
        <w:tc>
          <w:tcPr>
            <w:tcW w:w="0" w:type="auto"/>
            <w:vAlign w:val="center"/>
          </w:tcPr>
          <w:p w14:paraId="273AFD8F" w14:textId="77777777" w:rsidR="002430E2" w:rsidRPr="002430E2" w:rsidRDefault="002430E2" w:rsidP="00650284">
            <w:pPr>
              <w:widowControl/>
              <w:suppressLineNumbers w:val="0"/>
              <w:suppressAutoHyphens w:val="0"/>
              <w:ind w:firstLine="0"/>
              <w:jc w:val="left"/>
              <w:rPr>
                <w:sz w:val="20"/>
                <w:szCs w:val="20"/>
              </w:rPr>
            </w:pPr>
            <w:r w:rsidRPr="002430E2">
              <w:rPr>
                <w:sz w:val="20"/>
                <w:szCs w:val="20"/>
              </w:rPr>
              <w:t>Lojas Americanas</w:t>
            </w:r>
          </w:p>
        </w:tc>
        <w:tc>
          <w:tcPr>
            <w:tcW w:w="0" w:type="auto"/>
            <w:vAlign w:val="center"/>
          </w:tcPr>
          <w:p w14:paraId="1D1E0D5A" w14:textId="77777777" w:rsidR="002430E2" w:rsidRPr="002430E2" w:rsidRDefault="002430E2" w:rsidP="00650284">
            <w:pPr>
              <w:widowControl/>
              <w:suppressLineNumbers w:val="0"/>
              <w:suppressAutoHyphens w:val="0"/>
              <w:ind w:firstLine="0"/>
              <w:jc w:val="center"/>
              <w:rPr>
                <w:sz w:val="20"/>
                <w:szCs w:val="20"/>
              </w:rPr>
            </w:pPr>
            <w:r w:rsidRPr="002430E2">
              <w:rPr>
                <w:sz w:val="20"/>
                <w:szCs w:val="20"/>
              </w:rPr>
              <w:t>0%</w:t>
            </w:r>
          </w:p>
        </w:tc>
        <w:tc>
          <w:tcPr>
            <w:tcW w:w="0" w:type="auto"/>
            <w:vAlign w:val="center"/>
          </w:tcPr>
          <w:p w14:paraId="24F2E43A" w14:textId="77777777" w:rsidR="002430E2" w:rsidRPr="002430E2" w:rsidRDefault="002430E2" w:rsidP="00650284">
            <w:pPr>
              <w:widowControl/>
              <w:suppressLineNumbers w:val="0"/>
              <w:suppressAutoHyphens w:val="0"/>
              <w:ind w:firstLine="0"/>
              <w:jc w:val="center"/>
              <w:rPr>
                <w:sz w:val="20"/>
                <w:szCs w:val="20"/>
              </w:rPr>
            </w:pPr>
            <w:r w:rsidRPr="002430E2">
              <w:rPr>
                <w:sz w:val="20"/>
                <w:szCs w:val="20"/>
              </w:rPr>
              <w:t>0%</w:t>
            </w:r>
          </w:p>
        </w:tc>
        <w:tc>
          <w:tcPr>
            <w:tcW w:w="0" w:type="auto"/>
            <w:vAlign w:val="center"/>
          </w:tcPr>
          <w:p w14:paraId="152A5732" w14:textId="77777777" w:rsidR="002430E2" w:rsidRPr="002430E2" w:rsidRDefault="002430E2" w:rsidP="00650284">
            <w:pPr>
              <w:widowControl/>
              <w:suppressLineNumbers w:val="0"/>
              <w:suppressAutoHyphens w:val="0"/>
              <w:ind w:firstLine="0"/>
              <w:jc w:val="center"/>
              <w:rPr>
                <w:sz w:val="20"/>
                <w:szCs w:val="20"/>
              </w:rPr>
            </w:pPr>
            <w:r w:rsidRPr="002430E2">
              <w:rPr>
                <w:sz w:val="20"/>
                <w:szCs w:val="20"/>
              </w:rPr>
              <w:t>0%</w:t>
            </w:r>
          </w:p>
        </w:tc>
      </w:tr>
      <w:tr w:rsidR="002430E2" w:rsidRPr="002430E2" w14:paraId="6D6B6B23" w14:textId="77777777" w:rsidTr="000D0D14">
        <w:trPr>
          <w:jc w:val="center"/>
        </w:trPr>
        <w:tc>
          <w:tcPr>
            <w:tcW w:w="0" w:type="auto"/>
            <w:vAlign w:val="center"/>
          </w:tcPr>
          <w:p w14:paraId="3AAD7C14" w14:textId="77777777" w:rsidR="002430E2" w:rsidRPr="002430E2" w:rsidRDefault="002430E2" w:rsidP="00650284">
            <w:pPr>
              <w:widowControl/>
              <w:suppressLineNumbers w:val="0"/>
              <w:suppressAutoHyphens w:val="0"/>
              <w:ind w:firstLine="0"/>
              <w:jc w:val="left"/>
              <w:rPr>
                <w:sz w:val="20"/>
                <w:szCs w:val="20"/>
              </w:rPr>
            </w:pPr>
            <w:r w:rsidRPr="002430E2">
              <w:rPr>
                <w:sz w:val="20"/>
                <w:szCs w:val="20"/>
              </w:rPr>
              <w:t>BTG</w:t>
            </w:r>
          </w:p>
        </w:tc>
        <w:tc>
          <w:tcPr>
            <w:tcW w:w="0" w:type="auto"/>
            <w:vAlign w:val="center"/>
          </w:tcPr>
          <w:p w14:paraId="2C7DD944" w14:textId="77777777" w:rsidR="002430E2" w:rsidRPr="002430E2" w:rsidRDefault="002430E2" w:rsidP="00650284">
            <w:pPr>
              <w:widowControl/>
              <w:suppressLineNumbers w:val="0"/>
              <w:suppressAutoHyphens w:val="0"/>
              <w:ind w:firstLine="0"/>
              <w:jc w:val="center"/>
              <w:rPr>
                <w:sz w:val="20"/>
                <w:szCs w:val="20"/>
              </w:rPr>
            </w:pPr>
            <w:r w:rsidRPr="002430E2">
              <w:rPr>
                <w:sz w:val="20"/>
                <w:szCs w:val="20"/>
              </w:rPr>
              <w:t>16,7%</w:t>
            </w:r>
          </w:p>
        </w:tc>
        <w:tc>
          <w:tcPr>
            <w:tcW w:w="0" w:type="auto"/>
            <w:vAlign w:val="center"/>
          </w:tcPr>
          <w:p w14:paraId="7304E2E9" w14:textId="77777777" w:rsidR="002430E2" w:rsidRPr="002430E2" w:rsidRDefault="002430E2" w:rsidP="00650284">
            <w:pPr>
              <w:widowControl/>
              <w:suppressLineNumbers w:val="0"/>
              <w:suppressAutoHyphens w:val="0"/>
              <w:ind w:firstLine="0"/>
              <w:jc w:val="center"/>
              <w:rPr>
                <w:sz w:val="20"/>
                <w:szCs w:val="20"/>
              </w:rPr>
            </w:pPr>
            <w:r w:rsidRPr="002430E2">
              <w:rPr>
                <w:sz w:val="20"/>
                <w:szCs w:val="20"/>
              </w:rPr>
              <w:t>16,7%</w:t>
            </w:r>
          </w:p>
        </w:tc>
        <w:tc>
          <w:tcPr>
            <w:tcW w:w="0" w:type="auto"/>
            <w:vAlign w:val="center"/>
          </w:tcPr>
          <w:p w14:paraId="1D82035A" w14:textId="77777777" w:rsidR="002430E2" w:rsidRPr="002430E2" w:rsidRDefault="002430E2" w:rsidP="00650284">
            <w:pPr>
              <w:widowControl/>
              <w:suppressLineNumbers w:val="0"/>
              <w:suppressAutoHyphens w:val="0"/>
              <w:ind w:firstLine="0"/>
              <w:jc w:val="center"/>
              <w:rPr>
                <w:sz w:val="20"/>
                <w:szCs w:val="20"/>
              </w:rPr>
            </w:pPr>
            <w:r w:rsidRPr="002430E2">
              <w:rPr>
                <w:sz w:val="20"/>
                <w:szCs w:val="20"/>
              </w:rPr>
              <w:t>16,7%</w:t>
            </w:r>
          </w:p>
        </w:tc>
        <w:tc>
          <w:tcPr>
            <w:tcW w:w="0" w:type="auto"/>
            <w:vAlign w:val="center"/>
          </w:tcPr>
          <w:p w14:paraId="1FC74D2B" w14:textId="77777777" w:rsidR="002430E2" w:rsidRPr="002430E2" w:rsidRDefault="002430E2" w:rsidP="00650284">
            <w:pPr>
              <w:widowControl/>
              <w:suppressLineNumbers w:val="0"/>
              <w:suppressAutoHyphens w:val="0"/>
              <w:ind w:firstLine="0"/>
              <w:jc w:val="left"/>
              <w:rPr>
                <w:sz w:val="20"/>
                <w:szCs w:val="20"/>
              </w:rPr>
            </w:pPr>
            <w:r w:rsidRPr="002430E2">
              <w:rPr>
                <w:sz w:val="20"/>
                <w:szCs w:val="20"/>
              </w:rPr>
              <w:t>Lojas Renner</w:t>
            </w:r>
          </w:p>
        </w:tc>
        <w:tc>
          <w:tcPr>
            <w:tcW w:w="0" w:type="auto"/>
            <w:vAlign w:val="center"/>
          </w:tcPr>
          <w:p w14:paraId="3BE82A50" w14:textId="77777777" w:rsidR="002430E2" w:rsidRPr="002430E2" w:rsidRDefault="002430E2" w:rsidP="00650284">
            <w:pPr>
              <w:widowControl/>
              <w:suppressLineNumbers w:val="0"/>
              <w:suppressAutoHyphens w:val="0"/>
              <w:ind w:firstLine="0"/>
              <w:jc w:val="center"/>
              <w:rPr>
                <w:sz w:val="20"/>
                <w:szCs w:val="20"/>
              </w:rPr>
            </w:pPr>
            <w:r w:rsidRPr="002430E2">
              <w:rPr>
                <w:sz w:val="20"/>
                <w:szCs w:val="20"/>
              </w:rPr>
              <w:t>0%</w:t>
            </w:r>
          </w:p>
        </w:tc>
        <w:tc>
          <w:tcPr>
            <w:tcW w:w="0" w:type="auto"/>
            <w:vAlign w:val="center"/>
          </w:tcPr>
          <w:p w14:paraId="54AC01AC" w14:textId="77777777" w:rsidR="002430E2" w:rsidRPr="002430E2" w:rsidRDefault="002430E2" w:rsidP="00650284">
            <w:pPr>
              <w:widowControl/>
              <w:suppressLineNumbers w:val="0"/>
              <w:suppressAutoHyphens w:val="0"/>
              <w:ind w:firstLine="0"/>
              <w:jc w:val="center"/>
              <w:rPr>
                <w:sz w:val="20"/>
                <w:szCs w:val="20"/>
              </w:rPr>
            </w:pPr>
            <w:r w:rsidRPr="002430E2">
              <w:rPr>
                <w:sz w:val="20"/>
                <w:szCs w:val="20"/>
              </w:rPr>
              <w:t>0%</w:t>
            </w:r>
          </w:p>
        </w:tc>
        <w:tc>
          <w:tcPr>
            <w:tcW w:w="0" w:type="auto"/>
            <w:vAlign w:val="center"/>
          </w:tcPr>
          <w:p w14:paraId="65C90FAE" w14:textId="77777777" w:rsidR="002430E2" w:rsidRPr="002430E2" w:rsidRDefault="002430E2" w:rsidP="00650284">
            <w:pPr>
              <w:widowControl/>
              <w:suppressLineNumbers w:val="0"/>
              <w:suppressAutoHyphens w:val="0"/>
              <w:ind w:firstLine="0"/>
              <w:jc w:val="center"/>
              <w:rPr>
                <w:sz w:val="20"/>
                <w:szCs w:val="20"/>
              </w:rPr>
            </w:pPr>
            <w:r w:rsidRPr="002430E2">
              <w:rPr>
                <w:sz w:val="20"/>
                <w:szCs w:val="20"/>
              </w:rPr>
              <w:t>0%</w:t>
            </w:r>
          </w:p>
        </w:tc>
      </w:tr>
      <w:tr w:rsidR="002430E2" w:rsidRPr="002430E2" w14:paraId="2B5AED1F" w14:textId="77777777" w:rsidTr="000D0D14">
        <w:trPr>
          <w:jc w:val="center"/>
        </w:trPr>
        <w:tc>
          <w:tcPr>
            <w:tcW w:w="0" w:type="auto"/>
            <w:vAlign w:val="center"/>
          </w:tcPr>
          <w:p w14:paraId="4CFA1141" w14:textId="77777777" w:rsidR="002430E2" w:rsidRPr="002430E2" w:rsidRDefault="002430E2" w:rsidP="00650284">
            <w:pPr>
              <w:widowControl/>
              <w:suppressLineNumbers w:val="0"/>
              <w:suppressAutoHyphens w:val="0"/>
              <w:ind w:firstLine="0"/>
              <w:jc w:val="left"/>
              <w:rPr>
                <w:sz w:val="20"/>
                <w:szCs w:val="20"/>
              </w:rPr>
            </w:pPr>
            <w:r w:rsidRPr="002430E2">
              <w:rPr>
                <w:sz w:val="20"/>
                <w:szCs w:val="20"/>
              </w:rPr>
              <w:t>CCR</w:t>
            </w:r>
          </w:p>
        </w:tc>
        <w:tc>
          <w:tcPr>
            <w:tcW w:w="0" w:type="auto"/>
            <w:vAlign w:val="center"/>
          </w:tcPr>
          <w:p w14:paraId="3074C80D" w14:textId="77777777" w:rsidR="002430E2" w:rsidRPr="002430E2" w:rsidRDefault="002430E2" w:rsidP="00650284">
            <w:pPr>
              <w:widowControl/>
              <w:suppressLineNumbers w:val="0"/>
              <w:suppressAutoHyphens w:val="0"/>
              <w:ind w:firstLine="0"/>
              <w:jc w:val="center"/>
              <w:rPr>
                <w:sz w:val="20"/>
                <w:szCs w:val="20"/>
              </w:rPr>
            </w:pPr>
            <w:r w:rsidRPr="002430E2">
              <w:rPr>
                <w:sz w:val="20"/>
                <w:szCs w:val="20"/>
              </w:rPr>
              <w:t>0%</w:t>
            </w:r>
          </w:p>
        </w:tc>
        <w:tc>
          <w:tcPr>
            <w:tcW w:w="0" w:type="auto"/>
            <w:vAlign w:val="center"/>
          </w:tcPr>
          <w:p w14:paraId="0B2B619C" w14:textId="77777777" w:rsidR="002430E2" w:rsidRPr="002430E2" w:rsidRDefault="002430E2" w:rsidP="00650284">
            <w:pPr>
              <w:widowControl/>
              <w:suppressLineNumbers w:val="0"/>
              <w:suppressAutoHyphens w:val="0"/>
              <w:ind w:firstLine="0"/>
              <w:jc w:val="center"/>
              <w:rPr>
                <w:sz w:val="20"/>
                <w:szCs w:val="20"/>
              </w:rPr>
            </w:pPr>
            <w:r w:rsidRPr="002430E2">
              <w:rPr>
                <w:sz w:val="20"/>
                <w:szCs w:val="20"/>
              </w:rPr>
              <w:t>0%</w:t>
            </w:r>
          </w:p>
        </w:tc>
        <w:tc>
          <w:tcPr>
            <w:tcW w:w="0" w:type="auto"/>
            <w:vAlign w:val="center"/>
          </w:tcPr>
          <w:p w14:paraId="1A4C4AB5" w14:textId="77777777" w:rsidR="002430E2" w:rsidRPr="002430E2" w:rsidRDefault="002430E2" w:rsidP="00650284">
            <w:pPr>
              <w:widowControl/>
              <w:suppressLineNumbers w:val="0"/>
              <w:suppressAutoHyphens w:val="0"/>
              <w:ind w:firstLine="0"/>
              <w:jc w:val="center"/>
              <w:rPr>
                <w:sz w:val="20"/>
                <w:szCs w:val="20"/>
              </w:rPr>
            </w:pPr>
            <w:r w:rsidRPr="002430E2">
              <w:rPr>
                <w:sz w:val="20"/>
                <w:szCs w:val="20"/>
              </w:rPr>
              <w:t>0%</w:t>
            </w:r>
          </w:p>
        </w:tc>
        <w:tc>
          <w:tcPr>
            <w:tcW w:w="0" w:type="auto"/>
            <w:vAlign w:val="center"/>
          </w:tcPr>
          <w:p w14:paraId="7BDABB98" w14:textId="77777777" w:rsidR="002430E2" w:rsidRPr="002430E2" w:rsidRDefault="002430E2" w:rsidP="00650284">
            <w:pPr>
              <w:widowControl/>
              <w:suppressLineNumbers w:val="0"/>
              <w:suppressAutoHyphens w:val="0"/>
              <w:ind w:firstLine="0"/>
              <w:jc w:val="left"/>
              <w:rPr>
                <w:sz w:val="20"/>
                <w:szCs w:val="20"/>
              </w:rPr>
            </w:pPr>
            <w:r w:rsidRPr="002430E2">
              <w:rPr>
                <w:sz w:val="20"/>
                <w:szCs w:val="20"/>
              </w:rPr>
              <w:t>M. Dias Branco</w:t>
            </w:r>
          </w:p>
        </w:tc>
        <w:tc>
          <w:tcPr>
            <w:tcW w:w="0" w:type="auto"/>
            <w:vAlign w:val="center"/>
          </w:tcPr>
          <w:p w14:paraId="115BBF1E" w14:textId="77777777" w:rsidR="002430E2" w:rsidRPr="002430E2" w:rsidRDefault="002430E2" w:rsidP="00650284">
            <w:pPr>
              <w:widowControl/>
              <w:suppressLineNumbers w:val="0"/>
              <w:suppressAutoHyphens w:val="0"/>
              <w:ind w:firstLine="0"/>
              <w:jc w:val="center"/>
              <w:rPr>
                <w:sz w:val="20"/>
                <w:szCs w:val="20"/>
              </w:rPr>
            </w:pPr>
            <w:r w:rsidRPr="002430E2">
              <w:rPr>
                <w:sz w:val="20"/>
                <w:szCs w:val="20"/>
              </w:rPr>
              <w:t>0%</w:t>
            </w:r>
          </w:p>
        </w:tc>
        <w:tc>
          <w:tcPr>
            <w:tcW w:w="0" w:type="auto"/>
            <w:vAlign w:val="center"/>
          </w:tcPr>
          <w:p w14:paraId="07BF8FFC" w14:textId="77777777" w:rsidR="002430E2" w:rsidRPr="002430E2" w:rsidRDefault="002430E2" w:rsidP="00650284">
            <w:pPr>
              <w:widowControl/>
              <w:suppressLineNumbers w:val="0"/>
              <w:suppressAutoHyphens w:val="0"/>
              <w:ind w:firstLine="0"/>
              <w:jc w:val="center"/>
              <w:rPr>
                <w:sz w:val="20"/>
                <w:szCs w:val="20"/>
              </w:rPr>
            </w:pPr>
            <w:r w:rsidRPr="002430E2">
              <w:rPr>
                <w:sz w:val="20"/>
                <w:szCs w:val="20"/>
              </w:rPr>
              <w:t>0%</w:t>
            </w:r>
          </w:p>
        </w:tc>
        <w:tc>
          <w:tcPr>
            <w:tcW w:w="0" w:type="auto"/>
            <w:vAlign w:val="center"/>
          </w:tcPr>
          <w:p w14:paraId="5B035EDB" w14:textId="77777777" w:rsidR="002430E2" w:rsidRPr="002430E2" w:rsidRDefault="002430E2" w:rsidP="00650284">
            <w:pPr>
              <w:widowControl/>
              <w:suppressLineNumbers w:val="0"/>
              <w:suppressAutoHyphens w:val="0"/>
              <w:ind w:firstLine="0"/>
              <w:jc w:val="center"/>
              <w:rPr>
                <w:sz w:val="20"/>
                <w:szCs w:val="20"/>
              </w:rPr>
            </w:pPr>
            <w:r w:rsidRPr="002430E2">
              <w:rPr>
                <w:sz w:val="20"/>
                <w:szCs w:val="20"/>
              </w:rPr>
              <w:t>0%</w:t>
            </w:r>
          </w:p>
        </w:tc>
      </w:tr>
      <w:tr w:rsidR="002430E2" w:rsidRPr="002430E2" w14:paraId="5B5AAB75" w14:textId="77777777" w:rsidTr="000D0D14">
        <w:trPr>
          <w:jc w:val="center"/>
        </w:trPr>
        <w:tc>
          <w:tcPr>
            <w:tcW w:w="0" w:type="auto"/>
            <w:vAlign w:val="center"/>
          </w:tcPr>
          <w:p w14:paraId="5A4797E0" w14:textId="77777777" w:rsidR="002430E2" w:rsidRPr="002430E2" w:rsidRDefault="002430E2" w:rsidP="00650284">
            <w:pPr>
              <w:widowControl/>
              <w:suppressLineNumbers w:val="0"/>
              <w:suppressAutoHyphens w:val="0"/>
              <w:ind w:firstLine="0"/>
              <w:jc w:val="left"/>
              <w:rPr>
                <w:sz w:val="20"/>
                <w:szCs w:val="20"/>
              </w:rPr>
            </w:pPr>
            <w:r w:rsidRPr="002430E2">
              <w:rPr>
                <w:sz w:val="20"/>
                <w:szCs w:val="20"/>
              </w:rPr>
              <w:t>Cemig</w:t>
            </w:r>
          </w:p>
        </w:tc>
        <w:tc>
          <w:tcPr>
            <w:tcW w:w="0" w:type="auto"/>
            <w:vAlign w:val="center"/>
          </w:tcPr>
          <w:p w14:paraId="079A4F82" w14:textId="77777777" w:rsidR="002430E2" w:rsidRPr="002430E2" w:rsidRDefault="002430E2" w:rsidP="00650284">
            <w:pPr>
              <w:widowControl/>
              <w:suppressLineNumbers w:val="0"/>
              <w:suppressAutoHyphens w:val="0"/>
              <w:ind w:firstLine="0"/>
              <w:jc w:val="center"/>
              <w:rPr>
                <w:sz w:val="20"/>
                <w:szCs w:val="20"/>
              </w:rPr>
            </w:pPr>
            <w:r w:rsidRPr="002430E2">
              <w:rPr>
                <w:sz w:val="20"/>
                <w:szCs w:val="20"/>
              </w:rPr>
              <w:t>50%</w:t>
            </w:r>
          </w:p>
        </w:tc>
        <w:tc>
          <w:tcPr>
            <w:tcW w:w="0" w:type="auto"/>
            <w:vAlign w:val="center"/>
          </w:tcPr>
          <w:p w14:paraId="45E8ED9E" w14:textId="77777777" w:rsidR="002430E2" w:rsidRPr="002430E2" w:rsidRDefault="002430E2" w:rsidP="00650284">
            <w:pPr>
              <w:widowControl/>
              <w:suppressLineNumbers w:val="0"/>
              <w:suppressAutoHyphens w:val="0"/>
              <w:ind w:firstLine="0"/>
              <w:jc w:val="center"/>
              <w:rPr>
                <w:sz w:val="20"/>
                <w:szCs w:val="20"/>
              </w:rPr>
            </w:pPr>
            <w:r w:rsidRPr="002430E2">
              <w:rPr>
                <w:sz w:val="20"/>
                <w:szCs w:val="20"/>
              </w:rPr>
              <w:t>83,3%</w:t>
            </w:r>
          </w:p>
        </w:tc>
        <w:tc>
          <w:tcPr>
            <w:tcW w:w="0" w:type="auto"/>
            <w:vAlign w:val="center"/>
          </w:tcPr>
          <w:p w14:paraId="13F09381" w14:textId="77777777" w:rsidR="002430E2" w:rsidRPr="002430E2" w:rsidRDefault="002430E2" w:rsidP="00650284">
            <w:pPr>
              <w:widowControl/>
              <w:suppressLineNumbers w:val="0"/>
              <w:suppressAutoHyphens w:val="0"/>
              <w:ind w:firstLine="0"/>
              <w:jc w:val="center"/>
              <w:rPr>
                <w:sz w:val="20"/>
                <w:szCs w:val="20"/>
              </w:rPr>
            </w:pPr>
            <w:r w:rsidRPr="002430E2">
              <w:rPr>
                <w:sz w:val="20"/>
                <w:szCs w:val="20"/>
              </w:rPr>
              <w:t>66,7%</w:t>
            </w:r>
          </w:p>
        </w:tc>
        <w:tc>
          <w:tcPr>
            <w:tcW w:w="0" w:type="auto"/>
            <w:vAlign w:val="center"/>
          </w:tcPr>
          <w:p w14:paraId="0F576BD2" w14:textId="77777777" w:rsidR="002430E2" w:rsidRPr="002430E2" w:rsidRDefault="002430E2" w:rsidP="00650284">
            <w:pPr>
              <w:widowControl/>
              <w:suppressLineNumbers w:val="0"/>
              <w:suppressAutoHyphens w:val="0"/>
              <w:ind w:firstLine="0"/>
              <w:jc w:val="left"/>
              <w:rPr>
                <w:sz w:val="20"/>
                <w:szCs w:val="20"/>
              </w:rPr>
            </w:pPr>
            <w:proofErr w:type="spellStart"/>
            <w:r w:rsidRPr="002430E2">
              <w:rPr>
                <w:sz w:val="20"/>
                <w:szCs w:val="20"/>
              </w:rPr>
              <w:t>Marfrig</w:t>
            </w:r>
            <w:proofErr w:type="spellEnd"/>
          </w:p>
        </w:tc>
        <w:tc>
          <w:tcPr>
            <w:tcW w:w="0" w:type="auto"/>
            <w:vAlign w:val="center"/>
          </w:tcPr>
          <w:p w14:paraId="27D0145C" w14:textId="77777777" w:rsidR="002430E2" w:rsidRPr="002430E2" w:rsidRDefault="002430E2" w:rsidP="00650284">
            <w:pPr>
              <w:widowControl/>
              <w:suppressLineNumbers w:val="0"/>
              <w:suppressAutoHyphens w:val="0"/>
              <w:ind w:firstLine="0"/>
              <w:jc w:val="center"/>
              <w:rPr>
                <w:sz w:val="20"/>
                <w:szCs w:val="20"/>
              </w:rPr>
            </w:pPr>
            <w:r w:rsidRPr="002430E2">
              <w:rPr>
                <w:sz w:val="20"/>
                <w:szCs w:val="20"/>
              </w:rPr>
              <w:t>66,7%</w:t>
            </w:r>
          </w:p>
        </w:tc>
        <w:tc>
          <w:tcPr>
            <w:tcW w:w="0" w:type="auto"/>
            <w:vAlign w:val="center"/>
          </w:tcPr>
          <w:p w14:paraId="74A9C252" w14:textId="77777777" w:rsidR="002430E2" w:rsidRPr="002430E2" w:rsidRDefault="002430E2" w:rsidP="00650284">
            <w:pPr>
              <w:widowControl/>
              <w:suppressLineNumbers w:val="0"/>
              <w:suppressAutoHyphens w:val="0"/>
              <w:ind w:firstLine="0"/>
              <w:jc w:val="center"/>
              <w:rPr>
                <w:sz w:val="20"/>
                <w:szCs w:val="20"/>
              </w:rPr>
            </w:pPr>
            <w:r w:rsidRPr="002430E2">
              <w:rPr>
                <w:sz w:val="20"/>
                <w:szCs w:val="20"/>
              </w:rPr>
              <w:t>0%</w:t>
            </w:r>
          </w:p>
        </w:tc>
        <w:tc>
          <w:tcPr>
            <w:tcW w:w="0" w:type="auto"/>
            <w:vAlign w:val="center"/>
          </w:tcPr>
          <w:p w14:paraId="2F90A6C5" w14:textId="77777777" w:rsidR="002430E2" w:rsidRPr="002430E2" w:rsidRDefault="002430E2" w:rsidP="00650284">
            <w:pPr>
              <w:widowControl/>
              <w:suppressLineNumbers w:val="0"/>
              <w:suppressAutoHyphens w:val="0"/>
              <w:ind w:firstLine="0"/>
              <w:jc w:val="center"/>
              <w:rPr>
                <w:sz w:val="20"/>
                <w:szCs w:val="20"/>
              </w:rPr>
            </w:pPr>
            <w:r w:rsidRPr="002430E2">
              <w:rPr>
                <w:sz w:val="20"/>
                <w:szCs w:val="20"/>
              </w:rPr>
              <w:t>33,3%</w:t>
            </w:r>
          </w:p>
        </w:tc>
      </w:tr>
      <w:tr w:rsidR="002430E2" w:rsidRPr="002430E2" w14:paraId="2C20D39E" w14:textId="77777777" w:rsidTr="000D0D14">
        <w:trPr>
          <w:jc w:val="center"/>
        </w:trPr>
        <w:tc>
          <w:tcPr>
            <w:tcW w:w="0" w:type="auto"/>
            <w:vAlign w:val="center"/>
          </w:tcPr>
          <w:p w14:paraId="407083D1" w14:textId="77777777" w:rsidR="002430E2" w:rsidRPr="002430E2" w:rsidRDefault="002430E2" w:rsidP="00650284">
            <w:pPr>
              <w:widowControl/>
              <w:suppressLineNumbers w:val="0"/>
              <w:suppressAutoHyphens w:val="0"/>
              <w:ind w:firstLine="0"/>
              <w:jc w:val="left"/>
              <w:rPr>
                <w:sz w:val="20"/>
                <w:szCs w:val="20"/>
              </w:rPr>
            </w:pPr>
            <w:r w:rsidRPr="002430E2">
              <w:rPr>
                <w:sz w:val="20"/>
                <w:szCs w:val="20"/>
              </w:rPr>
              <w:t>Cielo</w:t>
            </w:r>
          </w:p>
        </w:tc>
        <w:tc>
          <w:tcPr>
            <w:tcW w:w="0" w:type="auto"/>
            <w:vAlign w:val="center"/>
          </w:tcPr>
          <w:p w14:paraId="377DBA60" w14:textId="77777777" w:rsidR="002430E2" w:rsidRPr="002430E2" w:rsidRDefault="002430E2" w:rsidP="00650284">
            <w:pPr>
              <w:widowControl/>
              <w:suppressLineNumbers w:val="0"/>
              <w:suppressAutoHyphens w:val="0"/>
              <w:ind w:firstLine="0"/>
              <w:jc w:val="center"/>
              <w:rPr>
                <w:sz w:val="20"/>
                <w:szCs w:val="20"/>
              </w:rPr>
            </w:pPr>
            <w:r w:rsidRPr="002430E2">
              <w:rPr>
                <w:sz w:val="20"/>
                <w:szCs w:val="20"/>
              </w:rPr>
              <w:t>33,3%</w:t>
            </w:r>
          </w:p>
        </w:tc>
        <w:tc>
          <w:tcPr>
            <w:tcW w:w="0" w:type="auto"/>
            <w:vAlign w:val="center"/>
          </w:tcPr>
          <w:p w14:paraId="6D63B95B" w14:textId="77777777" w:rsidR="002430E2" w:rsidRPr="002430E2" w:rsidRDefault="002430E2" w:rsidP="00650284">
            <w:pPr>
              <w:widowControl/>
              <w:suppressLineNumbers w:val="0"/>
              <w:suppressAutoHyphens w:val="0"/>
              <w:ind w:firstLine="0"/>
              <w:jc w:val="center"/>
              <w:rPr>
                <w:sz w:val="20"/>
                <w:szCs w:val="20"/>
              </w:rPr>
            </w:pPr>
            <w:r w:rsidRPr="002430E2">
              <w:rPr>
                <w:sz w:val="20"/>
                <w:szCs w:val="20"/>
              </w:rPr>
              <w:t>0%</w:t>
            </w:r>
          </w:p>
        </w:tc>
        <w:tc>
          <w:tcPr>
            <w:tcW w:w="0" w:type="auto"/>
            <w:vAlign w:val="center"/>
          </w:tcPr>
          <w:p w14:paraId="25CAD903" w14:textId="77777777" w:rsidR="002430E2" w:rsidRPr="002430E2" w:rsidRDefault="002430E2" w:rsidP="00650284">
            <w:pPr>
              <w:widowControl/>
              <w:suppressLineNumbers w:val="0"/>
              <w:suppressAutoHyphens w:val="0"/>
              <w:ind w:firstLine="0"/>
              <w:jc w:val="center"/>
              <w:rPr>
                <w:sz w:val="20"/>
                <w:szCs w:val="20"/>
              </w:rPr>
            </w:pPr>
            <w:r w:rsidRPr="002430E2">
              <w:rPr>
                <w:sz w:val="20"/>
                <w:szCs w:val="20"/>
              </w:rPr>
              <w:t>16,7%</w:t>
            </w:r>
          </w:p>
        </w:tc>
        <w:tc>
          <w:tcPr>
            <w:tcW w:w="0" w:type="auto"/>
            <w:vAlign w:val="center"/>
          </w:tcPr>
          <w:p w14:paraId="71F412CA" w14:textId="77777777" w:rsidR="002430E2" w:rsidRPr="002430E2" w:rsidRDefault="002430E2" w:rsidP="00650284">
            <w:pPr>
              <w:widowControl/>
              <w:suppressLineNumbers w:val="0"/>
              <w:suppressAutoHyphens w:val="0"/>
              <w:ind w:firstLine="0"/>
              <w:jc w:val="left"/>
              <w:rPr>
                <w:sz w:val="20"/>
                <w:szCs w:val="20"/>
              </w:rPr>
            </w:pPr>
            <w:r w:rsidRPr="002430E2">
              <w:rPr>
                <w:sz w:val="20"/>
                <w:szCs w:val="20"/>
              </w:rPr>
              <w:t>Minerva</w:t>
            </w:r>
          </w:p>
        </w:tc>
        <w:tc>
          <w:tcPr>
            <w:tcW w:w="0" w:type="auto"/>
            <w:vAlign w:val="center"/>
          </w:tcPr>
          <w:p w14:paraId="3B81D342" w14:textId="77777777" w:rsidR="002430E2" w:rsidRPr="002430E2" w:rsidRDefault="002430E2" w:rsidP="00650284">
            <w:pPr>
              <w:widowControl/>
              <w:suppressLineNumbers w:val="0"/>
              <w:suppressAutoHyphens w:val="0"/>
              <w:ind w:firstLine="0"/>
              <w:jc w:val="center"/>
              <w:rPr>
                <w:sz w:val="20"/>
                <w:szCs w:val="20"/>
              </w:rPr>
            </w:pPr>
            <w:r w:rsidRPr="002430E2">
              <w:rPr>
                <w:sz w:val="20"/>
                <w:szCs w:val="20"/>
              </w:rPr>
              <w:t>33,3%</w:t>
            </w:r>
          </w:p>
        </w:tc>
        <w:tc>
          <w:tcPr>
            <w:tcW w:w="0" w:type="auto"/>
            <w:vAlign w:val="center"/>
          </w:tcPr>
          <w:p w14:paraId="7E9258D3" w14:textId="77777777" w:rsidR="002430E2" w:rsidRPr="002430E2" w:rsidRDefault="002430E2" w:rsidP="00650284">
            <w:pPr>
              <w:widowControl/>
              <w:suppressLineNumbers w:val="0"/>
              <w:suppressAutoHyphens w:val="0"/>
              <w:ind w:firstLine="0"/>
              <w:jc w:val="center"/>
              <w:rPr>
                <w:sz w:val="20"/>
                <w:szCs w:val="20"/>
              </w:rPr>
            </w:pPr>
            <w:r w:rsidRPr="002430E2">
              <w:rPr>
                <w:sz w:val="20"/>
                <w:szCs w:val="20"/>
              </w:rPr>
              <w:t>0%</w:t>
            </w:r>
          </w:p>
        </w:tc>
        <w:tc>
          <w:tcPr>
            <w:tcW w:w="0" w:type="auto"/>
            <w:vAlign w:val="center"/>
          </w:tcPr>
          <w:p w14:paraId="4F668C4A" w14:textId="77777777" w:rsidR="002430E2" w:rsidRPr="002430E2" w:rsidRDefault="002430E2" w:rsidP="00650284">
            <w:pPr>
              <w:widowControl/>
              <w:suppressLineNumbers w:val="0"/>
              <w:suppressAutoHyphens w:val="0"/>
              <w:ind w:firstLine="0"/>
              <w:jc w:val="center"/>
              <w:rPr>
                <w:sz w:val="20"/>
                <w:szCs w:val="20"/>
              </w:rPr>
            </w:pPr>
            <w:r w:rsidRPr="002430E2">
              <w:rPr>
                <w:sz w:val="20"/>
                <w:szCs w:val="20"/>
              </w:rPr>
              <w:t>16,7%</w:t>
            </w:r>
          </w:p>
        </w:tc>
      </w:tr>
      <w:tr w:rsidR="002430E2" w:rsidRPr="002430E2" w14:paraId="7102DB05" w14:textId="77777777" w:rsidTr="000D0D14">
        <w:trPr>
          <w:jc w:val="center"/>
        </w:trPr>
        <w:tc>
          <w:tcPr>
            <w:tcW w:w="0" w:type="auto"/>
            <w:vAlign w:val="center"/>
          </w:tcPr>
          <w:p w14:paraId="02631AFC" w14:textId="77777777" w:rsidR="002430E2" w:rsidRPr="002430E2" w:rsidRDefault="002430E2" w:rsidP="00650284">
            <w:pPr>
              <w:widowControl/>
              <w:suppressLineNumbers w:val="0"/>
              <w:suppressAutoHyphens w:val="0"/>
              <w:ind w:firstLine="0"/>
              <w:jc w:val="left"/>
              <w:rPr>
                <w:sz w:val="20"/>
                <w:szCs w:val="20"/>
              </w:rPr>
            </w:pPr>
            <w:r w:rsidRPr="002430E2">
              <w:rPr>
                <w:sz w:val="20"/>
                <w:szCs w:val="20"/>
              </w:rPr>
              <w:t>Copel</w:t>
            </w:r>
          </w:p>
        </w:tc>
        <w:tc>
          <w:tcPr>
            <w:tcW w:w="0" w:type="auto"/>
            <w:vAlign w:val="center"/>
          </w:tcPr>
          <w:p w14:paraId="2F0EED12" w14:textId="77777777" w:rsidR="002430E2" w:rsidRPr="002430E2" w:rsidRDefault="002430E2" w:rsidP="00650284">
            <w:pPr>
              <w:widowControl/>
              <w:suppressLineNumbers w:val="0"/>
              <w:suppressAutoHyphens w:val="0"/>
              <w:ind w:firstLine="0"/>
              <w:jc w:val="center"/>
              <w:rPr>
                <w:sz w:val="20"/>
                <w:szCs w:val="20"/>
              </w:rPr>
            </w:pPr>
            <w:r w:rsidRPr="002430E2">
              <w:rPr>
                <w:sz w:val="20"/>
                <w:szCs w:val="20"/>
              </w:rPr>
              <w:t>0%</w:t>
            </w:r>
          </w:p>
        </w:tc>
        <w:tc>
          <w:tcPr>
            <w:tcW w:w="0" w:type="auto"/>
            <w:vAlign w:val="center"/>
          </w:tcPr>
          <w:p w14:paraId="6AA995DE" w14:textId="77777777" w:rsidR="002430E2" w:rsidRPr="002430E2" w:rsidRDefault="002430E2" w:rsidP="00650284">
            <w:pPr>
              <w:widowControl/>
              <w:suppressLineNumbers w:val="0"/>
              <w:suppressAutoHyphens w:val="0"/>
              <w:ind w:firstLine="0"/>
              <w:jc w:val="center"/>
              <w:rPr>
                <w:sz w:val="20"/>
                <w:szCs w:val="20"/>
              </w:rPr>
            </w:pPr>
            <w:r w:rsidRPr="002430E2">
              <w:rPr>
                <w:sz w:val="20"/>
                <w:szCs w:val="20"/>
              </w:rPr>
              <w:t>0%</w:t>
            </w:r>
          </w:p>
        </w:tc>
        <w:tc>
          <w:tcPr>
            <w:tcW w:w="0" w:type="auto"/>
            <w:vAlign w:val="center"/>
          </w:tcPr>
          <w:p w14:paraId="06E75DB0" w14:textId="77777777" w:rsidR="002430E2" w:rsidRPr="002430E2" w:rsidRDefault="002430E2" w:rsidP="00650284">
            <w:pPr>
              <w:widowControl/>
              <w:suppressLineNumbers w:val="0"/>
              <w:suppressAutoHyphens w:val="0"/>
              <w:ind w:firstLine="0"/>
              <w:jc w:val="center"/>
              <w:rPr>
                <w:sz w:val="20"/>
                <w:szCs w:val="20"/>
              </w:rPr>
            </w:pPr>
            <w:r w:rsidRPr="002430E2">
              <w:rPr>
                <w:sz w:val="20"/>
                <w:szCs w:val="20"/>
              </w:rPr>
              <w:t>0%</w:t>
            </w:r>
          </w:p>
        </w:tc>
        <w:tc>
          <w:tcPr>
            <w:tcW w:w="0" w:type="auto"/>
            <w:vAlign w:val="center"/>
          </w:tcPr>
          <w:p w14:paraId="7501DBF6" w14:textId="77777777" w:rsidR="002430E2" w:rsidRPr="002430E2" w:rsidRDefault="002430E2" w:rsidP="00650284">
            <w:pPr>
              <w:widowControl/>
              <w:suppressLineNumbers w:val="0"/>
              <w:suppressAutoHyphens w:val="0"/>
              <w:ind w:firstLine="0"/>
              <w:jc w:val="left"/>
              <w:rPr>
                <w:sz w:val="20"/>
                <w:szCs w:val="20"/>
              </w:rPr>
            </w:pPr>
            <w:r w:rsidRPr="002430E2">
              <w:rPr>
                <w:sz w:val="20"/>
                <w:szCs w:val="20"/>
              </w:rPr>
              <w:t>Movida</w:t>
            </w:r>
          </w:p>
        </w:tc>
        <w:tc>
          <w:tcPr>
            <w:tcW w:w="0" w:type="auto"/>
            <w:vAlign w:val="center"/>
          </w:tcPr>
          <w:p w14:paraId="636060F4" w14:textId="77777777" w:rsidR="002430E2" w:rsidRPr="002430E2" w:rsidRDefault="002430E2" w:rsidP="00650284">
            <w:pPr>
              <w:widowControl/>
              <w:suppressLineNumbers w:val="0"/>
              <w:suppressAutoHyphens w:val="0"/>
              <w:ind w:firstLine="0"/>
              <w:jc w:val="center"/>
              <w:rPr>
                <w:sz w:val="20"/>
                <w:szCs w:val="20"/>
              </w:rPr>
            </w:pPr>
            <w:r w:rsidRPr="002430E2">
              <w:rPr>
                <w:sz w:val="20"/>
                <w:szCs w:val="20"/>
              </w:rPr>
              <w:t>33,3%</w:t>
            </w:r>
          </w:p>
        </w:tc>
        <w:tc>
          <w:tcPr>
            <w:tcW w:w="0" w:type="auto"/>
            <w:vAlign w:val="center"/>
          </w:tcPr>
          <w:p w14:paraId="037462C3" w14:textId="77777777" w:rsidR="002430E2" w:rsidRPr="002430E2" w:rsidRDefault="002430E2" w:rsidP="00650284">
            <w:pPr>
              <w:widowControl/>
              <w:suppressLineNumbers w:val="0"/>
              <w:suppressAutoHyphens w:val="0"/>
              <w:ind w:firstLine="0"/>
              <w:jc w:val="center"/>
              <w:rPr>
                <w:sz w:val="20"/>
                <w:szCs w:val="20"/>
              </w:rPr>
            </w:pPr>
            <w:r w:rsidRPr="002430E2">
              <w:rPr>
                <w:sz w:val="20"/>
                <w:szCs w:val="20"/>
              </w:rPr>
              <w:t>16,7%</w:t>
            </w:r>
          </w:p>
        </w:tc>
        <w:tc>
          <w:tcPr>
            <w:tcW w:w="0" w:type="auto"/>
            <w:vAlign w:val="center"/>
          </w:tcPr>
          <w:p w14:paraId="22FD7875" w14:textId="77777777" w:rsidR="002430E2" w:rsidRPr="002430E2" w:rsidRDefault="002430E2" w:rsidP="00650284">
            <w:pPr>
              <w:widowControl/>
              <w:suppressLineNumbers w:val="0"/>
              <w:suppressAutoHyphens w:val="0"/>
              <w:ind w:firstLine="0"/>
              <w:jc w:val="center"/>
              <w:rPr>
                <w:sz w:val="20"/>
                <w:szCs w:val="20"/>
              </w:rPr>
            </w:pPr>
            <w:r w:rsidRPr="002430E2">
              <w:rPr>
                <w:sz w:val="20"/>
                <w:szCs w:val="20"/>
              </w:rPr>
              <w:t>25%</w:t>
            </w:r>
          </w:p>
        </w:tc>
      </w:tr>
      <w:tr w:rsidR="002430E2" w:rsidRPr="002430E2" w14:paraId="284E8463" w14:textId="77777777" w:rsidTr="000D0D14">
        <w:trPr>
          <w:jc w:val="center"/>
        </w:trPr>
        <w:tc>
          <w:tcPr>
            <w:tcW w:w="0" w:type="auto"/>
            <w:vAlign w:val="center"/>
          </w:tcPr>
          <w:p w14:paraId="159949B4" w14:textId="77777777" w:rsidR="002430E2" w:rsidRPr="002430E2" w:rsidRDefault="002430E2" w:rsidP="00650284">
            <w:pPr>
              <w:widowControl/>
              <w:suppressLineNumbers w:val="0"/>
              <w:suppressAutoHyphens w:val="0"/>
              <w:ind w:firstLine="0"/>
              <w:jc w:val="left"/>
              <w:rPr>
                <w:sz w:val="20"/>
                <w:szCs w:val="20"/>
              </w:rPr>
            </w:pPr>
            <w:proofErr w:type="spellStart"/>
            <w:r w:rsidRPr="002430E2">
              <w:rPr>
                <w:sz w:val="20"/>
                <w:szCs w:val="20"/>
              </w:rPr>
              <w:t>Cosan</w:t>
            </w:r>
            <w:proofErr w:type="spellEnd"/>
          </w:p>
        </w:tc>
        <w:tc>
          <w:tcPr>
            <w:tcW w:w="0" w:type="auto"/>
            <w:vAlign w:val="center"/>
          </w:tcPr>
          <w:p w14:paraId="34AD2DAC" w14:textId="77777777" w:rsidR="002430E2" w:rsidRPr="002430E2" w:rsidRDefault="002430E2" w:rsidP="00650284">
            <w:pPr>
              <w:widowControl/>
              <w:suppressLineNumbers w:val="0"/>
              <w:suppressAutoHyphens w:val="0"/>
              <w:ind w:firstLine="0"/>
              <w:jc w:val="center"/>
              <w:rPr>
                <w:sz w:val="20"/>
                <w:szCs w:val="20"/>
              </w:rPr>
            </w:pPr>
            <w:r w:rsidRPr="002430E2">
              <w:rPr>
                <w:sz w:val="20"/>
                <w:szCs w:val="20"/>
              </w:rPr>
              <w:t>0%</w:t>
            </w:r>
          </w:p>
        </w:tc>
        <w:tc>
          <w:tcPr>
            <w:tcW w:w="0" w:type="auto"/>
            <w:vAlign w:val="center"/>
          </w:tcPr>
          <w:p w14:paraId="72BDEA8F" w14:textId="77777777" w:rsidR="002430E2" w:rsidRPr="002430E2" w:rsidRDefault="002430E2" w:rsidP="00650284">
            <w:pPr>
              <w:widowControl/>
              <w:suppressLineNumbers w:val="0"/>
              <w:suppressAutoHyphens w:val="0"/>
              <w:ind w:firstLine="0"/>
              <w:jc w:val="center"/>
              <w:rPr>
                <w:sz w:val="20"/>
                <w:szCs w:val="20"/>
              </w:rPr>
            </w:pPr>
            <w:r w:rsidRPr="002430E2">
              <w:rPr>
                <w:sz w:val="20"/>
                <w:szCs w:val="20"/>
              </w:rPr>
              <w:t>0%</w:t>
            </w:r>
          </w:p>
        </w:tc>
        <w:tc>
          <w:tcPr>
            <w:tcW w:w="0" w:type="auto"/>
            <w:vAlign w:val="center"/>
          </w:tcPr>
          <w:p w14:paraId="7ADC704C" w14:textId="77777777" w:rsidR="002430E2" w:rsidRPr="002430E2" w:rsidRDefault="002430E2" w:rsidP="00650284">
            <w:pPr>
              <w:widowControl/>
              <w:suppressLineNumbers w:val="0"/>
              <w:suppressAutoHyphens w:val="0"/>
              <w:ind w:firstLine="0"/>
              <w:jc w:val="center"/>
              <w:rPr>
                <w:sz w:val="20"/>
                <w:szCs w:val="20"/>
              </w:rPr>
            </w:pPr>
            <w:r w:rsidRPr="002430E2">
              <w:rPr>
                <w:sz w:val="20"/>
                <w:szCs w:val="20"/>
              </w:rPr>
              <w:t>0%</w:t>
            </w:r>
          </w:p>
        </w:tc>
        <w:tc>
          <w:tcPr>
            <w:tcW w:w="0" w:type="auto"/>
            <w:vAlign w:val="center"/>
          </w:tcPr>
          <w:p w14:paraId="75CD19A7" w14:textId="77777777" w:rsidR="002430E2" w:rsidRPr="002430E2" w:rsidRDefault="002430E2" w:rsidP="00650284">
            <w:pPr>
              <w:widowControl/>
              <w:suppressLineNumbers w:val="0"/>
              <w:suppressAutoHyphens w:val="0"/>
              <w:ind w:firstLine="0"/>
              <w:jc w:val="left"/>
              <w:rPr>
                <w:sz w:val="20"/>
                <w:szCs w:val="20"/>
              </w:rPr>
            </w:pPr>
            <w:r w:rsidRPr="002430E2">
              <w:rPr>
                <w:sz w:val="20"/>
                <w:szCs w:val="20"/>
              </w:rPr>
              <w:t>MRV</w:t>
            </w:r>
          </w:p>
        </w:tc>
        <w:tc>
          <w:tcPr>
            <w:tcW w:w="0" w:type="auto"/>
            <w:vAlign w:val="center"/>
          </w:tcPr>
          <w:p w14:paraId="585E1A38" w14:textId="77777777" w:rsidR="002430E2" w:rsidRPr="002430E2" w:rsidRDefault="002430E2" w:rsidP="00650284">
            <w:pPr>
              <w:widowControl/>
              <w:suppressLineNumbers w:val="0"/>
              <w:suppressAutoHyphens w:val="0"/>
              <w:ind w:firstLine="0"/>
              <w:jc w:val="center"/>
              <w:rPr>
                <w:sz w:val="20"/>
                <w:szCs w:val="20"/>
              </w:rPr>
            </w:pPr>
            <w:r w:rsidRPr="002430E2">
              <w:rPr>
                <w:sz w:val="20"/>
                <w:szCs w:val="20"/>
              </w:rPr>
              <w:t>33,3%</w:t>
            </w:r>
          </w:p>
        </w:tc>
        <w:tc>
          <w:tcPr>
            <w:tcW w:w="0" w:type="auto"/>
            <w:vAlign w:val="center"/>
          </w:tcPr>
          <w:p w14:paraId="2D20CE9B" w14:textId="77777777" w:rsidR="002430E2" w:rsidRPr="002430E2" w:rsidRDefault="002430E2" w:rsidP="00650284">
            <w:pPr>
              <w:widowControl/>
              <w:suppressLineNumbers w:val="0"/>
              <w:suppressAutoHyphens w:val="0"/>
              <w:ind w:firstLine="0"/>
              <w:jc w:val="center"/>
              <w:rPr>
                <w:sz w:val="20"/>
                <w:szCs w:val="20"/>
              </w:rPr>
            </w:pPr>
            <w:r w:rsidRPr="002430E2">
              <w:rPr>
                <w:sz w:val="20"/>
                <w:szCs w:val="20"/>
              </w:rPr>
              <w:t>33,3%</w:t>
            </w:r>
          </w:p>
        </w:tc>
        <w:tc>
          <w:tcPr>
            <w:tcW w:w="0" w:type="auto"/>
            <w:vAlign w:val="center"/>
          </w:tcPr>
          <w:p w14:paraId="5EA2D83D" w14:textId="77777777" w:rsidR="002430E2" w:rsidRPr="002430E2" w:rsidRDefault="002430E2" w:rsidP="00650284">
            <w:pPr>
              <w:widowControl/>
              <w:suppressLineNumbers w:val="0"/>
              <w:suppressAutoHyphens w:val="0"/>
              <w:ind w:firstLine="0"/>
              <w:jc w:val="center"/>
              <w:rPr>
                <w:sz w:val="20"/>
                <w:szCs w:val="20"/>
              </w:rPr>
            </w:pPr>
            <w:r w:rsidRPr="002430E2">
              <w:rPr>
                <w:sz w:val="20"/>
                <w:szCs w:val="20"/>
              </w:rPr>
              <w:t>33,3%</w:t>
            </w:r>
          </w:p>
        </w:tc>
      </w:tr>
      <w:tr w:rsidR="002430E2" w:rsidRPr="002430E2" w14:paraId="69574DF4" w14:textId="77777777" w:rsidTr="000D0D14">
        <w:trPr>
          <w:jc w:val="center"/>
        </w:trPr>
        <w:tc>
          <w:tcPr>
            <w:tcW w:w="0" w:type="auto"/>
            <w:vAlign w:val="center"/>
          </w:tcPr>
          <w:p w14:paraId="673996D7" w14:textId="77777777" w:rsidR="002430E2" w:rsidRPr="002430E2" w:rsidRDefault="002430E2" w:rsidP="00650284">
            <w:pPr>
              <w:widowControl/>
              <w:suppressLineNumbers w:val="0"/>
              <w:suppressAutoHyphens w:val="0"/>
              <w:ind w:firstLine="0"/>
              <w:jc w:val="left"/>
              <w:rPr>
                <w:sz w:val="20"/>
                <w:szCs w:val="20"/>
              </w:rPr>
            </w:pPr>
            <w:r w:rsidRPr="002430E2">
              <w:rPr>
                <w:sz w:val="20"/>
                <w:szCs w:val="20"/>
              </w:rPr>
              <w:t>CPFL</w:t>
            </w:r>
          </w:p>
        </w:tc>
        <w:tc>
          <w:tcPr>
            <w:tcW w:w="0" w:type="auto"/>
            <w:vAlign w:val="center"/>
          </w:tcPr>
          <w:p w14:paraId="275C9DE2" w14:textId="77777777" w:rsidR="002430E2" w:rsidRPr="002430E2" w:rsidRDefault="002430E2" w:rsidP="00650284">
            <w:pPr>
              <w:widowControl/>
              <w:suppressLineNumbers w:val="0"/>
              <w:suppressAutoHyphens w:val="0"/>
              <w:ind w:firstLine="0"/>
              <w:jc w:val="center"/>
              <w:rPr>
                <w:sz w:val="20"/>
                <w:szCs w:val="20"/>
              </w:rPr>
            </w:pPr>
            <w:r w:rsidRPr="002430E2">
              <w:rPr>
                <w:sz w:val="20"/>
                <w:szCs w:val="20"/>
              </w:rPr>
              <w:t>83,3%</w:t>
            </w:r>
          </w:p>
        </w:tc>
        <w:tc>
          <w:tcPr>
            <w:tcW w:w="0" w:type="auto"/>
            <w:vAlign w:val="center"/>
          </w:tcPr>
          <w:p w14:paraId="2721B088" w14:textId="77777777" w:rsidR="002430E2" w:rsidRPr="002430E2" w:rsidRDefault="002430E2" w:rsidP="00650284">
            <w:pPr>
              <w:widowControl/>
              <w:suppressLineNumbers w:val="0"/>
              <w:suppressAutoHyphens w:val="0"/>
              <w:ind w:firstLine="0"/>
              <w:jc w:val="center"/>
              <w:rPr>
                <w:sz w:val="20"/>
                <w:szCs w:val="20"/>
              </w:rPr>
            </w:pPr>
            <w:r w:rsidRPr="002430E2">
              <w:rPr>
                <w:sz w:val="20"/>
                <w:szCs w:val="20"/>
              </w:rPr>
              <w:t>83,3%</w:t>
            </w:r>
          </w:p>
        </w:tc>
        <w:tc>
          <w:tcPr>
            <w:tcW w:w="0" w:type="auto"/>
            <w:vAlign w:val="center"/>
          </w:tcPr>
          <w:p w14:paraId="527E2B8B" w14:textId="77777777" w:rsidR="002430E2" w:rsidRPr="002430E2" w:rsidRDefault="002430E2" w:rsidP="00650284">
            <w:pPr>
              <w:widowControl/>
              <w:suppressLineNumbers w:val="0"/>
              <w:suppressAutoHyphens w:val="0"/>
              <w:ind w:firstLine="0"/>
              <w:jc w:val="center"/>
              <w:rPr>
                <w:sz w:val="20"/>
                <w:szCs w:val="20"/>
              </w:rPr>
            </w:pPr>
            <w:r w:rsidRPr="002430E2">
              <w:rPr>
                <w:sz w:val="20"/>
                <w:szCs w:val="20"/>
              </w:rPr>
              <w:t>83,3%</w:t>
            </w:r>
          </w:p>
        </w:tc>
        <w:tc>
          <w:tcPr>
            <w:tcW w:w="0" w:type="auto"/>
            <w:vAlign w:val="center"/>
          </w:tcPr>
          <w:p w14:paraId="4D59610A" w14:textId="77777777" w:rsidR="002430E2" w:rsidRPr="002430E2" w:rsidRDefault="002430E2" w:rsidP="00650284">
            <w:pPr>
              <w:widowControl/>
              <w:suppressLineNumbers w:val="0"/>
              <w:suppressAutoHyphens w:val="0"/>
              <w:ind w:firstLine="0"/>
              <w:jc w:val="left"/>
              <w:rPr>
                <w:sz w:val="20"/>
                <w:szCs w:val="20"/>
              </w:rPr>
            </w:pPr>
            <w:r w:rsidRPr="002430E2">
              <w:rPr>
                <w:sz w:val="20"/>
                <w:szCs w:val="20"/>
              </w:rPr>
              <w:t>Natura</w:t>
            </w:r>
          </w:p>
        </w:tc>
        <w:tc>
          <w:tcPr>
            <w:tcW w:w="0" w:type="auto"/>
            <w:vAlign w:val="center"/>
          </w:tcPr>
          <w:p w14:paraId="78ECABE6" w14:textId="77777777" w:rsidR="002430E2" w:rsidRPr="002430E2" w:rsidRDefault="002430E2" w:rsidP="00650284">
            <w:pPr>
              <w:widowControl/>
              <w:suppressLineNumbers w:val="0"/>
              <w:suppressAutoHyphens w:val="0"/>
              <w:ind w:firstLine="0"/>
              <w:jc w:val="center"/>
              <w:rPr>
                <w:sz w:val="20"/>
                <w:szCs w:val="20"/>
              </w:rPr>
            </w:pPr>
            <w:r w:rsidRPr="002430E2">
              <w:rPr>
                <w:sz w:val="20"/>
                <w:szCs w:val="20"/>
              </w:rPr>
              <w:t>83,3%</w:t>
            </w:r>
          </w:p>
        </w:tc>
        <w:tc>
          <w:tcPr>
            <w:tcW w:w="0" w:type="auto"/>
            <w:vAlign w:val="center"/>
          </w:tcPr>
          <w:p w14:paraId="2A8B8CA5" w14:textId="77777777" w:rsidR="002430E2" w:rsidRPr="002430E2" w:rsidRDefault="002430E2" w:rsidP="00650284">
            <w:pPr>
              <w:widowControl/>
              <w:suppressLineNumbers w:val="0"/>
              <w:suppressAutoHyphens w:val="0"/>
              <w:ind w:firstLine="0"/>
              <w:jc w:val="center"/>
              <w:rPr>
                <w:sz w:val="20"/>
                <w:szCs w:val="20"/>
              </w:rPr>
            </w:pPr>
            <w:r w:rsidRPr="002430E2">
              <w:rPr>
                <w:sz w:val="20"/>
                <w:szCs w:val="20"/>
              </w:rPr>
              <w:t>83,3%</w:t>
            </w:r>
          </w:p>
        </w:tc>
        <w:tc>
          <w:tcPr>
            <w:tcW w:w="0" w:type="auto"/>
            <w:vAlign w:val="center"/>
          </w:tcPr>
          <w:p w14:paraId="469F539B" w14:textId="77777777" w:rsidR="002430E2" w:rsidRPr="002430E2" w:rsidRDefault="002430E2" w:rsidP="00650284">
            <w:pPr>
              <w:widowControl/>
              <w:suppressLineNumbers w:val="0"/>
              <w:suppressAutoHyphens w:val="0"/>
              <w:ind w:firstLine="0"/>
              <w:jc w:val="center"/>
              <w:rPr>
                <w:sz w:val="20"/>
                <w:szCs w:val="20"/>
              </w:rPr>
            </w:pPr>
            <w:r w:rsidRPr="002430E2">
              <w:rPr>
                <w:sz w:val="20"/>
                <w:szCs w:val="20"/>
              </w:rPr>
              <w:t>83,3%</w:t>
            </w:r>
          </w:p>
        </w:tc>
      </w:tr>
      <w:tr w:rsidR="002430E2" w:rsidRPr="002430E2" w14:paraId="36DE8477" w14:textId="77777777" w:rsidTr="000D0D14">
        <w:trPr>
          <w:jc w:val="center"/>
        </w:trPr>
        <w:tc>
          <w:tcPr>
            <w:tcW w:w="0" w:type="auto"/>
            <w:vAlign w:val="center"/>
          </w:tcPr>
          <w:p w14:paraId="55567204" w14:textId="77777777" w:rsidR="002430E2" w:rsidRPr="002430E2" w:rsidRDefault="002430E2" w:rsidP="00650284">
            <w:pPr>
              <w:widowControl/>
              <w:suppressLineNumbers w:val="0"/>
              <w:suppressAutoHyphens w:val="0"/>
              <w:ind w:firstLine="0"/>
              <w:jc w:val="left"/>
              <w:rPr>
                <w:sz w:val="20"/>
                <w:szCs w:val="20"/>
              </w:rPr>
            </w:pPr>
            <w:r w:rsidRPr="002430E2">
              <w:rPr>
                <w:sz w:val="20"/>
                <w:szCs w:val="20"/>
              </w:rPr>
              <w:t>Duratex</w:t>
            </w:r>
          </w:p>
        </w:tc>
        <w:tc>
          <w:tcPr>
            <w:tcW w:w="0" w:type="auto"/>
            <w:vAlign w:val="center"/>
          </w:tcPr>
          <w:p w14:paraId="7060DE43" w14:textId="77777777" w:rsidR="002430E2" w:rsidRPr="002430E2" w:rsidRDefault="002430E2" w:rsidP="00650284">
            <w:pPr>
              <w:keepLines/>
              <w:suppressLineNumbers w:val="0"/>
              <w:suppressAutoHyphens w:val="0"/>
              <w:ind w:firstLine="0"/>
              <w:jc w:val="center"/>
              <w:rPr>
                <w:sz w:val="20"/>
                <w:szCs w:val="20"/>
              </w:rPr>
            </w:pPr>
            <w:r w:rsidRPr="002430E2">
              <w:rPr>
                <w:sz w:val="20"/>
                <w:szCs w:val="20"/>
              </w:rPr>
              <w:t>33,3%</w:t>
            </w:r>
          </w:p>
        </w:tc>
        <w:tc>
          <w:tcPr>
            <w:tcW w:w="0" w:type="auto"/>
            <w:vAlign w:val="center"/>
          </w:tcPr>
          <w:p w14:paraId="4F3BB63C" w14:textId="77777777" w:rsidR="002430E2" w:rsidRPr="002430E2" w:rsidRDefault="002430E2" w:rsidP="00650284">
            <w:pPr>
              <w:keepLines/>
              <w:suppressLineNumbers w:val="0"/>
              <w:suppressAutoHyphens w:val="0"/>
              <w:ind w:firstLine="0"/>
              <w:jc w:val="center"/>
              <w:rPr>
                <w:sz w:val="20"/>
                <w:szCs w:val="20"/>
              </w:rPr>
            </w:pPr>
            <w:r w:rsidRPr="002430E2">
              <w:rPr>
                <w:sz w:val="20"/>
                <w:szCs w:val="20"/>
              </w:rPr>
              <w:t>33,3%</w:t>
            </w:r>
          </w:p>
        </w:tc>
        <w:tc>
          <w:tcPr>
            <w:tcW w:w="0" w:type="auto"/>
            <w:vAlign w:val="center"/>
          </w:tcPr>
          <w:p w14:paraId="40CB0C6A" w14:textId="77777777" w:rsidR="002430E2" w:rsidRPr="002430E2" w:rsidRDefault="002430E2" w:rsidP="00650284">
            <w:pPr>
              <w:keepLines/>
              <w:suppressLineNumbers w:val="0"/>
              <w:suppressAutoHyphens w:val="0"/>
              <w:ind w:firstLine="0"/>
              <w:jc w:val="center"/>
              <w:rPr>
                <w:sz w:val="20"/>
                <w:szCs w:val="20"/>
              </w:rPr>
            </w:pPr>
            <w:r w:rsidRPr="002430E2">
              <w:rPr>
                <w:sz w:val="20"/>
                <w:szCs w:val="20"/>
              </w:rPr>
              <w:t>33,3%</w:t>
            </w:r>
          </w:p>
        </w:tc>
        <w:tc>
          <w:tcPr>
            <w:tcW w:w="0" w:type="auto"/>
            <w:vAlign w:val="center"/>
          </w:tcPr>
          <w:p w14:paraId="48A81892" w14:textId="77777777" w:rsidR="002430E2" w:rsidRPr="002430E2" w:rsidRDefault="002430E2" w:rsidP="00650284">
            <w:pPr>
              <w:keepLines/>
              <w:suppressLineNumbers w:val="0"/>
              <w:suppressAutoHyphens w:val="0"/>
              <w:ind w:firstLine="0"/>
              <w:jc w:val="left"/>
              <w:rPr>
                <w:sz w:val="20"/>
                <w:szCs w:val="20"/>
              </w:rPr>
            </w:pPr>
            <w:proofErr w:type="spellStart"/>
            <w:r w:rsidRPr="002430E2">
              <w:rPr>
                <w:sz w:val="20"/>
                <w:szCs w:val="20"/>
              </w:rPr>
              <w:t>Neoenergia</w:t>
            </w:r>
            <w:proofErr w:type="spellEnd"/>
          </w:p>
        </w:tc>
        <w:tc>
          <w:tcPr>
            <w:tcW w:w="0" w:type="auto"/>
            <w:vAlign w:val="center"/>
          </w:tcPr>
          <w:p w14:paraId="73C37F9D" w14:textId="77777777" w:rsidR="002430E2" w:rsidRPr="002430E2" w:rsidRDefault="002430E2" w:rsidP="00650284">
            <w:pPr>
              <w:widowControl/>
              <w:suppressLineNumbers w:val="0"/>
              <w:suppressAutoHyphens w:val="0"/>
              <w:ind w:firstLine="0"/>
              <w:jc w:val="center"/>
              <w:rPr>
                <w:sz w:val="20"/>
                <w:szCs w:val="20"/>
              </w:rPr>
            </w:pPr>
            <w:r w:rsidRPr="002430E2">
              <w:rPr>
                <w:sz w:val="20"/>
                <w:szCs w:val="20"/>
              </w:rPr>
              <w:t>16,7%</w:t>
            </w:r>
          </w:p>
        </w:tc>
        <w:tc>
          <w:tcPr>
            <w:tcW w:w="0" w:type="auto"/>
            <w:vAlign w:val="center"/>
          </w:tcPr>
          <w:p w14:paraId="2E039D6D" w14:textId="77777777" w:rsidR="002430E2" w:rsidRPr="002430E2" w:rsidRDefault="002430E2" w:rsidP="00650284">
            <w:pPr>
              <w:widowControl/>
              <w:suppressLineNumbers w:val="0"/>
              <w:suppressAutoHyphens w:val="0"/>
              <w:ind w:firstLine="0"/>
              <w:jc w:val="center"/>
              <w:rPr>
                <w:sz w:val="20"/>
                <w:szCs w:val="20"/>
              </w:rPr>
            </w:pPr>
            <w:r w:rsidRPr="002430E2">
              <w:rPr>
                <w:sz w:val="20"/>
                <w:szCs w:val="20"/>
              </w:rPr>
              <w:t>33,3%</w:t>
            </w:r>
          </w:p>
        </w:tc>
        <w:tc>
          <w:tcPr>
            <w:tcW w:w="0" w:type="auto"/>
            <w:vAlign w:val="center"/>
          </w:tcPr>
          <w:p w14:paraId="5BBB2DF2" w14:textId="77777777" w:rsidR="002430E2" w:rsidRPr="002430E2" w:rsidRDefault="002430E2" w:rsidP="00650284">
            <w:pPr>
              <w:widowControl/>
              <w:suppressLineNumbers w:val="0"/>
              <w:suppressAutoHyphens w:val="0"/>
              <w:ind w:firstLine="0"/>
              <w:jc w:val="center"/>
              <w:rPr>
                <w:sz w:val="20"/>
                <w:szCs w:val="20"/>
              </w:rPr>
            </w:pPr>
            <w:r w:rsidRPr="002430E2">
              <w:rPr>
                <w:sz w:val="20"/>
                <w:szCs w:val="20"/>
              </w:rPr>
              <w:t>25%</w:t>
            </w:r>
          </w:p>
        </w:tc>
      </w:tr>
      <w:tr w:rsidR="002430E2" w:rsidRPr="002430E2" w14:paraId="696B8B26" w14:textId="77777777" w:rsidTr="000D0D14">
        <w:trPr>
          <w:jc w:val="center"/>
        </w:trPr>
        <w:tc>
          <w:tcPr>
            <w:tcW w:w="0" w:type="auto"/>
            <w:vAlign w:val="center"/>
          </w:tcPr>
          <w:p w14:paraId="118CA41F" w14:textId="77777777" w:rsidR="002430E2" w:rsidRPr="002430E2" w:rsidRDefault="002430E2" w:rsidP="00650284">
            <w:pPr>
              <w:widowControl/>
              <w:suppressLineNumbers w:val="0"/>
              <w:suppressAutoHyphens w:val="0"/>
              <w:ind w:firstLine="0"/>
              <w:jc w:val="left"/>
              <w:rPr>
                <w:sz w:val="20"/>
                <w:szCs w:val="20"/>
              </w:rPr>
            </w:pPr>
            <w:proofErr w:type="spellStart"/>
            <w:r w:rsidRPr="002430E2">
              <w:rPr>
                <w:sz w:val="20"/>
                <w:szCs w:val="20"/>
              </w:rPr>
              <w:t>Ecorodovias</w:t>
            </w:r>
            <w:proofErr w:type="spellEnd"/>
          </w:p>
        </w:tc>
        <w:tc>
          <w:tcPr>
            <w:tcW w:w="0" w:type="auto"/>
            <w:vAlign w:val="center"/>
          </w:tcPr>
          <w:p w14:paraId="5B80F966" w14:textId="77777777" w:rsidR="002430E2" w:rsidRPr="002430E2" w:rsidRDefault="002430E2" w:rsidP="00650284">
            <w:pPr>
              <w:keepLines/>
              <w:suppressLineNumbers w:val="0"/>
              <w:suppressAutoHyphens w:val="0"/>
              <w:ind w:firstLine="0"/>
              <w:jc w:val="center"/>
              <w:rPr>
                <w:sz w:val="20"/>
                <w:szCs w:val="20"/>
              </w:rPr>
            </w:pPr>
            <w:r w:rsidRPr="002430E2">
              <w:rPr>
                <w:sz w:val="20"/>
                <w:szCs w:val="20"/>
              </w:rPr>
              <w:t>50%</w:t>
            </w:r>
          </w:p>
        </w:tc>
        <w:tc>
          <w:tcPr>
            <w:tcW w:w="0" w:type="auto"/>
            <w:vAlign w:val="center"/>
          </w:tcPr>
          <w:p w14:paraId="7DECAA79" w14:textId="77777777" w:rsidR="002430E2" w:rsidRPr="002430E2" w:rsidRDefault="002430E2" w:rsidP="00650284">
            <w:pPr>
              <w:keepLines/>
              <w:suppressLineNumbers w:val="0"/>
              <w:suppressAutoHyphens w:val="0"/>
              <w:ind w:firstLine="0"/>
              <w:jc w:val="center"/>
              <w:rPr>
                <w:sz w:val="20"/>
                <w:szCs w:val="20"/>
              </w:rPr>
            </w:pPr>
            <w:r w:rsidRPr="002430E2">
              <w:rPr>
                <w:sz w:val="20"/>
                <w:szCs w:val="20"/>
              </w:rPr>
              <w:t>0%</w:t>
            </w:r>
          </w:p>
        </w:tc>
        <w:tc>
          <w:tcPr>
            <w:tcW w:w="0" w:type="auto"/>
            <w:vAlign w:val="center"/>
          </w:tcPr>
          <w:p w14:paraId="7B54DDCA" w14:textId="77777777" w:rsidR="002430E2" w:rsidRPr="002430E2" w:rsidRDefault="002430E2" w:rsidP="00650284">
            <w:pPr>
              <w:keepLines/>
              <w:suppressLineNumbers w:val="0"/>
              <w:suppressAutoHyphens w:val="0"/>
              <w:ind w:firstLine="0"/>
              <w:jc w:val="center"/>
              <w:rPr>
                <w:sz w:val="20"/>
                <w:szCs w:val="20"/>
              </w:rPr>
            </w:pPr>
            <w:r w:rsidRPr="002430E2">
              <w:rPr>
                <w:sz w:val="20"/>
                <w:szCs w:val="20"/>
              </w:rPr>
              <w:t>25%</w:t>
            </w:r>
          </w:p>
        </w:tc>
        <w:tc>
          <w:tcPr>
            <w:tcW w:w="0" w:type="auto"/>
            <w:vAlign w:val="center"/>
          </w:tcPr>
          <w:p w14:paraId="01CD75B7" w14:textId="77777777" w:rsidR="002430E2" w:rsidRPr="002430E2" w:rsidRDefault="002430E2" w:rsidP="00650284">
            <w:pPr>
              <w:keepLines/>
              <w:suppressLineNumbers w:val="0"/>
              <w:suppressAutoHyphens w:val="0"/>
              <w:ind w:firstLine="0"/>
              <w:jc w:val="left"/>
              <w:rPr>
                <w:sz w:val="20"/>
                <w:szCs w:val="20"/>
              </w:rPr>
            </w:pPr>
            <w:r w:rsidRPr="002430E2">
              <w:rPr>
                <w:sz w:val="20"/>
                <w:szCs w:val="20"/>
              </w:rPr>
              <w:t>Petrobras</w:t>
            </w:r>
          </w:p>
        </w:tc>
        <w:tc>
          <w:tcPr>
            <w:tcW w:w="0" w:type="auto"/>
            <w:vAlign w:val="center"/>
          </w:tcPr>
          <w:p w14:paraId="42298D2D" w14:textId="77777777" w:rsidR="002430E2" w:rsidRPr="002430E2" w:rsidRDefault="002430E2" w:rsidP="00650284">
            <w:pPr>
              <w:widowControl/>
              <w:suppressLineNumbers w:val="0"/>
              <w:suppressAutoHyphens w:val="0"/>
              <w:ind w:firstLine="0"/>
              <w:jc w:val="center"/>
              <w:rPr>
                <w:sz w:val="20"/>
                <w:szCs w:val="20"/>
              </w:rPr>
            </w:pPr>
            <w:r w:rsidRPr="002430E2">
              <w:rPr>
                <w:sz w:val="20"/>
                <w:szCs w:val="20"/>
              </w:rPr>
              <w:t>33,3%</w:t>
            </w:r>
          </w:p>
        </w:tc>
        <w:tc>
          <w:tcPr>
            <w:tcW w:w="0" w:type="auto"/>
            <w:vAlign w:val="center"/>
          </w:tcPr>
          <w:p w14:paraId="4F19CAD2" w14:textId="77777777" w:rsidR="002430E2" w:rsidRPr="002430E2" w:rsidRDefault="002430E2" w:rsidP="00650284">
            <w:pPr>
              <w:widowControl/>
              <w:suppressLineNumbers w:val="0"/>
              <w:suppressAutoHyphens w:val="0"/>
              <w:ind w:firstLine="0"/>
              <w:jc w:val="center"/>
              <w:rPr>
                <w:sz w:val="20"/>
                <w:szCs w:val="20"/>
              </w:rPr>
            </w:pPr>
            <w:r w:rsidRPr="002430E2">
              <w:rPr>
                <w:sz w:val="20"/>
                <w:szCs w:val="20"/>
              </w:rPr>
              <w:t>16,7%</w:t>
            </w:r>
          </w:p>
        </w:tc>
        <w:tc>
          <w:tcPr>
            <w:tcW w:w="0" w:type="auto"/>
            <w:vAlign w:val="center"/>
          </w:tcPr>
          <w:p w14:paraId="2B86B21B" w14:textId="77777777" w:rsidR="002430E2" w:rsidRPr="002430E2" w:rsidRDefault="002430E2" w:rsidP="00650284">
            <w:pPr>
              <w:widowControl/>
              <w:suppressLineNumbers w:val="0"/>
              <w:suppressAutoHyphens w:val="0"/>
              <w:ind w:firstLine="0"/>
              <w:jc w:val="center"/>
              <w:rPr>
                <w:sz w:val="20"/>
                <w:szCs w:val="20"/>
              </w:rPr>
            </w:pPr>
            <w:r w:rsidRPr="002430E2">
              <w:rPr>
                <w:sz w:val="20"/>
                <w:szCs w:val="20"/>
              </w:rPr>
              <w:t>25%</w:t>
            </w:r>
          </w:p>
        </w:tc>
      </w:tr>
      <w:tr w:rsidR="002430E2" w:rsidRPr="002430E2" w14:paraId="7C0C1C34" w14:textId="77777777" w:rsidTr="000D0D14">
        <w:trPr>
          <w:jc w:val="center"/>
        </w:trPr>
        <w:tc>
          <w:tcPr>
            <w:tcW w:w="0" w:type="auto"/>
            <w:vAlign w:val="center"/>
          </w:tcPr>
          <w:p w14:paraId="5DC62CBC" w14:textId="77777777" w:rsidR="002430E2" w:rsidRPr="002430E2" w:rsidRDefault="002430E2" w:rsidP="00650284">
            <w:pPr>
              <w:widowControl/>
              <w:suppressLineNumbers w:val="0"/>
              <w:suppressAutoHyphens w:val="0"/>
              <w:ind w:firstLine="0"/>
              <w:jc w:val="left"/>
              <w:rPr>
                <w:sz w:val="20"/>
                <w:szCs w:val="20"/>
              </w:rPr>
            </w:pPr>
            <w:r w:rsidRPr="002430E2">
              <w:rPr>
                <w:sz w:val="20"/>
                <w:szCs w:val="20"/>
              </w:rPr>
              <w:t>EDP</w:t>
            </w:r>
          </w:p>
        </w:tc>
        <w:tc>
          <w:tcPr>
            <w:tcW w:w="0" w:type="auto"/>
            <w:vAlign w:val="center"/>
          </w:tcPr>
          <w:p w14:paraId="16AF12C6" w14:textId="77777777" w:rsidR="002430E2" w:rsidRPr="002430E2" w:rsidRDefault="002430E2" w:rsidP="00650284">
            <w:pPr>
              <w:keepLines/>
              <w:suppressLineNumbers w:val="0"/>
              <w:suppressAutoHyphens w:val="0"/>
              <w:ind w:firstLine="0"/>
              <w:jc w:val="center"/>
              <w:rPr>
                <w:sz w:val="20"/>
                <w:szCs w:val="20"/>
              </w:rPr>
            </w:pPr>
            <w:r w:rsidRPr="002430E2">
              <w:rPr>
                <w:sz w:val="20"/>
                <w:szCs w:val="20"/>
              </w:rPr>
              <w:t>33,3%</w:t>
            </w:r>
          </w:p>
        </w:tc>
        <w:tc>
          <w:tcPr>
            <w:tcW w:w="0" w:type="auto"/>
            <w:vAlign w:val="center"/>
          </w:tcPr>
          <w:p w14:paraId="556FEDAD" w14:textId="77777777" w:rsidR="002430E2" w:rsidRPr="002430E2" w:rsidRDefault="002430E2" w:rsidP="00650284">
            <w:pPr>
              <w:keepLines/>
              <w:suppressLineNumbers w:val="0"/>
              <w:suppressAutoHyphens w:val="0"/>
              <w:ind w:firstLine="0"/>
              <w:jc w:val="center"/>
              <w:rPr>
                <w:sz w:val="20"/>
                <w:szCs w:val="20"/>
              </w:rPr>
            </w:pPr>
            <w:r w:rsidRPr="002430E2">
              <w:rPr>
                <w:sz w:val="20"/>
                <w:szCs w:val="20"/>
              </w:rPr>
              <w:t>66,7%</w:t>
            </w:r>
          </w:p>
        </w:tc>
        <w:tc>
          <w:tcPr>
            <w:tcW w:w="0" w:type="auto"/>
            <w:vAlign w:val="center"/>
          </w:tcPr>
          <w:p w14:paraId="41FDE515" w14:textId="77777777" w:rsidR="002430E2" w:rsidRPr="002430E2" w:rsidRDefault="002430E2" w:rsidP="00650284">
            <w:pPr>
              <w:keepLines/>
              <w:suppressLineNumbers w:val="0"/>
              <w:suppressAutoHyphens w:val="0"/>
              <w:ind w:firstLine="0"/>
              <w:jc w:val="center"/>
              <w:rPr>
                <w:sz w:val="20"/>
                <w:szCs w:val="20"/>
              </w:rPr>
            </w:pPr>
            <w:r w:rsidRPr="002430E2">
              <w:rPr>
                <w:sz w:val="20"/>
                <w:szCs w:val="20"/>
              </w:rPr>
              <w:t>50%</w:t>
            </w:r>
          </w:p>
        </w:tc>
        <w:tc>
          <w:tcPr>
            <w:tcW w:w="0" w:type="auto"/>
            <w:vAlign w:val="center"/>
          </w:tcPr>
          <w:p w14:paraId="444A2B4C" w14:textId="77777777" w:rsidR="002430E2" w:rsidRPr="002430E2" w:rsidRDefault="002430E2" w:rsidP="00650284">
            <w:pPr>
              <w:keepLines/>
              <w:suppressLineNumbers w:val="0"/>
              <w:suppressAutoHyphens w:val="0"/>
              <w:ind w:firstLine="0"/>
              <w:jc w:val="left"/>
              <w:rPr>
                <w:sz w:val="20"/>
                <w:szCs w:val="20"/>
              </w:rPr>
            </w:pPr>
            <w:r w:rsidRPr="002430E2">
              <w:rPr>
                <w:sz w:val="20"/>
                <w:szCs w:val="20"/>
              </w:rPr>
              <w:t>Suzano</w:t>
            </w:r>
          </w:p>
        </w:tc>
        <w:tc>
          <w:tcPr>
            <w:tcW w:w="0" w:type="auto"/>
            <w:vAlign w:val="center"/>
          </w:tcPr>
          <w:p w14:paraId="6C6BE630" w14:textId="77777777" w:rsidR="002430E2" w:rsidRPr="002430E2" w:rsidRDefault="002430E2" w:rsidP="00650284">
            <w:pPr>
              <w:widowControl/>
              <w:suppressLineNumbers w:val="0"/>
              <w:suppressAutoHyphens w:val="0"/>
              <w:ind w:firstLine="0"/>
              <w:jc w:val="center"/>
              <w:rPr>
                <w:sz w:val="20"/>
                <w:szCs w:val="20"/>
              </w:rPr>
            </w:pPr>
            <w:r w:rsidRPr="002430E2">
              <w:rPr>
                <w:sz w:val="20"/>
                <w:szCs w:val="20"/>
              </w:rPr>
              <w:t>100%</w:t>
            </w:r>
          </w:p>
        </w:tc>
        <w:tc>
          <w:tcPr>
            <w:tcW w:w="0" w:type="auto"/>
            <w:vAlign w:val="center"/>
          </w:tcPr>
          <w:p w14:paraId="026AA8A4" w14:textId="77777777" w:rsidR="002430E2" w:rsidRPr="002430E2" w:rsidRDefault="002430E2" w:rsidP="00650284">
            <w:pPr>
              <w:widowControl/>
              <w:suppressLineNumbers w:val="0"/>
              <w:suppressAutoHyphens w:val="0"/>
              <w:ind w:firstLine="0"/>
              <w:jc w:val="center"/>
              <w:rPr>
                <w:sz w:val="20"/>
                <w:szCs w:val="20"/>
              </w:rPr>
            </w:pPr>
            <w:r w:rsidRPr="002430E2">
              <w:rPr>
                <w:sz w:val="20"/>
                <w:szCs w:val="20"/>
              </w:rPr>
              <w:t>100%</w:t>
            </w:r>
          </w:p>
        </w:tc>
        <w:tc>
          <w:tcPr>
            <w:tcW w:w="0" w:type="auto"/>
            <w:vAlign w:val="center"/>
          </w:tcPr>
          <w:p w14:paraId="50D44FF4" w14:textId="77777777" w:rsidR="002430E2" w:rsidRPr="002430E2" w:rsidRDefault="002430E2" w:rsidP="00650284">
            <w:pPr>
              <w:widowControl/>
              <w:suppressLineNumbers w:val="0"/>
              <w:suppressAutoHyphens w:val="0"/>
              <w:ind w:firstLine="0"/>
              <w:jc w:val="center"/>
              <w:rPr>
                <w:sz w:val="20"/>
                <w:szCs w:val="20"/>
              </w:rPr>
            </w:pPr>
            <w:r w:rsidRPr="002430E2">
              <w:rPr>
                <w:sz w:val="20"/>
                <w:szCs w:val="20"/>
              </w:rPr>
              <w:t>100%</w:t>
            </w:r>
          </w:p>
        </w:tc>
      </w:tr>
      <w:tr w:rsidR="002430E2" w:rsidRPr="002430E2" w14:paraId="05F681BF" w14:textId="77777777" w:rsidTr="000D0D14">
        <w:trPr>
          <w:jc w:val="center"/>
        </w:trPr>
        <w:tc>
          <w:tcPr>
            <w:tcW w:w="0" w:type="auto"/>
            <w:vAlign w:val="center"/>
          </w:tcPr>
          <w:p w14:paraId="77A3028E" w14:textId="77777777" w:rsidR="002430E2" w:rsidRPr="002430E2" w:rsidRDefault="002430E2" w:rsidP="00650284">
            <w:pPr>
              <w:widowControl/>
              <w:suppressLineNumbers w:val="0"/>
              <w:suppressAutoHyphens w:val="0"/>
              <w:ind w:firstLine="0"/>
              <w:jc w:val="left"/>
              <w:rPr>
                <w:sz w:val="20"/>
                <w:szCs w:val="20"/>
              </w:rPr>
            </w:pPr>
            <w:r w:rsidRPr="002430E2">
              <w:rPr>
                <w:sz w:val="20"/>
                <w:szCs w:val="20"/>
              </w:rPr>
              <w:t>Eletrobras</w:t>
            </w:r>
          </w:p>
        </w:tc>
        <w:tc>
          <w:tcPr>
            <w:tcW w:w="0" w:type="auto"/>
            <w:vAlign w:val="center"/>
          </w:tcPr>
          <w:p w14:paraId="43A5F19B" w14:textId="77777777" w:rsidR="002430E2" w:rsidRPr="002430E2" w:rsidRDefault="002430E2" w:rsidP="00650284">
            <w:pPr>
              <w:keepLines/>
              <w:suppressLineNumbers w:val="0"/>
              <w:suppressAutoHyphens w:val="0"/>
              <w:ind w:firstLine="0"/>
              <w:jc w:val="center"/>
              <w:rPr>
                <w:sz w:val="20"/>
                <w:szCs w:val="20"/>
              </w:rPr>
            </w:pPr>
            <w:r w:rsidRPr="002430E2">
              <w:rPr>
                <w:sz w:val="20"/>
                <w:szCs w:val="20"/>
              </w:rPr>
              <w:t>0%</w:t>
            </w:r>
          </w:p>
        </w:tc>
        <w:tc>
          <w:tcPr>
            <w:tcW w:w="0" w:type="auto"/>
            <w:vAlign w:val="center"/>
          </w:tcPr>
          <w:p w14:paraId="50329010" w14:textId="77777777" w:rsidR="002430E2" w:rsidRPr="002430E2" w:rsidRDefault="002430E2" w:rsidP="00650284">
            <w:pPr>
              <w:keepLines/>
              <w:suppressLineNumbers w:val="0"/>
              <w:suppressAutoHyphens w:val="0"/>
              <w:ind w:firstLine="0"/>
              <w:jc w:val="center"/>
              <w:rPr>
                <w:sz w:val="20"/>
                <w:szCs w:val="20"/>
              </w:rPr>
            </w:pPr>
            <w:r w:rsidRPr="002430E2">
              <w:rPr>
                <w:sz w:val="20"/>
                <w:szCs w:val="20"/>
              </w:rPr>
              <w:t>0%</w:t>
            </w:r>
          </w:p>
        </w:tc>
        <w:tc>
          <w:tcPr>
            <w:tcW w:w="0" w:type="auto"/>
            <w:vAlign w:val="center"/>
          </w:tcPr>
          <w:p w14:paraId="3ECD9DF7" w14:textId="77777777" w:rsidR="002430E2" w:rsidRPr="002430E2" w:rsidRDefault="002430E2" w:rsidP="00650284">
            <w:pPr>
              <w:keepLines/>
              <w:suppressLineNumbers w:val="0"/>
              <w:suppressAutoHyphens w:val="0"/>
              <w:ind w:firstLine="0"/>
              <w:jc w:val="center"/>
              <w:rPr>
                <w:sz w:val="20"/>
                <w:szCs w:val="20"/>
              </w:rPr>
            </w:pPr>
            <w:r w:rsidRPr="002430E2">
              <w:rPr>
                <w:sz w:val="20"/>
                <w:szCs w:val="20"/>
              </w:rPr>
              <w:t>0%</w:t>
            </w:r>
          </w:p>
        </w:tc>
        <w:tc>
          <w:tcPr>
            <w:tcW w:w="0" w:type="auto"/>
            <w:vAlign w:val="center"/>
          </w:tcPr>
          <w:p w14:paraId="7131D2A3" w14:textId="77777777" w:rsidR="002430E2" w:rsidRPr="002430E2" w:rsidRDefault="002430E2" w:rsidP="00650284">
            <w:pPr>
              <w:keepLines/>
              <w:suppressLineNumbers w:val="0"/>
              <w:suppressAutoHyphens w:val="0"/>
              <w:ind w:firstLine="0"/>
              <w:jc w:val="left"/>
              <w:rPr>
                <w:sz w:val="20"/>
                <w:szCs w:val="20"/>
              </w:rPr>
            </w:pPr>
            <w:r w:rsidRPr="002430E2">
              <w:rPr>
                <w:sz w:val="20"/>
                <w:szCs w:val="20"/>
              </w:rPr>
              <w:t>Vivo Telefônica</w:t>
            </w:r>
          </w:p>
        </w:tc>
        <w:tc>
          <w:tcPr>
            <w:tcW w:w="0" w:type="auto"/>
            <w:vAlign w:val="center"/>
          </w:tcPr>
          <w:p w14:paraId="1F6AA31D" w14:textId="77777777" w:rsidR="002430E2" w:rsidRPr="002430E2" w:rsidRDefault="002430E2" w:rsidP="00650284">
            <w:pPr>
              <w:widowControl/>
              <w:suppressLineNumbers w:val="0"/>
              <w:suppressAutoHyphens w:val="0"/>
              <w:ind w:firstLine="0"/>
              <w:jc w:val="center"/>
              <w:rPr>
                <w:sz w:val="20"/>
                <w:szCs w:val="20"/>
              </w:rPr>
            </w:pPr>
            <w:r w:rsidRPr="002430E2">
              <w:rPr>
                <w:sz w:val="20"/>
                <w:szCs w:val="20"/>
              </w:rPr>
              <w:t>0%</w:t>
            </w:r>
          </w:p>
        </w:tc>
        <w:tc>
          <w:tcPr>
            <w:tcW w:w="0" w:type="auto"/>
            <w:vAlign w:val="center"/>
          </w:tcPr>
          <w:p w14:paraId="59005897" w14:textId="77777777" w:rsidR="002430E2" w:rsidRPr="002430E2" w:rsidRDefault="002430E2" w:rsidP="00650284">
            <w:pPr>
              <w:widowControl/>
              <w:suppressLineNumbers w:val="0"/>
              <w:suppressAutoHyphens w:val="0"/>
              <w:ind w:firstLine="0"/>
              <w:jc w:val="center"/>
              <w:rPr>
                <w:sz w:val="20"/>
                <w:szCs w:val="20"/>
              </w:rPr>
            </w:pPr>
            <w:r w:rsidRPr="002430E2">
              <w:rPr>
                <w:sz w:val="20"/>
                <w:szCs w:val="20"/>
              </w:rPr>
              <w:t>0%</w:t>
            </w:r>
          </w:p>
        </w:tc>
        <w:tc>
          <w:tcPr>
            <w:tcW w:w="0" w:type="auto"/>
            <w:vAlign w:val="center"/>
          </w:tcPr>
          <w:p w14:paraId="7D537683" w14:textId="77777777" w:rsidR="002430E2" w:rsidRPr="002430E2" w:rsidRDefault="002430E2" w:rsidP="00650284">
            <w:pPr>
              <w:widowControl/>
              <w:suppressLineNumbers w:val="0"/>
              <w:suppressAutoHyphens w:val="0"/>
              <w:ind w:firstLine="0"/>
              <w:jc w:val="center"/>
              <w:rPr>
                <w:sz w:val="20"/>
                <w:szCs w:val="20"/>
              </w:rPr>
            </w:pPr>
            <w:r w:rsidRPr="002430E2">
              <w:rPr>
                <w:sz w:val="20"/>
                <w:szCs w:val="20"/>
              </w:rPr>
              <w:t>0%</w:t>
            </w:r>
          </w:p>
        </w:tc>
      </w:tr>
      <w:tr w:rsidR="002430E2" w:rsidRPr="002430E2" w14:paraId="3906CCE7" w14:textId="77777777" w:rsidTr="000D0D14">
        <w:trPr>
          <w:jc w:val="center"/>
        </w:trPr>
        <w:tc>
          <w:tcPr>
            <w:tcW w:w="0" w:type="auto"/>
            <w:vAlign w:val="center"/>
          </w:tcPr>
          <w:p w14:paraId="5CDC1D21" w14:textId="77777777" w:rsidR="002430E2" w:rsidRPr="002430E2" w:rsidRDefault="002430E2" w:rsidP="00650284">
            <w:pPr>
              <w:widowControl/>
              <w:suppressLineNumbers w:val="0"/>
              <w:suppressAutoHyphens w:val="0"/>
              <w:ind w:firstLine="0"/>
              <w:jc w:val="left"/>
              <w:rPr>
                <w:sz w:val="20"/>
                <w:szCs w:val="20"/>
              </w:rPr>
            </w:pPr>
            <w:proofErr w:type="spellStart"/>
            <w:r w:rsidRPr="002430E2">
              <w:rPr>
                <w:sz w:val="20"/>
                <w:szCs w:val="20"/>
              </w:rPr>
              <w:t>Engie</w:t>
            </w:r>
            <w:proofErr w:type="spellEnd"/>
          </w:p>
        </w:tc>
        <w:tc>
          <w:tcPr>
            <w:tcW w:w="0" w:type="auto"/>
            <w:vAlign w:val="center"/>
          </w:tcPr>
          <w:p w14:paraId="0356634B" w14:textId="77777777" w:rsidR="002430E2" w:rsidRPr="002430E2" w:rsidRDefault="002430E2" w:rsidP="00650284">
            <w:pPr>
              <w:keepLines/>
              <w:suppressLineNumbers w:val="0"/>
              <w:suppressAutoHyphens w:val="0"/>
              <w:ind w:firstLine="0"/>
              <w:jc w:val="center"/>
              <w:rPr>
                <w:sz w:val="20"/>
                <w:szCs w:val="20"/>
              </w:rPr>
            </w:pPr>
            <w:r w:rsidRPr="002430E2">
              <w:rPr>
                <w:sz w:val="20"/>
                <w:szCs w:val="20"/>
              </w:rPr>
              <w:t>50%</w:t>
            </w:r>
          </w:p>
        </w:tc>
        <w:tc>
          <w:tcPr>
            <w:tcW w:w="0" w:type="auto"/>
            <w:vAlign w:val="center"/>
          </w:tcPr>
          <w:p w14:paraId="242BE1BB" w14:textId="77777777" w:rsidR="002430E2" w:rsidRPr="002430E2" w:rsidRDefault="002430E2" w:rsidP="00650284">
            <w:pPr>
              <w:keepLines/>
              <w:suppressLineNumbers w:val="0"/>
              <w:suppressAutoHyphens w:val="0"/>
              <w:ind w:firstLine="0"/>
              <w:jc w:val="center"/>
              <w:rPr>
                <w:sz w:val="20"/>
                <w:szCs w:val="20"/>
              </w:rPr>
            </w:pPr>
            <w:r w:rsidRPr="002430E2">
              <w:rPr>
                <w:sz w:val="20"/>
                <w:szCs w:val="20"/>
              </w:rPr>
              <w:t>50%</w:t>
            </w:r>
          </w:p>
        </w:tc>
        <w:tc>
          <w:tcPr>
            <w:tcW w:w="0" w:type="auto"/>
            <w:vAlign w:val="center"/>
          </w:tcPr>
          <w:p w14:paraId="427F803A" w14:textId="77777777" w:rsidR="002430E2" w:rsidRPr="002430E2" w:rsidRDefault="002430E2" w:rsidP="00650284">
            <w:pPr>
              <w:keepLines/>
              <w:suppressLineNumbers w:val="0"/>
              <w:suppressAutoHyphens w:val="0"/>
              <w:ind w:firstLine="0"/>
              <w:jc w:val="center"/>
              <w:rPr>
                <w:sz w:val="20"/>
                <w:szCs w:val="20"/>
              </w:rPr>
            </w:pPr>
            <w:r w:rsidRPr="002430E2">
              <w:rPr>
                <w:sz w:val="20"/>
                <w:szCs w:val="20"/>
              </w:rPr>
              <w:t>50%</w:t>
            </w:r>
          </w:p>
        </w:tc>
        <w:tc>
          <w:tcPr>
            <w:tcW w:w="0" w:type="auto"/>
            <w:vAlign w:val="center"/>
          </w:tcPr>
          <w:p w14:paraId="3066FAE0" w14:textId="77777777" w:rsidR="002430E2" w:rsidRPr="002430E2" w:rsidRDefault="002430E2" w:rsidP="00650284">
            <w:pPr>
              <w:keepLines/>
              <w:suppressLineNumbers w:val="0"/>
              <w:suppressAutoHyphens w:val="0"/>
              <w:ind w:firstLine="0"/>
              <w:jc w:val="left"/>
              <w:rPr>
                <w:sz w:val="20"/>
                <w:szCs w:val="20"/>
              </w:rPr>
            </w:pPr>
            <w:r w:rsidRPr="002430E2">
              <w:rPr>
                <w:sz w:val="20"/>
                <w:szCs w:val="20"/>
              </w:rPr>
              <w:t>Tim</w:t>
            </w:r>
          </w:p>
        </w:tc>
        <w:tc>
          <w:tcPr>
            <w:tcW w:w="0" w:type="auto"/>
            <w:vAlign w:val="center"/>
          </w:tcPr>
          <w:p w14:paraId="79B339FD" w14:textId="77777777" w:rsidR="002430E2" w:rsidRPr="002430E2" w:rsidRDefault="002430E2" w:rsidP="00650284">
            <w:pPr>
              <w:widowControl/>
              <w:suppressLineNumbers w:val="0"/>
              <w:suppressAutoHyphens w:val="0"/>
              <w:ind w:firstLine="0"/>
              <w:jc w:val="center"/>
              <w:rPr>
                <w:sz w:val="20"/>
                <w:szCs w:val="20"/>
              </w:rPr>
            </w:pPr>
            <w:r w:rsidRPr="002430E2">
              <w:rPr>
                <w:sz w:val="20"/>
                <w:szCs w:val="20"/>
              </w:rPr>
              <w:t>0%</w:t>
            </w:r>
          </w:p>
        </w:tc>
        <w:tc>
          <w:tcPr>
            <w:tcW w:w="0" w:type="auto"/>
            <w:vAlign w:val="center"/>
          </w:tcPr>
          <w:p w14:paraId="6BC49E36" w14:textId="77777777" w:rsidR="002430E2" w:rsidRPr="002430E2" w:rsidRDefault="002430E2" w:rsidP="00650284">
            <w:pPr>
              <w:widowControl/>
              <w:suppressLineNumbers w:val="0"/>
              <w:suppressAutoHyphens w:val="0"/>
              <w:ind w:firstLine="0"/>
              <w:jc w:val="center"/>
              <w:rPr>
                <w:sz w:val="20"/>
                <w:szCs w:val="20"/>
              </w:rPr>
            </w:pPr>
            <w:r w:rsidRPr="002430E2">
              <w:rPr>
                <w:sz w:val="20"/>
                <w:szCs w:val="20"/>
              </w:rPr>
              <w:t>0%</w:t>
            </w:r>
          </w:p>
        </w:tc>
        <w:tc>
          <w:tcPr>
            <w:tcW w:w="0" w:type="auto"/>
            <w:vAlign w:val="center"/>
          </w:tcPr>
          <w:p w14:paraId="70F66ED5" w14:textId="77777777" w:rsidR="002430E2" w:rsidRPr="002430E2" w:rsidRDefault="002430E2" w:rsidP="00650284">
            <w:pPr>
              <w:widowControl/>
              <w:suppressLineNumbers w:val="0"/>
              <w:suppressAutoHyphens w:val="0"/>
              <w:ind w:firstLine="0"/>
              <w:jc w:val="center"/>
              <w:rPr>
                <w:sz w:val="20"/>
                <w:szCs w:val="20"/>
              </w:rPr>
            </w:pPr>
            <w:r w:rsidRPr="002430E2">
              <w:rPr>
                <w:sz w:val="20"/>
                <w:szCs w:val="20"/>
              </w:rPr>
              <w:t>0%</w:t>
            </w:r>
          </w:p>
        </w:tc>
      </w:tr>
      <w:tr w:rsidR="002430E2" w:rsidRPr="002430E2" w14:paraId="19F66504" w14:textId="77777777" w:rsidTr="000D0D14">
        <w:trPr>
          <w:jc w:val="center"/>
        </w:trPr>
        <w:tc>
          <w:tcPr>
            <w:tcW w:w="0" w:type="auto"/>
            <w:vAlign w:val="center"/>
          </w:tcPr>
          <w:p w14:paraId="54EF8692" w14:textId="77777777" w:rsidR="002430E2" w:rsidRPr="002430E2" w:rsidRDefault="002430E2" w:rsidP="00650284">
            <w:pPr>
              <w:widowControl/>
              <w:suppressLineNumbers w:val="0"/>
              <w:suppressAutoHyphens w:val="0"/>
              <w:ind w:firstLine="0"/>
              <w:jc w:val="left"/>
              <w:rPr>
                <w:sz w:val="20"/>
                <w:szCs w:val="20"/>
              </w:rPr>
            </w:pPr>
            <w:r w:rsidRPr="002430E2">
              <w:rPr>
                <w:sz w:val="20"/>
                <w:szCs w:val="20"/>
              </w:rPr>
              <w:t>Fleury</w:t>
            </w:r>
          </w:p>
        </w:tc>
        <w:tc>
          <w:tcPr>
            <w:tcW w:w="0" w:type="auto"/>
            <w:vAlign w:val="center"/>
          </w:tcPr>
          <w:p w14:paraId="040A61EA" w14:textId="77777777" w:rsidR="002430E2" w:rsidRPr="002430E2" w:rsidRDefault="002430E2" w:rsidP="00650284">
            <w:pPr>
              <w:keepLines/>
              <w:suppressLineNumbers w:val="0"/>
              <w:suppressAutoHyphens w:val="0"/>
              <w:ind w:firstLine="0"/>
              <w:jc w:val="center"/>
              <w:rPr>
                <w:sz w:val="20"/>
                <w:szCs w:val="20"/>
              </w:rPr>
            </w:pPr>
            <w:r w:rsidRPr="002430E2">
              <w:rPr>
                <w:sz w:val="20"/>
                <w:szCs w:val="20"/>
              </w:rPr>
              <w:t>0%</w:t>
            </w:r>
          </w:p>
        </w:tc>
        <w:tc>
          <w:tcPr>
            <w:tcW w:w="0" w:type="auto"/>
            <w:vAlign w:val="center"/>
          </w:tcPr>
          <w:p w14:paraId="1D5AFD71" w14:textId="77777777" w:rsidR="002430E2" w:rsidRPr="002430E2" w:rsidRDefault="002430E2" w:rsidP="00650284">
            <w:pPr>
              <w:keepLines/>
              <w:suppressLineNumbers w:val="0"/>
              <w:suppressAutoHyphens w:val="0"/>
              <w:ind w:firstLine="0"/>
              <w:jc w:val="center"/>
              <w:rPr>
                <w:sz w:val="20"/>
                <w:szCs w:val="20"/>
              </w:rPr>
            </w:pPr>
            <w:r w:rsidRPr="002430E2">
              <w:rPr>
                <w:sz w:val="20"/>
                <w:szCs w:val="20"/>
              </w:rPr>
              <w:t>33,3%</w:t>
            </w:r>
          </w:p>
        </w:tc>
        <w:tc>
          <w:tcPr>
            <w:tcW w:w="0" w:type="auto"/>
            <w:vAlign w:val="center"/>
          </w:tcPr>
          <w:p w14:paraId="46B98AB4" w14:textId="77777777" w:rsidR="002430E2" w:rsidRPr="002430E2" w:rsidRDefault="002430E2" w:rsidP="00650284">
            <w:pPr>
              <w:keepLines/>
              <w:suppressLineNumbers w:val="0"/>
              <w:suppressAutoHyphens w:val="0"/>
              <w:ind w:firstLine="0"/>
              <w:jc w:val="center"/>
              <w:rPr>
                <w:sz w:val="20"/>
                <w:szCs w:val="20"/>
              </w:rPr>
            </w:pPr>
            <w:r w:rsidRPr="002430E2">
              <w:rPr>
                <w:sz w:val="20"/>
                <w:szCs w:val="20"/>
              </w:rPr>
              <w:t>16,7%</w:t>
            </w:r>
          </w:p>
        </w:tc>
        <w:tc>
          <w:tcPr>
            <w:tcW w:w="0" w:type="auto"/>
            <w:vAlign w:val="center"/>
          </w:tcPr>
          <w:p w14:paraId="570AED23" w14:textId="77777777" w:rsidR="002430E2" w:rsidRPr="002430E2" w:rsidRDefault="002430E2" w:rsidP="00650284">
            <w:pPr>
              <w:keepLines/>
              <w:suppressLineNumbers w:val="0"/>
              <w:suppressAutoHyphens w:val="0"/>
              <w:ind w:firstLine="0"/>
              <w:jc w:val="left"/>
              <w:rPr>
                <w:sz w:val="20"/>
                <w:szCs w:val="20"/>
              </w:rPr>
            </w:pPr>
            <w:r w:rsidRPr="002430E2">
              <w:rPr>
                <w:sz w:val="20"/>
                <w:szCs w:val="20"/>
              </w:rPr>
              <w:t>Weg</w:t>
            </w:r>
          </w:p>
        </w:tc>
        <w:tc>
          <w:tcPr>
            <w:tcW w:w="0" w:type="auto"/>
            <w:vAlign w:val="center"/>
          </w:tcPr>
          <w:p w14:paraId="59383812" w14:textId="77777777" w:rsidR="002430E2" w:rsidRPr="002430E2" w:rsidRDefault="002430E2" w:rsidP="00650284">
            <w:pPr>
              <w:widowControl/>
              <w:suppressLineNumbers w:val="0"/>
              <w:suppressAutoHyphens w:val="0"/>
              <w:ind w:firstLine="0"/>
              <w:jc w:val="center"/>
              <w:rPr>
                <w:sz w:val="20"/>
                <w:szCs w:val="20"/>
              </w:rPr>
            </w:pPr>
            <w:r w:rsidRPr="002430E2">
              <w:rPr>
                <w:sz w:val="20"/>
                <w:szCs w:val="20"/>
              </w:rPr>
              <w:t>0%</w:t>
            </w:r>
          </w:p>
        </w:tc>
        <w:tc>
          <w:tcPr>
            <w:tcW w:w="0" w:type="auto"/>
            <w:vAlign w:val="center"/>
          </w:tcPr>
          <w:p w14:paraId="5CCBFB01" w14:textId="77777777" w:rsidR="002430E2" w:rsidRPr="002430E2" w:rsidRDefault="002430E2" w:rsidP="00650284">
            <w:pPr>
              <w:widowControl/>
              <w:suppressLineNumbers w:val="0"/>
              <w:suppressAutoHyphens w:val="0"/>
              <w:ind w:firstLine="0"/>
              <w:jc w:val="center"/>
              <w:rPr>
                <w:sz w:val="20"/>
                <w:szCs w:val="20"/>
              </w:rPr>
            </w:pPr>
            <w:r w:rsidRPr="002430E2">
              <w:rPr>
                <w:sz w:val="20"/>
                <w:szCs w:val="20"/>
              </w:rPr>
              <w:t>16,67%</w:t>
            </w:r>
          </w:p>
        </w:tc>
        <w:tc>
          <w:tcPr>
            <w:tcW w:w="0" w:type="auto"/>
            <w:vAlign w:val="center"/>
          </w:tcPr>
          <w:p w14:paraId="186947DB" w14:textId="77777777" w:rsidR="002430E2" w:rsidRPr="002430E2" w:rsidRDefault="002430E2" w:rsidP="00650284">
            <w:pPr>
              <w:widowControl/>
              <w:suppressLineNumbers w:val="0"/>
              <w:suppressAutoHyphens w:val="0"/>
              <w:ind w:firstLine="0"/>
              <w:jc w:val="center"/>
              <w:rPr>
                <w:sz w:val="20"/>
                <w:szCs w:val="20"/>
              </w:rPr>
            </w:pPr>
            <w:r w:rsidRPr="002430E2">
              <w:rPr>
                <w:sz w:val="20"/>
                <w:szCs w:val="20"/>
              </w:rPr>
              <w:t>8,33%</w:t>
            </w:r>
          </w:p>
        </w:tc>
      </w:tr>
      <w:tr w:rsidR="002430E2" w:rsidRPr="002430E2" w14:paraId="45668C8D" w14:textId="77777777" w:rsidTr="000D0D14">
        <w:trPr>
          <w:jc w:val="center"/>
        </w:trPr>
        <w:tc>
          <w:tcPr>
            <w:tcW w:w="0" w:type="auto"/>
            <w:gridSpan w:val="4"/>
            <w:vAlign w:val="center"/>
          </w:tcPr>
          <w:p w14:paraId="1C8E16BC" w14:textId="77777777" w:rsidR="002430E2" w:rsidRPr="002430E2" w:rsidRDefault="002430E2" w:rsidP="00650284">
            <w:pPr>
              <w:widowControl/>
              <w:suppressLineNumbers w:val="0"/>
              <w:suppressAutoHyphens w:val="0"/>
              <w:ind w:firstLine="0"/>
              <w:jc w:val="center"/>
              <w:rPr>
                <w:b/>
                <w:color w:val="FF0000"/>
                <w:sz w:val="20"/>
                <w:szCs w:val="20"/>
              </w:rPr>
            </w:pPr>
            <w:r w:rsidRPr="002430E2">
              <w:rPr>
                <w:b/>
                <w:sz w:val="20"/>
                <w:szCs w:val="20"/>
              </w:rPr>
              <w:t>Média padrão GRI 308 (Desvio padrão)</w:t>
            </w:r>
          </w:p>
        </w:tc>
        <w:tc>
          <w:tcPr>
            <w:tcW w:w="0" w:type="auto"/>
            <w:gridSpan w:val="4"/>
            <w:vAlign w:val="center"/>
          </w:tcPr>
          <w:p w14:paraId="120ADA54" w14:textId="77777777" w:rsidR="002430E2" w:rsidRPr="002430E2" w:rsidRDefault="002430E2" w:rsidP="00650284">
            <w:pPr>
              <w:widowControl/>
              <w:suppressLineNumbers w:val="0"/>
              <w:suppressAutoHyphens w:val="0"/>
              <w:ind w:firstLine="0"/>
              <w:jc w:val="center"/>
              <w:rPr>
                <w:b/>
                <w:color w:val="FF0000"/>
                <w:sz w:val="20"/>
                <w:szCs w:val="20"/>
              </w:rPr>
            </w:pPr>
            <w:r w:rsidRPr="002430E2">
              <w:rPr>
                <w:b/>
                <w:sz w:val="20"/>
                <w:szCs w:val="20"/>
              </w:rPr>
              <w:t>24,56% (10,9%)</w:t>
            </w:r>
          </w:p>
        </w:tc>
      </w:tr>
      <w:tr w:rsidR="002430E2" w:rsidRPr="002430E2" w14:paraId="35475460" w14:textId="77777777" w:rsidTr="000D0D14">
        <w:trPr>
          <w:jc w:val="center"/>
        </w:trPr>
        <w:tc>
          <w:tcPr>
            <w:tcW w:w="0" w:type="auto"/>
            <w:gridSpan w:val="4"/>
            <w:vAlign w:val="bottom"/>
          </w:tcPr>
          <w:p w14:paraId="0A2AD45E" w14:textId="77777777" w:rsidR="002430E2" w:rsidRPr="002430E2" w:rsidRDefault="002430E2" w:rsidP="00650284">
            <w:pPr>
              <w:keepLines/>
              <w:suppressLineNumbers w:val="0"/>
              <w:suppressAutoHyphens w:val="0"/>
              <w:ind w:firstLine="0"/>
              <w:jc w:val="center"/>
              <w:rPr>
                <w:b/>
                <w:sz w:val="20"/>
                <w:szCs w:val="20"/>
              </w:rPr>
            </w:pPr>
            <w:r w:rsidRPr="002430E2">
              <w:rPr>
                <w:b/>
                <w:sz w:val="20"/>
                <w:szCs w:val="20"/>
              </w:rPr>
              <w:t>Média padrão GRI 414 (Desvio padrão)</w:t>
            </w:r>
          </w:p>
        </w:tc>
        <w:tc>
          <w:tcPr>
            <w:tcW w:w="0" w:type="auto"/>
            <w:gridSpan w:val="4"/>
            <w:vAlign w:val="center"/>
          </w:tcPr>
          <w:p w14:paraId="2821D724" w14:textId="77777777" w:rsidR="002430E2" w:rsidRPr="002430E2" w:rsidRDefault="002430E2" w:rsidP="00650284">
            <w:pPr>
              <w:widowControl/>
              <w:suppressLineNumbers w:val="0"/>
              <w:suppressAutoHyphens w:val="0"/>
              <w:ind w:firstLine="0"/>
              <w:jc w:val="center"/>
              <w:rPr>
                <w:b/>
                <w:color w:val="FF0000"/>
                <w:sz w:val="20"/>
                <w:szCs w:val="20"/>
              </w:rPr>
            </w:pPr>
            <w:r w:rsidRPr="002430E2">
              <w:rPr>
                <w:b/>
                <w:sz w:val="20"/>
                <w:szCs w:val="20"/>
              </w:rPr>
              <w:t>25,44% (10,9%)</w:t>
            </w:r>
          </w:p>
        </w:tc>
      </w:tr>
      <w:tr w:rsidR="002430E2" w:rsidRPr="002430E2" w14:paraId="4B73662F" w14:textId="77777777" w:rsidTr="000D0D14">
        <w:trPr>
          <w:jc w:val="center"/>
        </w:trPr>
        <w:tc>
          <w:tcPr>
            <w:tcW w:w="0" w:type="auto"/>
            <w:gridSpan w:val="4"/>
            <w:tcBorders>
              <w:bottom w:val="single" w:sz="4" w:space="0" w:color="auto"/>
            </w:tcBorders>
            <w:vAlign w:val="bottom"/>
          </w:tcPr>
          <w:p w14:paraId="0C7CA79E" w14:textId="77777777" w:rsidR="002430E2" w:rsidRPr="002430E2" w:rsidRDefault="002430E2" w:rsidP="00650284">
            <w:pPr>
              <w:keepLines/>
              <w:suppressLineNumbers w:val="0"/>
              <w:suppressAutoHyphens w:val="0"/>
              <w:ind w:firstLine="0"/>
              <w:jc w:val="center"/>
              <w:rPr>
                <w:b/>
                <w:sz w:val="20"/>
                <w:szCs w:val="20"/>
              </w:rPr>
            </w:pPr>
            <w:r w:rsidRPr="002430E2">
              <w:rPr>
                <w:b/>
                <w:sz w:val="20"/>
                <w:szCs w:val="20"/>
              </w:rPr>
              <w:t>Média Geral (Desvio padrão)</w:t>
            </w:r>
          </w:p>
        </w:tc>
        <w:tc>
          <w:tcPr>
            <w:tcW w:w="0" w:type="auto"/>
            <w:gridSpan w:val="4"/>
            <w:tcBorders>
              <w:bottom w:val="single" w:sz="4" w:space="0" w:color="auto"/>
            </w:tcBorders>
          </w:tcPr>
          <w:p w14:paraId="2537097A" w14:textId="77777777" w:rsidR="002430E2" w:rsidRPr="002430E2" w:rsidRDefault="002430E2" w:rsidP="00650284">
            <w:pPr>
              <w:widowControl/>
              <w:suppressLineNumbers w:val="0"/>
              <w:suppressAutoHyphens w:val="0"/>
              <w:ind w:firstLine="0"/>
              <w:jc w:val="center"/>
              <w:rPr>
                <w:b/>
                <w:color w:val="FF0000"/>
                <w:sz w:val="20"/>
                <w:szCs w:val="20"/>
              </w:rPr>
            </w:pPr>
            <w:r w:rsidRPr="002430E2">
              <w:rPr>
                <w:b/>
                <w:sz w:val="20"/>
                <w:szCs w:val="20"/>
              </w:rPr>
              <w:t>25,00% (10,9%)</w:t>
            </w:r>
          </w:p>
        </w:tc>
      </w:tr>
    </w:tbl>
    <w:p w14:paraId="75754AC8" w14:textId="77777777" w:rsidR="002430E2" w:rsidRDefault="002430E2" w:rsidP="00650284">
      <w:pPr>
        <w:ind w:firstLine="0"/>
        <w:rPr>
          <w:b/>
          <w:sz w:val="20"/>
          <w:szCs w:val="20"/>
          <w:highlight w:val="white"/>
        </w:rPr>
      </w:pPr>
    </w:p>
    <w:p w14:paraId="0592ADE7" w14:textId="77777777" w:rsidR="009E260D" w:rsidRDefault="009E260D" w:rsidP="00650284">
      <w:pPr>
        <w:ind w:firstLine="720"/>
      </w:pPr>
      <w:r>
        <w:rPr>
          <w:highlight w:val="white"/>
        </w:rPr>
        <w:t>Observa-s</w:t>
      </w:r>
      <w:r>
        <w:t>e, na Tabela 2, que em relação aos requisitos</w:t>
      </w:r>
      <w:r>
        <w:rPr>
          <w:highlight w:val="white"/>
        </w:rPr>
        <w:t xml:space="preserve"> estabelecidos pelos padrões GRI 308 e 414, as empresas participantes do ISE B3 evidenciam, em média, 25% dos requisitos de relato. Os níveis de evidenciação para os requisitos sociais e ambientais são similares e próximos à média geral (25,4% e 24,6%, respectivamente). Apenas a empresa Suzano divulgou todos os requisitos referentes à avaliação socioambiental. </w:t>
      </w:r>
      <w:r>
        <w:t xml:space="preserve">Tal aspecto pode ser justificado pelo ramo de atividade da empresa, que desenvolve atividades com potenciais impactos sociais e ambientais, o que instiga maiores níveis de evidenciação de informações dessa natureza. </w:t>
      </w:r>
    </w:p>
    <w:p w14:paraId="67263016" w14:textId="77777777" w:rsidR="009E260D" w:rsidRDefault="009E260D" w:rsidP="00650284">
      <w:pPr>
        <w:ind w:firstLine="720"/>
        <w:rPr>
          <w:highlight w:val="white"/>
        </w:rPr>
      </w:pPr>
      <w:r>
        <w:t>As empresas BRF e Bradesco apresentam 91,7% dos requisitos e deixam apenas de divulgar o percentual de fornecedores identificados como causadores de impactos ambientais negativos, com os quais foram acordadas melhorias como decorrência da avaliação socioambiental realizada. Em vista disso, compreende-se que a ausência do requisito mencionado possivelmente deve-se à ausência de fornecedores com os quais foram acordadas melhorias. A empresa Natura, por outro lado, evidencia 83% dos requisitos e esclarece que o percentual de novos fornecedores selecionados com base em critérios socioambientais não foi evidenciado devido à atualização da plataforma de gestão da cadeia de fornecimento, o que demonstra preocupação quanto à qualidade da evidenciação.</w:t>
      </w:r>
      <w:r>
        <w:rPr>
          <w:highlight w:val="white"/>
        </w:rPr>
        <w:t xml:space="preserve"> </w:t>
      </w:r>
    </w:p>
    <w:p w14:paraId="3F0FAC89" w14:textId="712FF7C4" w:rsidR="009E260D" w:rsidRDefault="009E260D" w:rsidP="00650284">
      <w:pPr>
        <w:ind w:firstLine="720"/>
        <w:rPr>
          <w:highlight w:val="white"/>
        </w:rPr>
      </w:pPr>
      <w:r>
        <w:rPr>
          <w:highlight w:val="white"/>
        </w:rPr>
        <w:lastRenderedPageBreak/>
        <w:t xml:space="preserve">Em contrapartida, em 15 (39,5%) das 38 empresas analisadas não foi possível identificar, pela análise de conteúdo e com os termos selecionados, nenhum dos requisitos necessários para atender os padrões GRI 308 e 414, embora mencionem que os adotam. Dentre empresas que não evidenciaram os requisitos expostos na Tabela 1, destaca-se a Itaúsa, que no próprio relatório apresenta os motivos para não apresentar essas informações: "Por ser uma </w:t>
      </w:r>
      <w:r>
        <w:rPr>
          <w:i/>
          <w:highlight w:val="white"/>
        </w:rPr>
        <w:t xml:space="preserve">holding </w:t>
      </w:r>
      <w:r>
        <w:rPr>
          <w:highlight w:val="white"/>
        </w:rPr>
        <w:t>pura, a Itaúsa não possui diretamente operações. Porém, investe em companhias operacionais". Sendo assim, embora a empresa siga os padrões GRI, por não atuar diretamente com os fornecedores, não efetua essas avaliações.</w:t>
      </w:r>
    </w:p>
    <w:p w14:paraId="575AD6DD" w14:textId="77777777" w:rsidR="009E260D" w:rsidRDefault="009E260D" w:rsidP="00650284">
      <w:pPr>
        <w:ind w:firstLine="720"/>
        <w:rPr>
          <w:highlight w:val="white"/>
        </w:rPr>
      </w:pPr>
      <w:r>
        <w:t xml:space="preserve">Diversas empresas citam os tópicos 308-1, 308-2, 414-1 e 414-2 no relatório, mas não apresentam informações </w:t>
      </w:r>
      <w:r>
        <w:rPr>
          <w:highlight w:val="white"/>
        </w:rPr>
        <w:t xml:space="preserve">específicas de forma direta, como estipulado pelos padrões GRI. Um dos casos de apresentação indireta e sem aprofundamento é da empresa Light, a qual destaca que a seleção de fornecedores segue padrões éticos e de responsabilidade social e ambiental adotados pela empresa, mas sem destaque aos requisitos. Outras empresas, como B2W, Copel e Lojas Americanas, também não relatam números e percentuais como exigido pelos requisitos de relato. </w:t>
      </w:r>
    </w:p>
    <w:p w14:paraId="52F1C6FB" w14:textId="77777777" w:rsidR="009E260D" w:rsidRDefault="009E260D" w:rsidP="00650284">
      <w:pPr>
        <w:ind w:firstLine="720"/>
        <w:rPr>
          <w:highlight w:val="white"/>
        </w:rPr>
      </w:pPr>
      <w:r>
        <w:rPr>
          <w:highlight w:val="white"/>
        </w:rPr>
        <w:t xml:space="preserve">As organizações devem cumprir todos os requisitos aplicáveis para que seu relatório seja elaborado em conformidade com os padrões GRI 308 e 414 (GRI, 2016a; GRI, 2016b). Portanto, as organizações analisadas devem buscar aumentar o nível de evidenciação e a clareza com que as informações são disponibilizadas, a fim de atestar sua conformidade com os padrões GRI. Além dos requisitos, o GRI apresenta orientações com informações sobre relevância, explicações e exemplos para facilitar o entendimento dos requisitos e fornecer conteúdos que podem melhorar o nível de evidenciação. No entanto, as orientações sugeridas para relatar a forma de gestão são pouco evidenciadas e de maneira dispersa pelos relatórios, o que diminui sua qualidade informacional. As informações devem abordar tanto impactos negativos quanto positivos, aprimorar a relação das organizações com seus </w:t>
      </w:r>
      <w:r>
        <w:rPr>
          <w:i/>
          <w:highlight w:val="white"/>
        </w:rPr>
        <w:t xml:space="preserve">stakeholders </w:t>
      </w:r>
      <w:r>
        <w:rPr>
          <w:highlight w:val="white"/>
        </w:rPr>
        <w:t xml:space="preserve">e facilitar a adoção de metas para um desempenho sustentável. Para isso, os relatórios devem possuir maior nível de evidenciação. Nesse sentido, as orientações e recomendações fornecidas pelos padrões GRI podem contribuir para o alcance destes objetivos. </w:t>
      </w:r>
    </w:p>
    <w:p w14:paraId="206B7E33" w14:textId="77777777" w:rsidR="009E260D" w:rsidRDefault="009E260D" w:rsidP="00650284">
      <w:pPr>
        <w:rPr>
          <w:b/>
          <w:color w:val="FF0000"/>
        </w:rPr>
      </w:pPr>
    </w:p>
    <w:p w14:paraId="56D53D66" w14:textId="79A99BF7" w:rsidR="009E260D" w:rsidRPr="009E260D" w:rsidRDefault="009E260D" w:rsidP="00650284">
      <w:pPr>
        <w:ind w:firstLine="0"/>
        <w:rPr>
          <w:b/>
          <w:bCs/>
          <w:highlight w:val="white"/>
        </w:rPr>
      </w:pPr>
      <w:r w:rsidRPr="009E260D">
        <w:rPr>
          <w:b/>
          <w:bCs/>
          <w:highlight w:val="white"/>
        </w:rPr>
        <w:t>4.2 Análise de conteúdo</w:t>
      </w:r>
    </w:p>
    <w:p w14:paraId="4DA147D9" w14:textId="77777777" w:rsidR="009E260D" w:rsidRDefault="009E260D" w:rsidP="00650284">
      <w:pPr>
        <w:rPr>
          <w:highlight w:val="white"/>
        </w:rPr>
      </w:pPr>
      <w:r>
        <w:rPr>
          <w:color w:val="FF0000"/>
          <w:highlight w:val="white"/>
        </w:rPr>
        <w:tab/>
      </w:r>
      <w:r>
        <w:rPr>
          <w:highlight w:val="white"/>
        </w:rPr>
        <w:t>As empresas que adotam os padrões GRI 308 e 414 devem apresentar os requisitos constantes na Tabela 1 e a forma de gestão para a avaliação socioambiental de fornecedores, que consiste em explicações sobre como uma organização gerencia um tópico material relativo à avaliação socioambiental de fornecedores (GRI, 2016a; GRI, 2016b).</w:t>
      </w:r>
    </w:p>
    <w:p w14:paraId="3F4E28D9" w14:textId="77777777" w:rsidR="009E260D" w:rsidRDefault="009E260D" w:rsidP="00650284">
      <w:pPr>
        <w:ind w:firstLine="720"/>
      </w:pPr>
      <w:r>
        <w:t>Ao relatar a forma de gestão para avaliação socioambiental de fornecedores, a organização poderá descrever: (i) sistemas para selecionar fornecedores de acordo com critérios socioambientais; (</w:t>
      </w:r>
      <w:proofErr w:type="spellStart"/>
      <w:r>
        <w:t>ii</w:t>
      </w:r>
      <w:proofErr w:type="spellEnd"/>
      <w:r>
        <w:t>) medidas para abordar os impactos socioambientais negativos significativos – reais e potenciais; (</w:t>
      </w:r>
      <w:proofErr w:type="spellStart"/>
      <w:r>
        <w:t>iii</w:t>
      </w:r>
      <w:proofErr w:type="spellEnd"/>
      <w:r>
        <w:t>) expectativas estabelecidas no sentido de promover a prevenção, mitigação e remediação de impactos socioambientais negativos; (</w:t>
      </w:r>
      <w:proofErr w:type="spellStart"/>
      <w:r>
        <w:t>iv</w:t>
      </w:r>
      <w:proofErr w:type="spellEnd"/>
      <w:r>
        <w:t>)  incentivos e recompensas aos fornecedores, referentes a prevenção, mitigação e remediação de impactos socioambientais; (v) práticas adotadas para avaliar e auditar fornecedores com base em critérios socioambientais; (vi) procedimentos de avaliação e auditoria; (</w:t>
      </w:r>
      <w:proofErr w:type="spellStart"/>
      <w:r>
        <w:t>vii</w:t>
      </w:r>
      <w:proofErr w:type="spellEnd"/>
      <w:r>
        <w:t>) sistemas para avaliar impactos negativos potenciais do encerramento da relação com um fornecedor; (</w:t>
      </w:r>
      <w:proofErr w:type="spellStart"/>
      <w:r>
        <w:t>viii</w:t>
      </w:r>
      <w:proofErr w:type="spellEnd"/>
      <w:r>
        <w:t>) processos para identificar e avaliar impactos socioambientais; e (</w:t>
      </w:r>
      <w:proofErr w:type="spellStart"/>
      <w:r>
        <w:t>ix</w:t>
      </w:r>
      <w:proofErr w:type="spellEnd"/>
      <w:r>
        <w:t xml:space="preserve">) como a organização identifica e prioriza fornecedores para avaliação socioambiental (GRI, 2016a; GRI, 2016b). </w:t>
      </w:r>
    </w:p>
    <w:p w14:paraId="3481DE94" w14:textId="77777777" w:rsidR="009E260D" w:rsidRDefault="009E260D" w:rsidP="00650284">
      <w:pPr>
        <w:ind w:firstLine="720"/>
      </w:pPr>
      <w:r>
        <w:t xml:space="preserve">Em relação aos requisitos de relato, 29% das organizações evidenciaram que 100% dos novos fornecedores foram selecionados com base em critérios socioambientais (itens 308-1 e 414-1). As demais organizações não evidenciaram o percentual, dado requerido pelos padrões GRI, mas apresentaram os procedimentos adotados para avaliação socioambiental. Infere-se, portanto, que </w:t>
      </w:r>
      <w:r>
        <w:lastRenderedPageBreak/>
        <w:t xml:space="preserve">os critérios socioambientais, em conjunto com critérios econômicos, são considerados na avaliação dos novos fornecedores. Porém, as organizações devem melhorar a evidenciação das informações mínimas necessárias para que estejam de acordo com os padrões GRI e forneçam informações completas aos </w:t>
      </w:r>
      <w:r>
        <w:rPr>
          <w:i/>
        </w:rPr>
        <w:t>stakeholders</w:t>
      </w:r>
      <w:r>
        <w:t xml:space="preserve">. </w:t>
      </w:r>
    </w:p>
    <w:p w14:paraId="7544B41F" w14:textId="77777777" w:rsidR="009E260D" w:rsidRDefault="009E260D" w:rsidP="00650284">
      <w:pPr>
        <w:ind w:firstLine="720"/>
      </w:pPr>
      <w:r>
        <w:t xml:space="preserve">Os impactos socioambientais negativos e significativos associados aos fornecedores, reais ou potenciais, previstos nos itens 308-2 e 414-2, foram divulgados apenas pela empresa Suzano e referem-se ao “não cumprimento de requisitos de segurança do trabalho, baixa percepção de risco pelos colaboradores e ocorrência de acidentes”. As empresas Bradesco, BRF, CPFL e Natura indicaram que impactos socioambientais negativos relativos à cadeia de fornecedores não foram identificados. Observou-se que aspectos negativos são menos divulgados do que os positivos, como incentivos aos fornecedores, critérios socioambientais que visam a redução de riscos, respeito aos direitos humanos e à biodiversidade, certificações ambientais exigidas e desempenho positivo dos fornecedores. Devido à repercussão desfavorável associada a contingências socioambientais, organizações podem inclinar-se a divulgar informações positivas e omitir informações negativas, dado que essas podem prejudicar a imagem perante </w:t>
      </w:r>
      <w:r>
        <w:rPr>
          <w:i/>
        </w:rPr>
        <w:t>stakeholders</w:t>
      </w:r>
      <w:r>
        <w:t xml:space="preserve"> (</w:t>
      </w:r>
      <w:proofErr w:type="spellStart"/>
      <w:r>
        <w:t>Hajmohammad</w:t>
      </w:r>
      <w:proofErr w:type="spellEnd"/>
      <w:r>
        <w:t xml:space="preserve"> &amp; </w:t>
      </w:r>
      <w:proofErr w:type="spellStart"/>
      <w:r>
        <w:t>Vachon</w:t>
      </w:r>
      <w:proofErr w:type="spellEnd"/>
      <w:r>
        <w:t>, 2016).</w:t>
      </w:r>
    </w:p>
    <w:p w14:paraId="67BEF9BA" w14:textId="77777777" w:rsidR="009E260D" w:rsidRDefault="009E260D" w:rsidP="00650284">
      <w:pPr>
        <w:ind w:firstLine="720"/>
      </w:pPr>
      <w:r>
        <w:t xml:space="preserve">As organizações consideram critérios socioambientais desde a seleção e homologação dos fornecedores, com o objetivo de reduzir riscos que possam prejudicar a qualidade do produto ou serviço prestado, gerar passivos ambientais e comprometer a reputação das organizações. Essa conduta está em consonância com Yang e Zhang (2011), os quais afirmam que a introdução de aspectos socioambientais na gestão de fornecedores minimiza o risco associado a condutas inadequadas. Os riscos avaliados são diversos, e abrangem aspectos relacionados à imagem e ao cumprimento de legislações, riscos relacionados à saúde financeira e riscos relacionados ao cumprimento de obrigações trabalhistas. </w:t>
      </w:r>
    </w:p>
    <w:p w14:paraId="247F4723" w14:textId="77777777" w:rsidR="009E260D" w:rsidRDefault="009E260D" w:rsidP="00650284">
      <w:pPr>
        <w:ind w:firstLine="720"/>
      </w:pPr>
      <w:r>
        <w:t xml:space="preserve">Para a seleção e avaliação dos fornecedores, as organizações solicitam documentos e o preenchimento de questionários que comprovam a conformidade legal e o desenvolvimento de iniciativas socioambientais, bem como estabelecem cláusulas contratuais a serem cumpridas pelos fornecedores contratados. Além disso, 35% das organizações afirmam auditar seus fornecedores periodicamente como forma de avaliação socioambiental. As auditorias, documentais ou presenciais, são realizadas pelas empresas Cielo, CPFL, GPA, Lojas Americanas, Lojas Renner, </w:t>
      </w:r>
      <w:proofErr w:type="spellStart"/>
      <w:r>
        <w:t>Marfrig</w:t>
      </w:r>
      <w:proofErr w:type="spellEnd"/>
      <w:r>
        <w:t xml:space="preserve">, </w:t>
      </w:r>
      <w:proofErr w:type="spellStart"/>
      <w:r>
        <w:t>Neoenergia</w:t>
      </w:r>
      <w:proofErr w:type="spellEnd"/>
      <w:r>
        <w:t>, Petrobras, Suzano, Telefônica e Tim, que visam o acompanhamento e o desenvolvimento de fornecedores em relação à responsabilidade socioambiental, à qualidade do produto ou serviço fornecido e ao cumprimento das legislações vigentes. Por meio das auditorias é possível corrigir não conformidades e mitigar os riscos relacionados às práticas socioambientais.</w:t>
      </w:r>
    </w:p>
    <w:p w14:paraId="41D8D924" w14:textId="77777777" w:rsidR="009E260D" w:rsidRDefault="009E260D" w:rsidP="00650284">
      <w:pPr>
        <w:ind w:firstLine="708"/>
        <w:rPr>
          <w:highlight w:val="white"/>
        </w:rPr>
      </w:pPr>
      <w:r>
        <w:t>As informações revelam que a avaliação de fornecedores não se limita a autodeclarações de fornecedores (Baden et al., 2009), haja vista as auditorias realizadas e a averiguação de documentos, e compreendem monitoramento contínuo para verificar a conformidade contratual (Yang &amp; Zhang, 2017) e propor melhorias adicionais (</w:t>
      </w:r>
      <w:proofErr w:type="spellStart"/>
      <w:r>
        <w:t>Prajogo</w:t>
      </w:r>
      <w:proofErr w:type="spellEnd"/>
      <w:r>
        <w:t xml:space="preserve"> et al., 2012). Ademais, 24% das empresas (Duratex, Fleury, Lojas Americanas, </w:t>
      </w:r>
      <w:proofErr w:type="spellStart"/>
      <w:r>
        <w:t>Marfrig</w:t>
      </w:r>
      <w:proofErr w:type="spellEnd"/>
      <w:r>
        <w:t xml:space="preserve">, Minerva, MRV, Natura e </w:t>
      </w:r>
      <w:proofErr w:type="spellStart"/>
      <w:r>
        <w:t>Neoenergia</w:t>
      </w:r>
      <w:proofErr w:type="spellEnd"/>
      <w:r>
        <w:t xml:space="preserve"> e Tim) fornecem informaç</w:t>
      </w:r>
      <w:r>
        <w:rPr>
          <w:highlight w:val="white"/>
        </w:rPr>
        <w:t>õ</w:t>
      </w:r>
      <w:r>
        <w:t>es</w:t>
      </w:r>
      <w:r>
        <w:rPr>
          <w:highlight w:val="white"/>
        </w:rPr>
        <w:t xml:space="preserve"> a respeito dos incentivos oferecidos aos fornecedores, que incluem premiações, reconhecimento e capacitação. </w:t>
      </w:r>
    </w:p>
    <w:p w14:paraId="370F023C" w14:textId="77777777" w:rsidR="009E260D" w:rsidRDefault="009E260D" w:rsidP="00650284">
      <w:pPr>
        <w:ind w:firstLine="720"/>
        <w:rPr>
          <w:highlight w:val="white"/>
        </w:rPr>
      </w:pPr>
      <w:r>
        <w:rPr>
          <w:highlight w:val="white"/>
        </w:rPr>
        <w:t xml:space="preserve">A MRV (2019) destaca que “os fornecedores com maior pontuação nos critérios sociais, ambientais e de </w:t>
      </w:r>
      <w:proofErr w:type="spellStart"/>
      <w:r>
        <w:rPr>
          <w:i/>
          <w:highlight w:val="white"/>
        </w:rPr>
        <w:t>compliance</w:t>
      </w:r>
      <w:proofErr w:type="spellEnd"/>
      <w:r>
        <w:rPr>
          <w:i/>
          <w:highlight w:val="white"/>
        </w:rPr>
        <w:t xml:space="preserve"> </w:t>
      </w:r>
      <w:r>
        <w:rPr>
          <w:highlight w:val="white"/>
        </w:rPr>
        <w:t>foram premiados” reforçando o compromisso da empresa com o “desenvolvimento sustentável da cadeia de suprimentos”. Da mesma forma, a Natura (2019) afirma que deu “continuidade ao programa de Premiação de Fornecedores [...] para reconhecer boas práticas e o bom desempenho dos parceiros de negócio.</w:t>
      </w:r>
      <w:r>
        <w:t xml:space="preserve"> A TIM (2019) realizou um </w:t>
      </w:r>
      <w:r>
        <w:rPr>
          <w:i/>
        </w:rPr>
        <w:t>workshop</w:t>
      </w:r>
      <w:r>
        <w:t xml:space="preserve"> de sustentabilidade e </w:t>
      </w:r>
      <w:proofErr w:type="spellStart"/>
      <w:r>
        <w:rPr>
          <w:i/>
        </w:rPr>
        <w:t>compliance</w:t>
      </w:r>
      <w:proofErr w:type="spellEnd"/>
      <w:r>
        <w:t xml:space="preserve"> para seus fornecedores e busca engajá-los no combate </w:t>
      </w:r>
      <w:proofErr w:type="spellStart"/>
      <w:r>
        <w:t>às</w:t>
      </w:r>
      <w:proofErr w:type="spellEnd"/>
      <w:r>
        <w:t xml:space="preserve"> </w:t>
      </w:r>
      <w:proofErr w:type="spellStart"/>
      <w:r>
        <w:t>mudanças</w:t>
      </w:r>
      <w:proofErr w:type="spellEnd"/>
      <w:r>
        <w:t xml:space="preserve"> </w:t>
      </w:r>
      <w:proofErr w:type="spellStart"/>
      <w:r>
        <w:lastRenderedPageBreak/>
        <w:t>climáticas</w:t>
      </w:r>
      <w:proofErr w:type="spellEnd"/>
      <w:r>
        <w:t xml:space="preserve">, o que contribui para reduzir a pegada de carbono das suas atividades. A </w:t>
      </w:r>
      <w:proofErr w:type="spellStart"/>
      <w:r>
        <w:t>Marfrig</w:t>
      </w:r>
      <w:proofErr w:type="spellEnd"/>
      <w:r>
        <w:t xml:space="preserve"> evidencia o apoio dado aos fornecedores na obtenção de licenças ambientais e afirma acompanhar os fornecedores localizados </w:t>
      </w:r>
      <w:r>
        <w:rPr>
          <w:highlight w:val="white"/>
        </w:rPr>
        <w:t xml:space="preserve">no Bioma Amazônia por meio de monitoramento </w:t>
      </w:r>
      <w:proofErr w:type="spellStart"/>
      <w:r>
        <w:rPr>
          <w:highlight w:val="white"/>
        </w:rPr>
        <w:t>geoespacial</w:t>
      </w:r>
      <w:proofErr w:type="spellEnd"/>
      <w:r>
        <w:rPr>
          <w:highlight w:val="white"/>
        </w:rPr>
        <w:t>.</w:t>
      </w:r>
    </w:p>
    <w:p w14:paraId="55D58E90" w14:textId="77777777" w:rsidR="009E260D" w:rsidRDefault="009E260D" w:rsidP="00650284">
      <w:pPr>
        <w:ind w:left="708" w:firstLine="0"/>
      </w:pPr>
      <w:r>
        <w:rPr>
          <w:highlight w:val="white"/>
        </w:rPr>
        <w:t xml:space="preserve">Com base em imagens de satélite das fazendas, disponibilizadas pelo Instituto Nacional de Pesquisas Espaciais (Inpe), a </w:t>
      </w:r>
      <w:proofErr w:type="spellStart"/>
      <w:r>
        <w:rPr>
          <w:highlight w:val="white"/>
        </w:rPr>
        <w:t>Marfrig</w:t>
      </w:r>
      <w:proofErr w:type="spellEnd"/>
      <w:r>
        <w:rPr>
          <w:highlight w:val="white"/>
        </w:rPr>
        <w:t xml:space="preserve"> busca se certificar de que as propriedades estão livres de desmatamento, conflitos com terras indígenas e unidades de conservação. Esses requisitos, quando atendidos, minimizam o impacto sobre a produção, a comunidade e o meio ambiente (</w:t>
      </w:r>
      <w:proofErr w:type="spellStart"/>
      <w:r>
        <w:rPr>
          <w:highlight w:val="white"/>
        </w:rPr>
        <w:t>Marfrig</w:t>
      </w:r>
      <w:proofErr w:type="spellEnd"/>
      <w:r>
        <w:rPr>
          <w:highlight w:val="white"/>
        </w:rPr>
        <w:t>, 2019, p. 38).</w:t>
      </w:r>
    </w:p>
    <w:p w14:paraId="7CCB1130" w14:textId="77777777" w:rsidR="009E260D" w:rsidRDefault="009E260D" w:rsidP="00650284">
      <w:pPr>
        <w:ind w:firstLine="720"/>
      </w:pPr>
      <w:r>
        <w:t>Para a avaliação social de fornecedores, cláusulas contratuais e códigos de ética são os principais procedimentos evidenciados. As cláusulas e códigos discorrem sobre a proteção dos direitos humanos junto a seus fornecedores, destacando saúde e segurança dos colaboradores (</w:t>
      </w:r>
      <w:r>
        <w:rPr>
          <w:highlight w:val="white"/>
        </w:rPr>
        <w:t xml:space="preserve">AES Brasil Energia, B2W, Banco do Brasil, Bradesco, Duratex, </w:t>
      </w:r>
      <w:proofErr w:type="spellStart"/>
      <w:r>
        <w:rPr>
          <w:highlight w:val="white"/>
        </w:rPr>
        <w:t>Ecorodovias</w:t>
      </w:r>
      <w:proofErr w:type="spellEnd"/>
      <w:r>
        <w:rPr>
          <w:highlight w:val="white"/>
        </w:rPr>
        <w:t xml:space="preserve">, Eletrobras, </w:t>
      </w:r>
      <w:proofErr w:type="spellStart"/>
      <w:r>
        <w:rPr>
          <w:highlight w:val="white"/>
        </w:rPr>
        <w:t>Engie</w:t>
      </w:r>
      <w:proofErr w:type="spellEnd"/>
      <w:r>
        <w:rPr>
          <w:highlight w:val="white"/>
        </w:rPr>
        <w:t xml:space="preserve">, Fleury, Klabin, Lojas Americanas, Lojas Renner, </w:t>
      </w:r>
      <w:proofErr w:type="spellStart"/>
      <w:r>
        <w:rPr>
          <w:highlight w:val="white"/>
        </w:rPr>
        <w:t>Marfrig</w:t>
      </w:r>
      <w:proofErr w:type="spellEnd"/>
      <w:r>
        <w:rPr>
          <w:highlight w:val="white"/>
        </w:rPr>
        <w:t xml:space="preserve">, Natura, </w:t>
      </w:r>
      <w:proofErr w:type="spellStart"/>
      <w:r>
        <w:rPr>
          <w:highlight w:val="white"/>
        </w:rPr>
        <w:t>Neoenergia</w:t>
      </w:r>
      <w:proofErr w:type="spellEnd"/>
      <w:r>
        <w:rPr>
          <w:highlight w:val="white"/>
        </w:rPr>
        <w:t>, Petrobras, Telefônica, Tim e Weg</w:t>
      </w:r>
      <w:r>
        <w:t>), erradicação do trabalho forçado e infantil (</w:t>
      </w:r>
      <w:r>
        <w:rPr>
          <w:highlight w:val="white"/>
        </w:rPr>
        <w:t xml:space="preserve">AES Brasil Energia, B2W, Banco do Brasil, Bradesco, CCR, Copel, Duratex, </w:t>
      </w:r>
      <w:proofErr w:type="spellStart"/>
      <w:r>
        <w:rPr>
          <w:highlight w:val="white"/>
        </w:rPr>
        <w:t>Ecorodovias</w:t>
      </w:r>
      <w:proofErr w:type="spellEnd"/>
      <w:r>
        <w:rPr>
          <w:highlight w:val="white"/>
        </w:rPr>
        <w:t>, GPA, Lojas Americanas, Natura, Suzano e Tim)</w:t>
      </w:r>
      <w:r>
        <w:t xml:space="preserve"> e combate à corrupção (Bradesco, Duratex, </w:t>
      </w:r>
      <w:proofErr w:type="spellStart"/>
      <w:r>
        <w:t>Engie</w:t>
      </w:r>
      <w:proofErr w:type="spellEnd"/>
      <w:r>
        <w:t xml:space="preserve">, Fleury, Lojas Renner, Movida, MRV, Natura, </w:t>
      </w:r>
      <w:proofErr w:type="spellStart"/>
      <w:r>
        <w:t>Neoenergia</w:t>
      </w:r>
      <w:proofErr w:type="spellEnd"/>
      <w:r>
        <w:t xml:space="preserve"> e Telefônica). Também são estabelecidas medidas disciplinares no caso de irregularidades, como multas e descredenciamento (B2W, Copel, Lojas Americanas e Petrobras) e fornecedores nacionais e locais são favorecidos como incentivo à economia (Bradesco e Suzano).</w:t>
      </w:r>
    </w:p>
    <w:p w14:paraId="155F4757" w14:textId="77777777" w:rsidR="009E260D" w:rsidRDefault="009E260D" w:rsidP="00650284">
      <w:pPr>
        <w:ind w:firstLine="720"/>
      </w:pPr>
      <w:r>
        <w:t xml:space="preserve">No aspecto ambiental, os fornecedores são avaliados pelas suas atividades e impactos ambientais, como emissões de gases (CPFL, Duratex e Telefônica), armazenamento e manuseio de produtos perigosos (Telefônica), prontidão para lidar com emergências ambientais (Bando do Brasil, Natura e Telefônica), mapeamento dos riscos climáticos (CPFL), infrações ambientais (Duratex), consumo de água e energia (CPFL, Duratex e Natura), proteção da biodiversidade (Duratex, M. Dias Branco e </w:t>
      </w:r>
      <w:proofErr w:type="spellStart"/>
      <w:r>
        <w:t>Marfrig</w:t>
      </w:r>
      <w:proofErr w:type="spellEnd"/>
      <w:r>
        <w:t xml:space="preserve">) e licenças ambientais (Duratex, </w:t>
      </w:r>
      <w:proofErr w:type="spellStart"/>
      <w:r>
        <w:t>Engie</w:t>
      </w:r>
      <w:proofErr w:type="spellEnd"/>
      <w:r>
        <w:t xml:space="preserve">, </w:t>
      </w:r>
      <w:proofErr w:type="spellStart"/>
      <w:r>
        <w:t>Marfrig</w:t>
      </w:r>
      <w:proofErr w:type="spellEnd"/>
      <w:r>
        <w:t xml:space="preserve"> e Natura). A Natura exige o cumprimento de requisitos adicionais, que incluem ações de reflorestamento e a não utilização de ingredientes proibidos internacionalmente. Informações sobre geração, tratamento e descarte de resíduos são evidenciadas pelas empresas Duratex, Natura, Tim e Telefônica. </w:t>
      </w:r>
    </w:p>
    <w:p w14:paraId="03409379" w14:textId="77777777" w:rsidR="009E260D" w:rsidRDefault="009E260D" w:rsidP="00650284">
      <w:pPr>
        <w:ind w:firstLine="720"/>
      </w:pPr>
      <w:r>
        <w:t>As organizações participantes do ISE B3 analisadas neste estudo consideram tanto aspectos econômicos como socioambientais na avaliação dos fornecedores, os quais compõem o tripé da sustentabilidade empresarial (</w:t>
      </w:r>
      <w:r>
        <w:rPr>
          <w:i/>
        </w:rPr>
        <w:t xml:space="preserve">triple </w:t>
      </w:r>
      <w:proofErr w:type="spellStart"/>
      <w:r>
        <w:rPr>
          <w:i/>
        </w:rPr>
        <w:t>bottom</w:t>
      </w:r>
      <w:proofErr w:type="spellEnd"/>
      <w:r>
        <w:rPr>
          <w:i/>
        </w:rPr>
        <w:t xml:space="preserve"> </w:t>
      </w:r>
      <w:proofErr w:type="spellStart"/>
      <w:r>
        <w:rPr>
          <w:i/>
        </w:rPr>
        <w:t>line</w:t>
      </w:r>
      <w:proofErr w:type="spellEnd"/>
      <w:r>
        <w:t xml:space="preserve">). Embora não apresentem informações referentes a determinados requisitos de relato, as mesmas apresentam a forma de gestão para a avaliação socioambiental de seus fornecedores nos relatórios de sustentabilidade. Observa-se também que as iniciativas socioambientais estendidas aos fornecedores </w:t>
      </w:r>
      <w:proofErr w:type="gramStart"/>
      <w:r>
        <w:t>devem-se</w:t>
      </w:r>
      <w:proofErr w:type="gramEnd"/>
      <w:r>
        <w:t xml:space="preserve"> a demandas regulatórias (</w:t>
      </w:r>
      <w:proofErr w:type="spellStart"/>
      <w:r>
        <w:t>Luthra</w:t>
      </w:r>
      <w:proofErr w:type="spellEnd"/>
      <w:r>
        <w:t xml:space="preserve"> et al., 2017), manutenção da vantagem competitiva ​​(</w:t>
      </w:r>
      <w:proofErr w:type="spellStart"/>
      <w:r>
        <w:t>Bai</w:t>
      </w:r>
      <w:proofErr w:type="spellEnd"/>
      <w:r>
        <w:t xml:space="preserve"> et al., 2019; Wolf, 2014; Yang &amp; Zhang, 2017) e consequente preocupação com a reputação organizacional (</w:t>
      </w:r>
      <w:proofErr w:type="spellStart"/>
      <w:r>
        <w:t>Hajmohammad</w:t>
      </w:r>
      <w:proofErr w:type="spellEnd"/>
      <w:r>
        <w:t xml:space="preserve"> &amp; </w:t>
      </w:r>
      <w:proofErr w:type="spellStart"/>
      <w:r>
        <w:t>Vachon</w:t>
      </w:r>
      <w:proofErr w:type="spellEnd"/>
      <w:r>
        <w:t xml:space="preserve">, 2016; </w:t>
      </w:r>
      <w:proofErr w:type="spellStart"/>
      <w:r>
        <w:t>Memari</w:t>
      </w:r>
      <w:proofErr w:type="spellEnd"/>
      <w:r>
        <w:t xml:space="preserve"> et al., 2019) e, como consequência, previnem impactos socioambientais negativos e incentivam seus fornecedores a tornarem-se mais sustentáveis.</w:t>
      </w:r>
    </w:p>
    <w:p w14:paraId="5F664BA4" w14:textId="77777777" w:rsidR="009E260D" w:rsidRDefault="009E260D" w:rsidP="00650284">
      <w:pPr>
        <w:ind w:firstLine="720"/>
        <w:rPr>
          <w:color w:val="FF0000"/>
          <w:highlight w:val="white"/>
        </w:rPr>
      </w:pPr>
    </w:p>
    <w:p w14:paraId="6B5F01D5" w14:textId="7AD14C09" w:rsidR="009E260D" w:rsidRPr="009E260D" w:rsidRDefault="009E260D" w:rsidP="00650284">
      <w:pPr>
        <w:ind w:firstLine="0"/>
        <w:rPr>
          <w:b/>
          <w:bCs/>
          <w:highlight w:val="white"/>
        </w:rPr>
      </w:pPr>
      <w:r w:rsidRPr="009E260D">
        <w:rPr>
          <w:b/>
          <w:bCs/>
          <w:highlight w:val="white"/>
        </w:rPr>
        <w:t xml:space="preserve">4.3 Análise de similitude </w:t>
      </w:r>
    </w:p>
    <w:p w14:paraId="1A76E6C1" w14:textId="5956E449" w:rsidR="009E260D" w:rsidRDefault="009E260D" w:rsidP="00650284">
      <w:pPr>
        <w:ind w:right="4" w:firstLine="708"/>
      </w:pPr>
      <w:r>
        <w:t xml:space="preserve">Complementarmente, operacionalizou-se a análise de similitude com auxílio do </w:t>
      </w:r>
      <w:r>
        <w:rPr>
          <w:i/>
        </w:rPr>
        <w:t xml:space="preserve">software </w:t>
      </w:r>
      <w:proofErr w:type="spellStart"/>
      <w:r>
        <w:t>Iramuteq</w:t>
      </w:r>
      <w:proofErr w:type="spellEnd"/>
      <w:r>
        <w:t xml:space="preserve">. Por meio da Figura 1, é possível observar a ocorrência de um leque semântico de palavras mais frequentes nos fragmentos referentes aos requisitos de fornecedores, nos padrões GRI 308 e 414, como: social, ambiental, avaliar, prático, realizar, humano e escravo.  </w:t>
      </w:r>
    </w:p>
    <w:p w14:paraId="7580A7A6" w14:textId="1374CB0E" w:rsidR="001721A4" w:rsidRDefault="001721A4" w:rsidP="00650284">
      <w:pPr>
        <w:ind w:right="4" w:firstLine="708"/>
      </w:pPr>
    </w:p>
    <w:p w14:paraId="029E8EDD" w14:textId="77777777" w:rsidR="00037D3B" w:rsidRDefault="00037D3B" w:rsidP="00650284">
      <w:pPr>
        <w:ind w:right="4" w:firstLine="708"/>
      </w:pPr>
    </w:p>
    <w:p w14:paraId="697A19B3" w14:textId="7A01C157" w:rsidR="001721A4" w:rsidRDefault="001721A4" w:rsidP="001721A4">
      <w:pPr>
        <w:ind w:right="4" w:firstLine="0"/>
      </w:pPr>
      <w:r w:rsidRPr="001721A4">
        <w:rPr>
          <w:b/>
        </w:rPr>
        <w:lastRenderedPageBreak/>
        <w:t>Figura 1</w:t>
      </w:r>
    </w:p>
    <w:p w14:paraId="2A0AFF9E" w14:textId="1CEE7AEE" w:rsidR="001721A4" w:rsidRPr="001721A4" w:rsidRDefault="001721A4" w:rsidP="001721A4">
      <w:pPr>
        <w:ind w:right="4" w:firstLine="0"/>
        <w:rPr>
          <w:i/>
          <w:iCs/>
        </w:rPr>
      </w:pPr>
      <w:r w:rsidRPr="001721A4">
        <w:rPr>
          <w:i/>
          <w:iCs/>
        </w:rPr>
        <w:t xml:space="preserve">Resultado da análise de similitude </w:t>
      </w:r>
    </w:p>
    <w:p w14:paraId="1BB80F6D" w14:textId="77777777" w:rsidR="002430E2" w:rsidRDefault="002430E2" w:rsidP="00650284">
      <w:pPr>
        <w:ind w:right="4" w:firstLine="0"/>
        <w:jc w:val="center"/>
      </w:pPr>
      <w:r>
        <w:rPr>
          <w:noProof/>
        </w:rPr>
        <w:drawing>
          <wp:inline distT="114300" distB="114300" distL="114300" distR="114300" wp14:anchorId="1C15903D" wp14:editId="6F7CAC64">
            <wp:extent cx="5918200" cy="4236720"/>
            <wp:effectExtent l="19050" t="19050" r="25400" b="1143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8"/>
                    <a:srcRect t="2951" b="3302"/>
                    <a:stretch/>
                  </pic:blipFill>
                  <pic:spPr bwMode="auto">
                    <a:xfrm>
                      <a:off x="0" y="0"/>
                      <a:ext cx="5918617" cy="4237019"/>
                    </a:xfrm>
                    <a:prstGeom prst="rect">
                      <a:avLst/>
                    </a:prstGeom>
                    <a:ln w="12700" cap="flat" cmpd="sng" algn="ctr">
                      <a:solidFill>
                        <a:srgbClr val="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20292410" w14:textId="77777777" w:rsidR="001721A4" w:rsidRDefault="001721A4" w:rsidP="00650284">
      <w:pPr>
        <w:ind w:right="4" w:firstLine="708"/>
      </w:pPr>
    </w:p>
    <w:p w14:paraId="5E7F30E2" w14:textId="08B19837" w:rsidR="009E260D" w:rsidRDefault="009E260D" w:rsidP="00650284">
      <w:pPr>
        <w:ind w:right="4" w:firstLine="708"/>
      </w:pPr>
      <w:r>
        <w:t>Após a análise genérica da árvore de similitude, pode-se considerar, por meio das conexões, que as organizações apresentam em seus relatórios informações a respeito da avaliação socioambiental de fornecedores como forma de atender às orientações dos requisitos 308 e 414 do GRI, que orientam as organizações acerca da divulgação de aspectos relacionados à avaliação socioambiental de fornecedores. Tais informações devem compor os relatórios organizacionais por serem consideradas relevantes na divulgação de eventuais impactos no meio ambiente, na economia e na sociedade (</w:t>
      </w:r>
      <w:r>
        <w:rPr>
          <w:highlight w:val="white"/>
        </w:rPr>
        <w:t>GRI, 2016a; GRI, 2016b</w:t>
      </w:r>
      <w:r>
        <w:t>).</w:t>
      </w:r>
    </w:p>
    <w:p w14:paraId="508345D6" w14:textId="77777777" w:rsidR="009E260D" w:rsidRDefault="009E260D" w:rsidP="00650284">
      <w:pPr>
        <w:ind w:right="4" w:firstLine="708"/>
      </w:pPr>
      <w:r>
        <w:t xml:space="preserve">O campo roxo apresentado na Figura 1 inclui os seguintes termos: social, ambiental, considerar, contratar, ético e selecionar. A relação apresentada entre esses termos denota que as organizações apresentam interesse na avaliação de critérios socioambientais dos fornecedores. Várias organizações analisadas possuem códigos de ética que devem ser seguidos pelos fornecedores contratados. Tal aspecto segue os conteúdos dos padrões GRI 308 e 414 no que concerne a avaliação socioambiental de novos fornecedores. Por outro lado, alguns termos constantes no campo azul da Figura 1 (estratégico, avaliar, garantir e vigente) estão relacionados à avaliação de fornecedores atuais, considerados estratégicos para as operações das organizações contratantes. Portanto, a avaliação socioambiental por parte das organizações inclui tanto fornecedores atuais como novos. </w:t>
      </w:r>
    </w:p>
    <w:p w14:paraId="571B069F" w14:textId="77777777" w:rsidR="009E260D" w:rsidRDefault="009E260D" w:rsidP="00650284">
      <w:pPr>
        <w:ind w:right="4" w:firstLine="708"/>
      </w:pPr>
      <w:r>
        <w:t xml:space="preserve">Aspectos relacionados à avaliação social dos fornecedores são abordados nos relatórios principalmente por meio da descrição dos processos de fiscalização de práticas trabalhistas, </w:t>
      </w:r>
      <w:r>
        <w:lastRenderedPageBreak/>
        <w:t xml:space="preserve">previdenciárias e fiscais (campo vermelho). O atendimento às normas trabalhistas envolve tanto a garantia dos direitos dos funcionários quanto a saúde e segurança no ambiente de trabalho. Observa-se, por meio da Figura 1, que palavras como promover, infantil e respeitar estão diretamente ligadas à palavra humano (campos verde e amarelo). Tais aspectos denotam preocupação por parte das organizações contratantes a respeito da utilização direta ou indireta de trabalho ilegal ou exploração de trabalho infantil, degradante ou análogo à escravidão por parte de seus fornecedores de produtos e/ou serviços. A preocupação das organizações a respeito de tais aspectos é legítima, já que no primeiro semestre de 2020 foram identificados 55 mil trabalhadores e trabalhadoras exercendo atividades análogas à escravidão no Brasil (Fagundes, 2020). </w:t>
      </w:r>
    </w:p>
    <w:p w14:paraId="42D9E079" w14:textId="77777777" w:rsidR="009E260D" w:rsidRDefault="009E260D" w:rsidP="00650284">
      <w:pPr>
        <w:ind w:right="4" w:firstLine="708"/>
      </w:pPr>
    </w:p>
    <w:p w14:paraId="3B854C36" w14:textId="36E3C8D9" w:rsidR="009E260D" w:rsidRDefault="009E260D" w:rsidP="00650284">
      <w:pPr>
        <w:ind w:firstLine="0"/>
        <w:rPr>
          <w:b/>
        </w:rPr>
      </w:pPr>
      <w:r>
        <w:rPr>
          <w:b/>
        </w:rPr>
        <w:t>5</w:t>
      </w:r>
      <w:r w:rsidR="006B7720">
        <w:rPr>
          <w:b/>
        </w:rPr>
        <w:t xml:space="preserve"> </w:t>
      </w:r>
      <w:r w:rsidR="003619F4">
        <w:rPr>
          <w:b/>
        </w:rPr>
        <w:t>Conclusões</w:t>
      </w:r>
    </w:p>
    <w:p w14:paraId="03C98DAF" w14:textId="77777777" w:rsidR="009E260D" w:rsidRDefault="009E260D" w:rsidP="00650284">
      <w:pPr>
        <w:ind w:firstLine="720"/>
      </w:pPr>
      <w:r>
        <w:t xml:space="preserve">Este estudo teve o objetivo de investigar como a avaliação socioambiental de fornecedores é evidenciada pelas empresas participantes do Índice de Sustentabilidade Empresarial (ISE B3). Os resultados evidenciam que apenas uma organização dentre as 38 investigadas atende a todos os requisitos propostos pelos padrões GRI 308 e 414 acerca da avaliação socioambiental de fornecedores. As organizações não adotam uma forma padronizada de divulgação e muitas vezes evidenciam informações relativas à gestão de fornecedores de maneira </w:t>
      </w:r>
      <w:r>
        <w:rPr>
          <w:highlight w:val="white"/>
        </w:rPr>
        <w:t>indireta, sem aprofundament</w:t>
      </w:r>
      <w:r>
        <w:t>o ou dispersas nos relatórios.</w:t>
      </w:r>
    </w:p>
    <w:p w14:paraId="664D32C9" w14:textId="77777777" w:rsidR="009E260D" w:rsidRDefault="009E260D" w:rsidP="00650284">
      <w:r>
        <w:t xml:space="preserve">Ressalta-se que todas as organizações investigadas afirmam atender aos padrões GRI referentes à avaliação socioambiental de fornecedores, entretanto, muitas não atendem os requisitos de relato propostos pelo GRI. Nesse sentido, sugere-se às organizações que busquem padronizar e adequar suas informações à proposta do GRI, o que aumentaria a qualidade informacional, maior transparência do relatório, e permitiria aos </w:t>
      </w:r>
      <w:r>
        <w:rPr>
          <w:i/>
        </w:rPr>
        <w:t>stakeholders</w:t>
      </w:r>
      <w:r>
        <w:t xml:space="preserve"> comparar práticas de avaliação socioambiental de fornecedores das empresas contratantes. </w:t>
      </w:r>
    </w:p>
    <w:p w14:paraId="3AA23C69" w14:textId="77777777" w:rsidR="009E260D" w:rsidRDefault="009E260D" w:rsidP="00650284">
      <w:r>
        <w:t xml:space="preserve">Esta pesquisa contribui para a literatura ao realizar uma nova discussão para os estudos de relacionamentos interorganizacionais, sob o espectro socioambiental, a partir de uma análise qualitativa de como as organizações apresentam informações orientadas pelo GRI em seus relatórios de sustentabilidade. Para a prática, a pesquisa oferece </w:t>
      </w:r>
      <w:r>
        <w:rPr>
          <w:i/>
        </w:rPr>
        <w:t xml:space="preserve">insights </w:t>
      </w:r>
      <w:r>
        <w:t xml:space="preserve">para os gestores aprimorarem a comunicação com os investidores e demais partes interessadas a respeito das condições socioambientais relativas aos fornecedores. Como contribuição social, destaca-se que os </w:t>
      </w:r>
      <w:r>
        <w:rPr>
          <w:i/>
        </w:rPr>
        <w:t xml:space="preserve">stakeholders </w:t>
      </w:r>
      <w:r>
        <w:t xml:space="preserve">das organizações participantes do ISE B3 podem observar, a partir deste estudo, como as demais organizações participantes se posicionam ao apresentarem informações socioambientais referentes aos fornecedores, o que pode revelar valores, estratégias e práticas das empresas e, assim, observar se há alinhamento de interesses com as partes relacionadas. </w:t>
      </w:r>
    </w:p>
    <w:p w14:paraId="7CF4577D" w14:textId="77777777" w:rsidR="009E260D" w:rsidRDefault="009E260D" w:rsidP="00650284">
      <w:r>
        <w:t xml:space="preserve">Esta pesquisa não está isenta de limitações. A amostra de pesquisa abrange apenas empresas participantes do ISE B3 de 2021. Análises comparativas quanto à evolução da evidenciação entre as empresas participantes do índice de outros anos seria interessante para pesquisas futuras. Os resultados do estudo não devem ser extrapolados para empresas que não foram objeto de estudo. A análise pautada na percepção dos autores quanto à análise de conteúdo pode ser outra limitação de interpretação, podendo não refletir o propósito de divulgação dos fragmentos analisados. Sugere-se que pesquisas futuras investiguem outros relatórios corporativos a partir das premissas do GRI 308 e 414, assim como análises de outros padrões </w:t>
      </w:r>
      <w:proofErr w:type="spellStart"/>
      <w:r>
        <w:t>GRIs</w:t>
      </w:r>
      <w:proofErr w:type="spellEnd"/>
      <w:r>
        <w:t xml:space="preserve"> para relacionamentos interorganizacionais, como o GRI 204, referente a práticas de compra, e GRI 418, sobre privacidade do cliente.</w:t>
      </w:r>
    </w:p>
    <w:p w14:paraId="14E1EF93" w14:textId="6164028A" w:rsidR="00CD72FF" w:rsidRDefault="00CD72FF" w:rsidP="00825833">
      <w:pPr>
        <w:ind w:firstLine="0"/>
      </w:pPr>
    </w:p>
    <w:p w14:paraId="54C248CA" w14:textId="3C6F535C" w:rsidR="00E056A3" w:rsidRDefault="00E056A3" w:rsidP="00825833">
      <w:pPr>
        <w:ind w:firstLine="0"/>
      </w:pPr>
    </w:p>
    <w:p w14:paraId="15DDD26E" w14:textId="77777777" w:rsidR="00E056A3" w:rsidRDefault="00E056A3" w:rsidP="00825833">
      <w:pPr>
        <w:ind w:firstLine="0"/>
      </w:pPr>
    </w:p>
    <w:p w14:paraId="67B48E0A" w14:textId="6DF35AE5" w:rsidR="009E260D" w:rsidRDefault="009A5717" w:rsidP="00650284">
      <w:pPr>
        <w:ind w:firstLine="0"/>
        <w:rPr>
          <w:b/>
          <w:lang w:val="en-US"/>
        </w:rPr>
      </w:pPr>
      <w:proofErr w:type="spellStart"/>
      <w:r>
        <w:rPr>
          <w:b/>
          <w:lang w:val="en-US"/>
        </w:rPr>
        <w:lastRenderedPageBreak/>
        <w:t>Referências</w:t>
      </w:r>
      <w:proofErr w:type="spellEnd"/>
    </w:p>
    <w:p w14:paraId="168E9F31" w14:textId="25A5E0FA" w:rsidR="009E260D" w:rsidRPr="003C0CD4" w:rsidRDefault="009E260D" w:rsidP="00650284">
      <w:pPr>
        <w:ind w:firstLine="0"/>
        <w:rPr>
          <w:b/>
          <w:lang w:val="en-US"/>
        </w:rPr>
      </w:pPr>
      <w:r w:rsidRPr="003C0CD4">
        <w:rPr>
          <w:b/>
          <w:lang w:val="en-US"/>
        </w:rPr>
        <w:t xml:space="preserve"> </w:t>
      </w:r>
    </w:p>
    <w:p w14:paraId="787DE8DF" w14:textId="77777777" w:rsidR="009E260D" w:rsidRPr="003C0CD4" w:rsidRDefault="009E260D" w:rsidP="00650284">
      <w:pPr>
        <w:spacing w:after="240"/>
        <w:ind w:left="560" w:hanging="560"/>
        <w:rPr>
          <w:highlight w:val="white"/>
          <w:lang w:val="en-US"/>
        </w:rPr>
      </w:pPr>
      <w:r w:rsidRPr="003C0CD4">
        <w:rPr>
          <w:highlight w:val="white"/>
          <w:lang w:val="en-US"/>
        </w:rPr>
        <w:t xml:space="preserve">Abbas, J. (2020). Impact of total quality management on corporate green performance through the mediating role of corporate social responsibility. </w:t>
      </w:r>
      <w:r w:rsidRPr="003C0CD4">
        <w:rPr>
          <w:i/>
          <w:highlight w:val="white"/>
          <w:lang w:val="en-US"/>
        </w:rPr>
        <w:t>Journal of Cleaner Production</w:t>
      </w:r>
      <w:r w:rsidRPr="003C0CD4">
        <w:rPr>
          <w:highlight w:val="white"/>
          <w:lang w:val="en-US"/>
        </w:rPr>
        <w:t xml:space="preserve">, </w:t>
      </w:r>
      <w:r w:rsidRPr="003C0CD4">
        <w:rPr>
          <w:i/>
          <w:highlight w:val="white"/>
          <w:lang w:val="en-US"/>
        </w:rPr>
        <w:t>242</w:t>
      </w:r>
      <w:r w:rsidRPr="003C0CD4">
        <w:rPr>
          <w:highlight w:val="white"/>
          <w:lang w:val="en-US"/>
        </w:rPr>
        <w:t xml:space="preserve">, 118458. Doi: 10.1016/j.jclepro.2019.118458. </w:t>
      </w:r>
    </w:p>
    <w:p w14:paraId="115BBD8F" w14:textId="77777777" w:rsidR="009E260D" w:rsidRPr="003C0CD4" w:rsidRDefault="009E260D" w:rsidP="00650284">
      <w:pPr>
        <w:spacing w:after="240"/>
        <w:ind w:left="560" w:hanging="560"/>
        <w:rPr>
          <w:highlight w:val="white"/>
          <w:lang w:val="en-US"/>
        </w:rPr>
      </w:pPr>
      <w:r w:rsidRPr="003C0CD4">
        <w:rPr>
          <w:highlight w:val="white"/>
          <w:lang w:val="en-US"/>
        </w:rPr>
        <w:t xml:space="preserve">Abbas, J., &amp; </w:t>
      </w:r>
      <w:proofErr w:type="spellStart"/>
      <w:r w:rsidRPr="003C0CD4">
        <w:rPr>
          <w:highlight w:val="white"/>
          <w:lang w:val="en-US"/>
        </w:rPr>
        <w:t>Sağsan</w:t>
      </w:r>
      <w:proofErr w:type="spellEnd"/>
      <w:r w:rsidRPr="003C0CD4">
        <w:rPr>
          <w:highlight w:val="white"/>
          <w:lang w:val="en-US"/>
        </w:rPr>
        <w:t xml:space="preserve">, M. (2019). Impact of knowledge management practices on green innovation and corporate sustainable development: </w:t>
      </w:r>
      <w:r w:rsidRPr="003C0CD4">
        <w:rPr>
          <w:i/>
          <w:highlight w:val="white"/>
          <w:lang w:val="en-US"/>
        </w:rPr>
        <w:t>A structural analysis. Journal of cleaner production, 229</w:t>
      </w:r>
      <w:r w:rsidRPr="003C0CD4">
        <w:rPr>
          <w:highlight w:val="white"/>
          <w:lang w:val="en-US"/>
        </w:rPr>
        <w:t xml:space="preserve">, 611-620. Doi: 10.1016/j.jclepro.2019.05.024. </w:t>
      </w:r>
    </w:p>
    <w:p w14:paraId="0783C4E2" w14:textId="77777777" w:rsidR="009E260D" w:rsidRDefault="009E260D" w:rsidP="00650284">
      <w:pPr>
        <w:spacing w:after="240"/>
        <w:ind w:left="560" w:hanging="560"/>
        <w:rPr>
          <w:highlight w:val="white"/>
        </w:rPr>
      </w:pPr>
      <w:r w:rsidRPr="003C0CD4">
        <w:rPr>
          <w:highlight w:val="white"/>
          <w:lang w:val="en-US"/>
        </w:rPr>
        <w:t xml:space="preserve">Baden, D. A., Harwood, I. A., &amp; Woodward, D. G. (2009). The effect of buyer pressure on suppliers in SMEs to demonstrate CSR practices: an added incentive or </w:t>
      </w:r>
      <w:proofErr w:type="spellStart"/>
      <w:r w:rsidRPr="003C0CD4">
        <w:rPr>
          <w:highlight w:val="white"/>
          <w:lang w:val="en-US"/>
        </w:rPr>
        <w:t xml:space="preserve">counter </w:t>
      </w:r>
      <w:proofErr w:type="gramStart"/>
      <w:r w:rsidRPr="003C0CD4">
        <w:rPr>
          <w:highlight w:val="white"/>
          <w:lang w:val="en-US"/>
        </w:rPr>
        <w:t>productive</w:t>
      </w:r>
      <w:proofErr w:type="spellEnd"/>
      <w:r w:rsidRPr="003C0CD4">
        <w:rPr>
          <w:highlight w:val="white"/>
          <w:lang w:val="en-US"/>
        </w:rPr>
        <w:t>?.</w:t>
      </w:r>
      <w:proofErr w:type="gramEnd"/>
      <w:r w:rsidRPr="003C0CD4">
        <w:rPr>
          <w:highlight w:val="white"/>
          <w:lang w:val="en-US"/>
        </w:rPr>
        <w:t xml:space="preserve"> </w:t>
      </w:r>
      <w:r>
        <w:rPr>
          <w:i/>
          <w:highlight w:val="white"/>
        </w:rPr>
        <w:t xml:space="preserve">European Management </w:t>
      </w:r>
      <w:proofErr w:type="spellStart"/>
      <w:r>
        <w:rPr>
          <w:i/>
          <w:highlight w:val="white"/>
        </w:rPr>
        <w:t>Journal</w:t>
      </w:r>
      <w:proofErr w:type="spellEnd"/>
      <w:r>
        <w:rPr>
          <w:i/>
          <w:highlight w:val="white"/>
        </w:rPr>
        <w:t>, 27</w:t>
      </w:r>
      <w:r>
        <w:rPr>
          <w:highlight w:val="white"/>
        </w:rPr>
        <w:t xml:space="preserve">(6), 429-441. </w:t>
      </w:r>
      <w:proofErr w:type="spellStart"/>
      <w:r>
        <w:rPr>
          <w:highlight w:val="white"/>
        </w:rPr>
        <w:t>Doi</w:t>
      </w:r>
      <w:proofErr w:type="spellEnd"/>
      <w:r>
        <w:rPr>
          <w:highlight w:val="white"/>
        </w:rPr>
        <w:t>: 10.1016/j.emj.2008.10.004</w:t>
      </w:r>
    </w:p>
    <w:p w14:paraId="6524D2D6" w14:textId="77777777" w:rsidR="009E260D" w:rsidRDefault="009E260D" w:rsidP="00650284">
      <w:pPr>
        <w:shd w:val="clear" w:color="auto" w:fill="FFFFFF"/>
        <w:spacing w:after="240"/>
        <w:ind w:firstLine="0"/>
        <w:rPr>
          <w:highlight w:val="white"/>
        </w:rPr>
      </w:pPr>
      <w:r>
        <w:rPr>
          <w:highlight w:val="white"/>
        </w:rPr>
        <w:t xml:space="preserve">Bardin, L. (1995). </w:t>
      </w:r>
      <w:r>
        <w:rPr>
          <w:i/>
          <w:highlight w:val="white"/>
        </w:rPr>
        <w:t>Análise de Conteúdo</w:t>
      </w:r>
      <w:r>
        <w:rPr>
          <w:highlight w:val="white"/>
        </w:rPr>
        <w:t>. Lisboa: Persona.</w:t>
      </w:r>
    </w:p>
    <w:p w14:paraId="50B9598C" w14:textId="77777777" w:rsidR="009E260D" w:rsidRPr="003C0CD4" w:rsidRDefault="009E260D" w:rsidP="00650284">
      <w:pPr>
        <w:shd w:val="clear" w:color="auto" w:fill="FFFFFF"/>
        <w:spacing w:after="240"/>
        <w:ind w:left="567" w:hanging="567"/>
        <w:rPr>
          <w:highlight w:val="white"/>
          <w:lang w:val="en-US"/>
        </w:rPr>
      </w:pPr>
      <w:r w:rsidRPr="003C0CD4">
        <w:rPr>
          <w:highlight w:val="white"/>
          <w:lang w:val="en-US"/>
        </w:rPr>
        <w:t xml:space="preserve">Bai, C., </w:t>
      </w:r>
      <w:proofErr w:type="spellStart"/>
      <w:r w:rsidRPr="003C0CD4">
        <w:rPr>
          <w:highlight w:val="white"/>
          <w:lang w:val="en-US"/>
        </w:rPr>
        <w:t>Kusi</w:t>
      </w:r>
      <w:proofErr w:type="spellEnd"/>
      <w:r w:rsidRPr="003C0CD4">
        <w:rPr>
          <w:highlight w:val="white"/>
          <w:lang w:val="en-US"/>
        </w:rPr>
        <w:t xml:space="preserve">-Sarpong, S., Badri Ahmadi, H., &amp; Sarkis, J. (2019). Social sustainable supplier evaluation and selection: a group decision-support approach. </w:t>
      </w:r>
      <w:r w:rsidRPr="003C0CD4">
        <w:rPr>
          <w:i/>
          <w:highlight w:val="white"/>
          <w:lang w:val="en-US"/>
        </w:rPr>
        <w:t>International Journal of Production Research, 57</w:t>
      </w:r>
      <w:r w:rsidRPr="003C0CD4">
        <w:rPr>
          <w:highlight w:val="white"/>
          <w:lang w:val="en-US"/>
        </w:rPr>
        <w:t xml:space="preserve">(22), 7046-7067. Doi:10.1080/00207543.2019.1574042 </w:t>
      </w:r>
    </w:p>
    <w:p w14:paraId="71AD28B9" w14:textId="77777777" w:rsidR="009E260D" w:rsidRPr="003C0CD4" w:rsidRDefault="009E260D" w:rsidP="00650284">
      <w:pPr>
        <w:spacing w:after="240"/>
        <w:ind w:left="560" w:hanging="560"/>
        <w:rPr>
          <w:highlight w:val="white"/>
          <w:lang w:val="en-US"/>
        </w:rPr>
      </w:pPr>
      <w:r w:rsidRPr="003C0CD4">
        <w:rPr>
          <w:highlight w:val="white"/>
          <w:lang w:val="en-US"/>
        </w:rPr>
        <w:t xml:space="preserve">Bowen, H. (1953). </w:t>
      </w:r>
      <w:r w:rsidRPr="003C0CD4">
        <w:rPr>
          <w:i/>
          <w:highlight w:val="white"/>
          <w:lang w:val="en-US"/>
        </w:rPr>
        <w:t xml:space="preserve">Social responsibilities of the businessman </w:t>
      </w:r>
      <w:r w:rsidRPr="003C0CD4">
        <w:rPr>
          <w:highlight w:val="white"/>
          <w:lang w:val="en-US"/>
        </w:rPr>
        <w:t>(1st ed.). New York: Harper.</w:t>
      </w:r>
    </w:p>
    <w:p w14:paraId="054730E3" w14:textId="77777777" w:rsidR="00777554" w:rsidRDefault="009E260D" w:rsidP="00650284">
      <w:pPr>
        <w:spacing w:after="240"/>
        <w:ind w:left="560" w:hanging="560"/>
        <w:rPr>
          <w:highlight w:val="white"/>
          <w:lang w:val="en-US"/>
        </w:rPr>
      </w:pPr>
      <w:r w:rsidRPr="003C0CD4">
        <w:rPr>
          <w:highlight w:val="white"/>
          <w:lang w:val="en-US"/>
        </w:rPr>
        <w:t xml:space="preserve">Branco, M. C., &amp; Rodrigues, L. L. (2006). Corporate social responsibility and resource-based perspectives. </w:t>
      </w:r>
      <w:r w:rsidRPr="003C0CD4">
        <w:rPr>
          <w:i/>
          <w:highlight w:val="white"/>
          <w:lang w:val="en-US"/>
        </w:rPr>
        <w:t>Journal of business Ethics</w:t>
      </w:r>
      <w:r w:rsidRPr="003C0CD4">
        <w:rPr>
          <w:highlight w:val="white"/>
          <w:lang w:val="en-US"/>
        </w:rPr>
        <w:t xml:space="preserve">, </w:t>
      </w:r>
      <w:r w:rsidRPr="003C0CD4">
        <w:rPr>
          <w:i/>
          <w:highlight w:val="white"/>
          <w:lang w:val="en-US"/>
        </w:rPr>
        <w:t>69</w:t>
      </w:r>
      <w:r w:rsidRPr="003C0CD4">
        <w:rPr>
          <w:highlight w:val="white"/>
          <w:lang w:val="en-US"/>
        </w:rPr>
        <w:t>(2), 111-132. Doi: 10.1007/s10551-006-9071-z</w:t>
      </w:r>
    </w:p>
    <w:p w14:paraId="354C85BF" w14:textId="77777777" w:rsidR="00777554" w:rsidRPr="00777554" w:rsidRDefault="009E260D" w:rsidP="00650284">
      <w:pPr>
        <w:spacing w:after="240"/>
        <w:ind w:left="560" w:hanging="560"/>
        <w:rPr>
          <w:highlight w:val="white"/>
        </w:rPr>
      </w:pPr>
      <w:proofErr w:type="spellStart"/>
      <w:r w:rsidRPr="003C0CD4">
        <w:rPr>
          <w:highlight w:val="white"/>
          <w:lang w:val="en-US"/>
        </w:rPr>
        <w:t>Brasil</w:t>
      </w:r>
      <w:proofErr w:type="spellEnd"/>
      <w:r w:rsidRPr="003C0CD4">
        <w:rPr>
          <w:highlight w:val="white"/>
          <w:lang w:val="en-US"/>
        </w:rPr>
        <w:t xml:space="preserve">, Bolsa, </w:t>
      </w:r>
      <w:proofErr w:type="spellStart"/>
      <w:r w:rsidRPr="003C0CD4">
        <w:rPr>
          <w:highlight w:val="white"/>
          <w:lang w:val="en-US"/>
        </w:rPr>
        <w:t>Balcão</w:t>
      </w:r>
      <w:proofErr w:type="spellEnd"/>
      <w:r w:rsidRPr="003C0CD4">
        <w:rPr>
          <w:highlight w:val="white"/>
          <w:lang w:val="en-US"/>
        </w:rPr>
        <w:t xml:space="preserve">. </w:t>
      </w:r>
      <w:r>
        <w:rPr>
          <w:highlight w:val="white"/>
        </w:rPr>
        <w:t xml:space="preserve">(2019). Relate ou explique. Recuperado de http://www.b3.com.br/pt_ </w:t>
      </w:r>
      <w:proofErr w:type="spellStart"/>
      <w:r>
        <w:rPr>
          <w:highlight w:val="white"/>
        </w:rPr>
        <w:t>br</w:t>
      </w:r>
      <w:proofErr w:type="spellEnd"/>
      <w:r>
        <w:rPr>
          <w:highlight w:val="white"/>
        </w:rPr>
        <w:t>/b3/sustentabilidade/nas-empresas/</w:t>
      </w:r>
    </w:p>
    <w:p w14:paraId="0A75D8EF" w14:textId="77777777" w:rsidR="009E260D" w:rsidRPr="003C0CD4" w:rsidRDefault="009E260D" w:rsidP="00650284">
      <w:pPr>
        <w:spacing w:after="240"/>
        <w:ind w:left="560" w:hanging="560"/>
        <w:rPr>
          <w:highlight w:val="white"/>
          <w:lang w:val="en-US"/>
        </w:rPr>
      </w:pPr>
      <w:r>
        <w:rPr>
          <w:highlight w:val="white"/>
        </w:rPr>
        <w:t xml:space="preserve">Camargo, B. V., &amp; Justo, A. M. (2013). IRAMUTEQ: um software gratuito para análise de dados textuais. </w:t>
      </w:r>
      <w:proofErr w:type="spellStart"/>
      <w:r w:rsidRPr="003C0CD4">
        <w:rPr>
          <w:i/>
          <w:highlight w:val="white"/>
          <w:lang w:val="en-US"/>
        </w:rPr>
        <w:t>Temas</w:t>
      </w:r>
      <w:proofErr w:type="spellEnd"/>
      <w:r w:rsidRPr="003C0CD4">
        <w:rPr>
          <w:i/>
          <w:highlight w:val="white"/>
          <w:lang w:val="en-US"/>
        </w:rPr>
        <w:t xml:space="preserve"> </w:t>
      </w:r>
      <w:proofErr w:type="spellStart"/>
      <w:r w:rsidRPr="003C0CD4">
        <w:rPr>
          <w:i/>
          <w:highlight w:val="white"/>
          <w:lang w:val="en-US"/>
        </w:rPr>
        <w:t>em</w:t>
      </w:r>
      <w:proofErr w:type="spellEnd"/>
      <w:r w:rsidRPr="003C0CD4">
        <w:rPr>
          <w:i/>
          <w:highlight w:val="white"/>
          <w:lang w:val="en-US"/>
        </w:rPr>
        <w:t xml:space="preserve"> </w:t>
      </w:r>
      <w:proofErr w:type="spellStart"/>
      <w:r w:rsidRPr="003C0CD4">
        <w:rPr>
          <w:i/>
          <w:highlight w:val="white"/>
          <w:lang w:val="en-US"/>
        </w:rPr>
        <w:t>psicologia</w:t>
      </w:r>
      <w:proofErr w:type="spellEnd"/>
      <w:r w:rsidRPr="003C0CD4">
        <w:rPr>
          <w:highlight w:val="white"/>
          <w:lang w:val="en-US"/>
        </w:rPr>
        <w:t xml:space="preserve">, </w:t>
      </w:r>
      <w:r w:rsidRPr="003C0CD4">
        <w:rPr>
          <w:i/>
          <w:highlight w:val="white"/>
          <w:lang w:val="en-US"/>
        </w:rPr>
        <w:t>21</w:t>
      </w:r>
      <w:r w:rsidRPr="003C0CD4">
        <w:rPr>
          <w:highlight w:val="white"/>
          <w:lang w:val="en-US"/>
        </w:rPr>
        <w:t>(2), 513-518. Doi: 10.9788/TP2013.2-16</w:t>
      </w:r>
    </w:p>
    <w:p w14:paraId="660FEE36" w14:textId="77777777" w:rsidR="009E260D" w:rsidRPr="003C0CD4" w:rsidRDefault="009E260D" w:rsidP="00650284">
      <w:pPr>
        <w:spacing w:after="240"/>
        <w:ind w:left="560" w:hanging="560"/>
        <w:rPr>
          <w:highlight w:val="white"/>
          <w:lang w:val="en-US"/>
        </w:rPr>
      </w:pPr>
      <w:r w:rsidRPr="003C0CD4">
        <w:rPr>
          <w:highlight w:val="white"/>
          <w:lang w:val="en-US"/>
        </w:rPr>
        <w:t xml:space="preserve">Campbell, J. L. (2018). 2017 Decade award invited article reflections on the </w:t>
      </w:r>
      <w:proofErr w:type="gramStart"/>
      <w:r w:rsidRPr="003C0CD4">
        <w:rPr>
          <w:highlight w:val="white"/>
          <w:lang w:val="en-US"/>
        </w:rPr>
        <w:t>2017 decade</w:t>
      </w:r>
      <w:proofErr w:type="gramEnd"/>
      <w:r w:rsidRPr="003C0CD4">
        <w:rPr>
          <w:highlight w:val="white"/>
          <w:lang w:val="en-US"/>
        </w:rPr>
        <w:t xml:space="preserve"> award: Corporate social responsibility and the financial crisis. </w:t>
      </w:r>
      <w:r w:rsidRPr="003C0CD4">
        <w:rPr>
          <w:i/>
          <w:highlight w:val="white"/>
          <w:lang w:val="en-US"/>
        </w:rPr>
        <w:t>Academy of Management Review</w:t>
      </w:r>
      <w:r w:rsidRPr="003C0CD4">
        <w:rPr>
          <w:highlight w:val="white"/>
          <w:lang w:val="en-US"/>
        </w:rPr>
        <w:t xml:space="preserve">, </w:t>
      </w:r>
      <w:r w:rsidRPr="003C0CD4">
        <w:rPr>
          <w:i/>
          <w:highlight w:val="white"/>
          <w:lang w:val="en-US"/>
        </w:rPr>
        <w:t>43</w:t>
      </w:r>
      <w:r w:rsidRPr="003C0CD4">
        <w:rPr>
          <w:highlight w:val="white"/>
          <w:lang w:val="en-US"/>
        </w:rPr>
        <w:t xml:space="preserve">(4), 546-556. Doi: 10.5465/amr.2018.0057. </w:t>
      </w:r>
    </w:p>
    <w:p w14:paraId="0C327FF6" w14:textId="77777777" w:rsidR="009E260D" w:rsidRPr="003C0CD4" w:rsidRDefault="009E260D" w:rsidP="00650284">
      <w:pPr>
        <w:spacing w:after="240"/>
        <w:ind w:left="560" w:hanging="560"/>
        <w:rPr>
          <w:highlight w:val="white"/>
          <w:lang w:val="en-US"/>
        </w:rPr>
      </w:pPr>
      <w:r w:rsidRPr="003C0CD4">
        <w:rPr>
          <w:highlight w:val="white"/>
          <w:lang w:val="en-US"/>
        </w:rPr>
        <w:t xml:space="preserve">Carroll, A. B. (1979). “A three-dimensional conceptual model of social performance”. </w:t>
      </w:r>
      <w:r w:rsidRPr="003C0CD4">
        <w:rPr>
          <w:i/>
          <w:highlight w:val="white"/>
          <w:lang w:val="en-US"/>
        </w:rPr>
        <w:t>The Academy of Management Review</w:t>
      </w:r>
      <w:r w:rsidRPr="003C0CD4">
        <w:rPr>
          <w:highlight w:val="white"/>
          <w:lang w:val="en-US"/>
        </w:rPr>
        <w:t>, 4.</w:t>
      </w:r>
    </w:p>
    <w:p w14:paraId="0863BAE4" w14:textId="77777777" w:rsidR="009E260D" w:rsidRPr="003C0CD4" w:rsidRDefault="009E260D" w:rsidP="00650284">
      <w:pPr>
        <w:spacing w:after="240"/>
        <w:ind w:left="560" w:hanging="560"/>
        <w:rPr>
          <w:highlight w:val="white"/>
          <w:lang w:val="en-US"/>
        </w:rPr>
      </w:pPr>
      <w:r w:rsidRPr="003C0CD4">
        <w:rPr>
          <w:highlight w:val="white"/>
          <w:lang w:val="en-US"/>
        </w:rPr>
        <w:t xml:space="preserve">Chen, Y., &amp; Chen, I. J. (2019). Mediated power and sustainable supplier management (SSM). </w:t>
      </w:r>
      <w:r w:rsidRPr="003C0CD4">
        <w:rPr>
          <w:i/>
          <w:highlight w:val="white"/>
          <w:lang w:val="en-US"/>
        </w:rPr>
        <w:t>International Journal of Physical Distribution &amp; Logistics Management, 49</w:t>
      </w:r>
      <w:r w:rsidRPr="003C0CD4">
        <w:rPr>
          <w:highlight w:val="white"/>
          <w:lang w:val="en-US"/>
        </w:rPr>
        <w:t>(8), 861-878. Doi: 10.1108/IJPDLM-12-2018-0393</w:t>
      </w:r>
    </w:p>
    <w:p w14:paraId="75056AFB" w14:textId="77777777" w:rsidR="009E260D" w:rsidRDefault="009E260D" w:rsidP="00650284">
      <w:pPr>
        <w:spacing w:after="240"/>
        <w:ind w:left="560" w:hanging="560"/>
        <w:rPr>
          <w:highlight w:val="white"/>
        </w:rPr>
      </w:pPr>
      <w:proofErr w:type="spellStart"/>
      <w:r w:rsidRPr="003C0CD4">
        <w:rPr>
          <w:highlight w:val="white"/>
          <w:lang w:val="en-US"/>
        </w:rPr>
        <w:t>Conceição</w:t>
      </w:r>
      <w:proofErr w:type="spellEnd"/>
      <w:r w:rsidRPr="003C0CD4">
        <w:rPr>
          <w:highlight w:val="white"/>
          <w:lang w:val="en-US"/>
        </w:rPr>
        <w:t xml:space="preserve">, S. H. D., </w:t>
      </w:r>
      <w:proofErr w:type="spellStart"/>
      <w:r w:rsidRPr="003C0CD4">
        <w:rPr>
          <w:highlight w:val="white"/>
          <w:lang w:val="en-US"/>
        </w:rPr>
        <w:t>Dourado</w:t>
      </w:r>
      <w:proofErr w:type="spellEnd"/>
      <w:r w:rsidRPr="003C0CD4">
        <w:rPr>
          <w:highlight w:val="white"/>
          <w:lang w:val="en-US"/>
        </w:rPr>
        <w:t xml:space="preserve">, G. B., </w:t>
      </w:r>
      <w:proofErr w:type="spellStart"/>
      <w:r w:rsidRPr="003C0CD4">
        <w:rPr>
          <w:highlight w:val="white"/>
          <w:lang w:val="en-US"/>
        </w:rPr>
        <w:t>Baqueiro</w:t>
      </w:r>
      <w:proofErr w:type="spellEnd"/>
      <w:r w:rsidRPr="003C0CD4">
        <w:rPr>
          <w:highlight w:val="white"/>
          <w:lang w:val="en-US"/>
        </w:rPr>
        <w:t xml:space="preserve">, A. G., Freire, S., &amp; Brito, P. D. C. (2011). </w:t>
      </w:r>
      <w:r>
        <w:rPr>
          <w:highlight w:val="white"/>
        </w:rPr>
        <w:t xml:space="preserve">Fatores determinantes no </w:t>
      </w:r>
      <w:proofErr w:type="spellStart"/>
      <w:r>
        <w:rPr>
          <w:highlight w:val="white"/>
        </w:rPr>
        <w:t>disclosure</w:t>
      </w:r>
      <w:proofErr w:type="spellEnd"/>
      <w:r>
        <w:rPr>
          <w:highlight w:val="white"/>
        </w:rPr>
        <w:t xml:space="preserve"> em Responsabilidade Social Corporativa (RSC): um estudo qualitativo e quantitativo com empresas listadas na Bovespa. </w:t>
      </w:r>
      <w:r>
        <w:rPr>
          <w:i/>
          <w:highlight w:val="white"/>
        </w:rPr>
        <w:t>Gestão &amp; Produção</w:t>
      </w:r>
      <w:r>
        <w:rPr>
          <w:highlight w:val="white"/>
        </w:rPr>
        <w:t xml:space="preserve">, </w:t>
      </w:r>
      <w:r>
        <w:rPr>
          <w:i/>
          <w:highlight w:val="white"/>
        </w:rPr>
        <w:t>18</w:t>
      </w:r>
      <w:r>
        <w:rPr>
          <w:highlight w:val="white"/>
        </w:rPr>
        <w:t xml:space="preserve">(3), 461-472. </w:t>
      </w:r>
      <w:proofErr w:type="spellStart"/>
      <w:r>
        <w:rPr>
          <w:highlight w:val="white"/>
        </w:rPr>
        <w:t>Doi</w:t>
      </w:r>
      <w:proofErr w:type="spellEnd"/>
      <w:r>
        <w:rPr>
          <w:highlight w:val="white"/>
        </w:rPr>
        <w:t xml:space="preserve">: 10.1590/S0104-530X2011000300002. </w:t>
      </w:r>
    </w:p>
    <w:p w14:paraId="6BE61B30" w14:textId="77777777" w:rsidR="009E260D" w:rsidRDefault="009E260D" w:rsidP="00650284">
      <w:pPr>
        <w:spacing w:after="240"/>
        <w:ind w:left="560" w:hanging="560"/>
        <w:rPr>
          <w:highlight w:val="white"/>
        </w:rPr>
      </w:pPr>
      <w:r>
        <w:rPr>
          <w:highlight w:val="white"/>
        </w:rPr>
        <w:t xml:space="preserve">Correia, J. J. A., Silva, F. E. A. D., Rodrigues, R. N. (2017). Evidenciação socioambiental de </w:t>
      </w:r>
      <w:r>
        <w:rPr>
          <w:highlight w:val="white"/>
        </w:rPr>
        <w:lastRenderedPageBreak/>
        <w:t xml:space="preserve">empresas siderúrgicas brasileiras entre 2011 e 2015: análise dos relatórios financeiros e de sustentabilidade. </w:t>
      </w:r>
      <w:r>
        <w:rPr>
          <w:i/>
          <w:highlight w:val="white"/>
        </w:rPr>
        <w:t>Revista Brasileira de Gestão Ambiental e Sustentabilidade</w:t>
      </w:r>
      <w:r>
        <w:rPr>
          <w:highlight w:val="white"/>
        </w:rPr>
        <w:t xml:space="preserve">, </w:t>
      </w:r>
      <w:r>
        <w:rPr>
          <w:i/>
          <w:highlight w:val="white"/>
        </w:rPr>
        <w:t>4</w:t>
      </w:r>
      <w:r>
        <w:rPr>
          <w:highlight w:val="white"/>
        </w:rPr>
        <w:t xml:space="preserve">(8), 327-341. </w:t>
      </w:r>
      <w:proofErr w:type="spellStart"/>
      <w:r>
        <w:rPr>
          <w:highlight w:val="white"/>
        </w:rPr>
        <w:t>Doi</w:t>
      </w:r>
      <w:proofErr w:type="spellEnd"/>
      <w:r>
        <w:rPr>
          <w:highlight w:val="white"/>
        </w:rPr>
        <w:t xml:space="preserve">: 10.21438/rbgas.040808.  </w:t>
      </w:r>
    </w:p>
    <w:p w14:paraId="75ADF1F3" w14:textId="77777777" w:rsidR="009E260D" w:rsidRDefault="009E260D" w:rsidP="00650284">
      <w:pPr>
        <w:spacing w:after="240"/>
        <w:ind w:left="560" w:hanging="560"/>
        <w:rPr>
          <w:highlight w:val="white"/>
        </w:rPr>
      </w:pPr>
      <w:r>
        <w:rPr>
          <w:color w:val="222222"/>
          <w:highlight w:val="white"/>
        </w:rPr>
        <w:t xml:space="preserve">Fagundes, M. (2020). Trabalho Escravo e Pandemia: os desafios da Inspeção do Trabalho na promoção do trabalho digno. </w:t>
      </w:r>
      <w:proofErr w:type="spellStart"/>
      <w:r>
        <w:rPr>
          <w:i/>
          <w:color w:val="222222"/>
          <w:highlight w:val="white"/>
        </w:rPr>
        <w:t>Laborare</w:t>
      </w:r>
      <w:proofErr w:type="spellEnd"/>
      <w:r>
        <w:rPr>
          <w:color w:val="222222"/>
          <w:highlight w:val="white"/>
        </w:rPr>
        <w:t xml:space="preserve">, </w:t>
      </w:r>
      <w:r>
        <w:rPr>
          <w:i/>
          <w:color w:val="222222"/>
          <w:highlight w:val="white"/>
        </w:rPr>
        <w:t>3</w:t>
      </w:r>
      <w:r>
        <w:rPr>
          <w:color w:val="222222"/>
          <w:highlight w:val="white"/>
        </w:rPr>
        <w:t xml:space="preserve">(5), 87-105. </w:t>
      </w:r>
      <w:proofErr w:type="spellStart"/>
      <w:r>
        <w:rPr>
          <w:color w:val="222222"/>
          <w:highlight w:val="white"/>
        </w:rPr>
        <w:t>Doi</w:t>
      </w:r>
      <w:proofErr w:type="spellEnd"/>
      <w:r>
        <w:rPr>
          <w:color w:val="222222"/>
          <w:highlight w:val="white"/>
        </w:rPr>
        <w:t xml:space="preserve">: 10.33637/2595-847x.2020-58. </w:t>
      </w:r>
    </w:p>
    <w:p w14:paraId="2D27FEAD" w14:textId="77777777" w:rsidR="009E260D" w:rsidRPr="003C0CD4" w:rsidRDefault="009E260D" w:rsidP="00650284">
      <w:pPr>
        <w:spacing w:after="240"/>
        <w:ind w:left="560" w:hanging="560"/>
        <w:rPr>
          <w:lang w:val="en-US"/>
        </w:rPr>
      </w:pPr>
      <w:proofErr w:type="spellStart"/>
      <w:r>
        <w:t>Fiório</w:t>
      </w:r>
      <w:proofErr w:type="spellEnd"/>
      <w:r>
        <w:t xml:space="preserve">, S., Nossa, S., da Costa, R., Pereira, A., &amp; Nossa, V. (2008). A Responsabilidade Social Corporativa nos Informes Empresariais do Setor de Telecomunicações: uma análise exploratória e documental. </w:t>
      </w:r>
      <w:proofErr w:type="spellStart"/>
      <w:r w:rsidRPr="003C0CD4">
        <w:rPr>
          <w:i/>
          <w:lang w:val="en-US"/>
        </w:rPr>
        <w:t>Revista</w:t>
      </w:r>
      <w:proofErr w:type="spellEnd"/>
      <w:r w:rsidRPr="003C0CD4">
        <w:rPr>
          <w:i/>
          <w:lang w:val="en-US"/>
        </w:rPr>
        <w:t xml:space="preserve"> </w:t>
      </w:r>
      <w:proofErr w:type="spellStart"/>
      <w:r w:rsidRPr="003C0CD4">
        <w:rPr>
          <w:i/>
          <w:lang w:val="en-US"/>
        </w:rPr>
        <w:t>UnB</w:t>
      </w:r>
      <w:proofErr w:type="spellEnd"/>
      <w:r w:rsidRPr="003C0CD4">
        <w:rPr>
          <w:i/>
          <w:lang w:val="en-US"/>
        </w:rPr>
        <w:t xml:space="preserve"> </w:t>
      </w:r>
      <w:proofErr w:type="spellStart"/>
      <w:r w:rsidRPr="003C0CD4">
        <w:rPr>
          <w:i/>
          <w:lang w:val="en-US"/>
        </w:rPr>
        <w:t>Contábil</w:t>
      </w:r>
      <w:proofErr w:type="spellEnd"/>
      <w:r w:rsidRPr="003C0CD4">
        <w:rPr>
          <w:i/>
          <w:lang w:val="en-US"/>
        </w:rPr>
        <w:t>, 11</w:t>
      </w:r>
      <w:r w:rsidRPr="003C0CD4">
        <w:rPr>
          <w:lang w:val="en-US"/>
        </w:rPr>
        <w:t>(1-2), 279-295.</w:t>
      </w:r>
    </w:p>
    <w:p w14:paraId="7261EF03" w14:textId="77777777" w:rsidR="009E260D" w:rsidRPr="003C0CD4" w:rsidRDefault="009E260D" w:rsidP="00650284">
      <w:pPr>
        <w:spacing w:after="240"/>
        <w:ind w:left="560" w:hanging="560"/>
        <w:rPr>
          <w:highlight w:val="white"/>
          <w:lang w:val="en-US"/>
        </w:rPr>
      </w:pPr>
      <w:proofErr w:type="spellStart"/>
      <w:r w:rsidRPr="003C0CD4">
        <w:rPr>
          <w:highlight w:val="white"/>
          <w:lang w:val="en-US"/>
        </w:rPr>
        <w:t>Gazzola</w:t>
      </w:r>
      <w:proofErr w:type="spellEnd"/>
      <w:r w:rsidRPr="003C0CD4">
        <w:rPr>
          <w:highlight w:val="white"/>
          <w:lang w:val="en-US"/>
        </w:rPr>
        <w:t xml:space="preserve">, P., &amp; </w:t>
      </w:r>
      <w:proofErr w:type="spellStart"/>
      <w:r w:rsidRPr="003C0CD4">
        <w:rPr>
          <w:highlight w:val="white"/>
          <w:lang w:val="en-US"/>
        </w:rPr>
        <w:t>Pellicelli</w:t>
      </w:r>
      <w:proofErr w:type="spellEnd"/>
      <w:r w:rsidRPr="003C0CD4">
        <w:rPr>
          <w:highlight w:val="white"/>
          <w:lang w:val="en-US"/>
        </w:rPr>
        <w:t xml:space="preserve">, M. (2009). Sustainable Management and Total Quality Management in Public Organizations with Outsourcing. </w:t>
      </w:r>
      <w:r w:rsidRPr="003C0CD4">
        <w:rPr>
          <w:i/>
          <w:highlight w:val="white"/>
          <w:lang w:val="en-US"/>
        </w:rPr>
        <w:t xml:space="preserve">Economics and Quantitative Methods (Varese: Department of Economics, University of </w:t>
      </w:r>
      <w:proofErr w:type="spellStart"/>
      <w:r w:rsidRPr="003C0CD4">
        <w:rPr>
          <w:i/>
          <w:highlight w:val="white"/>
          <w:lang w:val="en-US"/>
        </w:rPr>
        <w:t>Insubria</w:t>
      </w:r>
      <w:proofErr w:type="spellEnd"/>
      <w:r w:rsidRPr="003C0CD4">
        <w:rPr>
          <w:i/>
          <w:highlight w:val="white"/>
          <w:lang w:val="en-US"/>
        </w:rPr>
        <w:t>)</w:t>
      </w:r>
      <w:r w:rsidRPr="003C0CD4">
        <w:rPr>
          <w:highlight w:val="white"/>
          <w:lang w:val="en-US"/>
        </w:rPr>
        <w:t xml:space="preserve">. </w:t>
      </w:r>
    </w:p>
    <w:p w14:paraId="321B40D3" w14:textId="77777777" w:rsidR="009E260D" w:rsidRDefault="009E260D" w:rsidP="00650284">
      <w:pPr>
        <w:spacing w:after="240"/>
        <w:ind w:left="560" w:hanging="560"/>
        <w:rPr>
          <w:highlight w:val="white"/>
        </w:rPr>
      </w:pPr>
      <w:r w:rsidRPr="003C0CD4">
        <w:rPr>
          <w:highlight w:val="white"/>
          <w:lang w:val="en-US"/>
        </w:rPr>
        <w:t xml:space="preserve">GRI. (2016a). </w:t>
      </w:r>
      <w:r w:rsidRPr="003C0CD4">
        <w:rPr>
          <w:i/>
          <w:highlight w:val="white"/>
          <w:lang w:val="en-US"/>
        </w:rPr>
        <w:t>GRI 308: Supplier Environmental Assessment</w:t>
      </w:r>
      <w:r w:rsidRPr="003C0CD4">
        <w:rPr>
          <w:highlight w:val="white"/>
          <w:lang w:val="en-US"/>
        </w:rPr>
        <w:t xml:space="preserve">. </w:t>
      </w:r>
      <w:r>
        <w:rPr>
          <w:highlight w:val="white"/>
        </w:rPr>
        <w:t>Disponível em: https://www.globalreporting.org/standards/media/1015/gri-308-supplier-environmental-assessment-2016.pdf</w:t>
      </w:r>
    </w:p>
    <w:p w14:paraId="5A92A682" w14:textId="77777777" w:rsidR="009E260D" w:rsidRDefault="009E260D" w:rsidP="00650284">
      <w:pPr>
        <w:spacing w:after="240"/>
        <w:ind w:left="560" w:hanging="560"/>
        <w:rPr>
          <w:highlight w:val="white"/>
        </w:rPr>
      </w:pPr>
      <w:r w:rsidRPr="003C0CD4">
        <w:rPr>
          <w:highlight w:val="white"/>
          <w:lang w:val="en-US"/>
        </w:rPr>
        <w:t xml:space="preserve">GRI. (2016b). </w:t>
      </w:r>
      <w:r w:rsidRPr="003C0CD4">
        <w:rPr>
          <w:i/>
          <w:highlight w:val="white"/>
          <w:lang w:val="en-US"/>
        </w:rPr>
        <w:t xml:space="preserve">GRI 414: Supplier Social Assessment. </w:t>
      </w:r>
      <w:r>
        <w:rPr>
          <w:highlight w:val="white"/>
        </w:rPr>
        <w:t>Disponível em: https://www.globalreporting.org/standards/media/1029/gri-414-supplier-social-assessment-2016.pdf</w:t>
      </w:r>
    </w:p>
    <w:p w14:paraId="470AAA7C" w14:textId="77777777" w:rsidR="009E260D" w:rsidRDefault="009E260D" w:rsidP="00650284">
      <w:pPr>
        <w:spacing w:after="240"/>
        <w:ind w:left="560" w:hanging="560"/>
        <w:rPr>
          <w:highlight w:val="white"/>
        </w:rPr>
      </w:pPr>
      <w:r>
        <w:rPr>
          <w:highlight w:val="white"/>
        </w:rPr>
        <w:t xml:space="preserve">GRI. (2021a). </w:t>
      </w:r>
      <w:proofErr w:type="spellStart"/>
      <w:r>
        <w:rPr>
          <w:i/>
          <w:highlight w:val="white"/>
        </w:rPr>
        <w:t>Bem vindo</w:t>
      </w:r>
      <w:proofErr w:type="spellEnd"/>
      <w:r>
        <w:rPr>
          <w:i/>
          <w:highlight w:val="white"/>
        </w:rPr>
        <w:t xml:space="preserve"> a GRI</w:t>
      </w:r>
      <w:r>
        <w:rPr>
          <w:highlight w:val="white"/>
        </w:rPr>
        <w:t>. Disponível em: https://www.globalreporting.org/</w:t>
      </w:r>
    </w:p>
    <w:p w14:paraId="7F3B280A" w14:textId="77777777" w:rsidR="009E260D" w:rsidRDefault="009E260D" w:rsidP="00650284">
      <w:pPr>
        <w:spacing w:after="240"/>
        <w:ind w:left="560" w:hanging="560"/>
        <w:rPr>
          <w:highlight w:val="white"/>
        </w:rPr>
      </w:pPr>
      <w:r>
        <w:rPr>
          <w:highlight w:val="white"/>
        </w:rPr>
        <w:t xml:space="preserve">GRI. (2021b). </w:t>
      </w:r>
      <w:r>
        <w:rPr>
          <w:i/>
          <w:highlight w:val="white"/>
        </w:rPr>
        <w:t xml:space="preserve">Tradução para o português. </w:t>
      </w:r>
      <w:r>
        <w:rPr>
          <w:highlight w:val="white"/>
        </w:rPr>
        <w:t>Disponível em: https://www.globalreporting.org/how-to-use-the-gri-standards/gri-standards-portuguese-translations/</w:t>
      </w:r>
    </w:p>
    <w:p w14:paraId="1B7C1566" w14:textId="77777777" w:rsidR="009E260D" w:rsidRPr="003C0CD4" w:rsidRDefault="009E260D" w:rsidP="00650284">
      <w:pPr>
        <w:spacing w:after="240"/>
        <w:ind w:left="560" w:hanging="560"/>
        <w:rPr>
          <w:highlight w:val="white"/>
          <w:lang w:val="en-US"/>
        </w:rPr>
      </w:pPr>
      <w:proofErr w:type="spellStart"/>
      <w:r w:rsidRPr="003C0CD4">
        <w:rPr>
          <w:highlight w:val="white"/>
          <w:lang w:val="en-US"/>
        </w:rPr>
        <w:t>Grougiou</w:t>
      </w:r>
      <w:proofErr w:type="spellEnd"/>
      <w:r w:rsidRPr="003C0CD4">
        <w:rPr>
          <w:highlight w:val="white"/>
          <w:lang w:val="en-US"/>
        </w:rPr>
        <w:t xml:space="preserve">, V., </w:t>
      </w:r>
      <w:proofErr w:type="spellStart"/>
      <w:r w:rsidRPr="003C0CD4">
        <w:rPr>
          <w:highlight w:val="white"/>
          <w:lang w:val="en-US"/>
        </w:rPr>
        <w:t>Dedoulis</w:t>
      </w:r>
      <w:proofErr w:type="spellEnd"/>
      <w:r w:rsidRPr="003C0CD4">
        <w:rPr>
          <w:highlight w:val="white"/>
          <w:lang w:val="en-US"/>
        </w:rPr>
        <w:t xml:space="preserve">, E., &amp; </w:t>
      </w:r>
      <w:proofErr w:type="spellStart"/>
      <w:r w:rsidRPr="003C0CD4">
        <w:rPr>
          <w:highlight w:val="white"/>
          <w:lang w:val="en-US"/>
        </w:rPr>
        <w:t>Leventis</w:t>
      </w:r>
      <w:proofErr w:type="spellEnd"/>
      <w:r w:rsidRPr="003C0CD4">
        <w:rPr>
          <w:highlight w:val="white"/>
          <w:lang w:val="en-US"/>
        </w:rPr>
        <w:t xml:space="preserve">, S. (2016). Corporate social responsibility reporting and organizational stigma: The case of “sin” industries. </w:t>
      </w:r>
      <w:r w:rsidRPr="003C0CD4">
        <w:rPr>
          <w:i/>
          <w:highlight w:val="white"/>
          <w:lang w:val="en-US"/>
        </w:rPr>
        <w:t>Journal of Business Research</w:t>
      </w:r>
      <w:r w:rsidRPr="003C0CD4">
        <w:rPr>
          <w:highlight w:val="white"/>
          <w:lang w:val="en-US"/>
        </w:rPr>
        <w:t xml:space="preserve">, </w:t>
      </w:r>
      <w:r w:rsidRPr="003C0CD4">
        <w:rPr>
          <w:i/>
          <w:highlight w:val="white"/>
          <w:lang w:val="en-US"/>
        </w:rPr>
        <w:t>69</w:t>
      </w:r>
      <w:r w:rsidRPr="003C0CD4">
        <w:rPr>
          <w:highlight w:val="white"/>
          <w:lang w:val="en-US"/>
        </w:rPr>
        <w:t>(2), 905-914. Doi: 10.1016/j.jbusres.2015.06.041</w:t>
      </w:r>
    </w:p>
    <w:p w14:paraId="024DB703" w14:textId="77777777" w:rsidR="009E260D" w:rsidRPr="003C0CD4" w:rsidRDefault="009E260D" w:rsidP="00650284">
      <w:pPr>
        <w:spacing w:after="240"/>
        <w:ind w:left="560" w:hanging="560"/>
        <w:rPr>
          <w:highlight w:val="white"/>
          <w:lang w:val="en-US"/>
        </w:rPr>
      </w:pPr>
      <w:proofErr w:type="spellStart"/>
      <w:r w:rsidRPr="003C0CD4">
        <w:rPr>
          <w:highlight w:val="white"/>
          <w:lang w:val="en-US"/>
        </w:rPr>
        <w:t>Hajmohammad</w:t>
      </w:r>
      <w:proofErr w:type="spellEnd"/>
      <w:r w:rsidRPr="003C0CD4">
        <w:rPr>
          <w:highlight w:val="white"/>
          <w:lang w:val="en-US"/>
        </w:rPr>
        <w:t xml:space="preserve">, S., &amp; Vachon, S. (2016). Mitigation, avoidance, or acceptance? Managing supplier sustainability risk. </w:t>
      </w:r>
      <w:r w:rsidRPr="003C0CD4">
        <w:rPr>
          <w:i/>
          <w:highlight w:val="white"/>
          <w:lang w:val="en-US"/>
        </w:rPr>
        <w:t>Journal of Supply Chain Management, 52</w:t>
      </w:r>
      <w:r w:rsidRPr="003C0CD4">
        <w:rPr>
          <w:highlight w:val="white"/>
          <w:lang w:val="en-US"/>
        </w:rPr>
        <w:t>(2), 48-65. Doi: 10.1111/jscm.12099</w:t>
      </w:r>
    </w:p>
    <w:p w14:paraId="7A72901B" w14:textId="77777777" w:rsidR="009E260D" w:rsidRPr="003C0CD4" w:rsidRDefault="009E260D" w:rsidP="00650284">
      <w:pPr>
        <w:spacing w:after="240"/>
        <w:ind w:left="560" w:hanging="560"/>
        <w:rPr>
          <w:highlight w:val="white"/>
          <w:lang w:val="en-US"/>
        </w:rPr>
      </w:pPr>
      <w:r w:rsidRPr="003C0CD4">
        <w:rPr>
          <w:highlight w:val="white"/>
          <w:lang w:val="en-US"/>
        </w:rPr>
        <w:t xml:space="preserve">Homburg, C., </w:t>
      </w:r>
      <w:proofErr w:type="spellStart"/>
      <w:r w:rsidRPr="003C0CD4">
        <w:rPr>
          <w:highlight w:val="white"/>
          <w:lang w:val="en-US"/>
        </w:rPr>
        <w:t>Stierl</w:t>
      </w:r>
      <w:proofErr w:type="spellEnd"/>
      <w:r w:rsidRPr="003C0CD4">
        <w:rPr>
          <w:highlight w:val="white"/>
          <w:lang w:val="en-US"/>
        </w:rPr>
        <w:t xml:space="preserve">, M., &amp; </w:t>
      </w:r>
      <w:proofErr w:type="spellStart"/>
      <w:r w:rsidRPr="003C0CD4">
        <w:rPr>
          <w:highlight w:val="white"/>
          <w:lang w:val="en-US"/>
        </w:rPr>
        <w:t>Bornemann</w:t>
      </w:r>
      <w:proofErr w:type="spellEnd"/>
      <w:r w:rsidRPr="003C0CD4">
        <w:rPr>
          <w:highlight w:val="white"/>
          <w:lang w:val="en-US"/>
        </w:rPr>
        <w:t xml:space="preserve">, T. (2013). Corporate social responsibility in business-to-business markets: How organizational customers account for supplier corporate social responsibility engagement. </w:t>
      </w:r>
      <w:r w:rsidRPr="003C0CD4">
        <w:rPr>
          <w:i/>
          <w:highlight w:val="white"/>
          <w:lang w:val="en-US"/>
        </w:rPr>
        <w:t>Journal of Marketing</w:t>
      </w:r>
      <w:r w:rsidRPr="003C0CD4">
        <w:rPr>
          <w:highlight w:val="white"/>
          <w:lang w:val="en-US"/>
        </w:rPr>
        <w:t xml:space="preserve">, </w:t>
      </w:r>
      <w:r w:rsidRPr="003C0CD4">
        <w:rPr>
          <w:i/>
          <w:highlight w:val="white"/>
          <w:lang w:val="en-US"/>
        </w:rPr>
        <w:t>77</w:t>
      </w:r>
      <w:r w:rsidRPr="003C0CD4">
        <w:rPr>
          <w:highlight w:val="white"/>
          <w:lang w:val="en-US"/>
        </w:rPr>
        <w:t>(6), 54-72. Doi: 10.1509/jm.12.0089</w:t>
      </w:r>
    </w:p>
    <w:p w14:paraId="180F477C" w14:textId="77777777" w:rsidR="009E260D" w:rsidRPr="003C0CD4" w:rsidRDefault="009E260D" w:rsidP="00650284">
      <w:pPr>
        <w:spacing w:after="240"/>
        <w:ind w:left="560" w:hanging="560"/>
        <w:rPr>
          <w:highlight w:val="white"/>
          <w:lang w:val="en-US"/>
        </w:rPr>
      </w:pPr>
      <w:r w:rsidRPr="003C0CD4">
        <w:rPr>
          <w:highlight w:val="white"/>
          <w:lang w:val="en-US"/>
        </w:rPr>
        <w:t xml:space="preserve">Jamali, D., &amp; Karam, C. (2018). Corporate social responsibility in developing countries as an emerging field of study. </w:t>
      </w:r>
      <w:r w:rsidRPr="003C0CD4">
        <w:rPr>
          <w:i/>
          <w:highlight w:val="white"/>
          <w:lang w:val="en-US"/>
        </w:rPr>
        <w:t>International Journal of Management Reviews</w:t>
      </w:r>
      <w:r w:rsidRPr="003C0CD4">
        <w:rPr>
          <w:highlight w:val="white"/>
          <w:lang w:val="en-US"/>
        </w:rPr>
        <w:t xml:space="preserve">, </w:t>
      </w:r>
      <w:r w:rsidRPr="003C0CD4">
        <w:rPr>
          <w:i/>
          <w:highlight w:val="white"/>
          <w:lang w:val="en-US"/>
        </w:rPr>
        <w:t>20</w:t>
      </w:r>
      <w:r w:rsidRPr="003C0CD4">
        <w:rPr>
          <w:highlight w:val="white"/>
          <w:lang w:val="en-US"/>
        </w:rPr>
        <w:t>(1), 32–61. Doi: 10.1111/ijmr.12112</w:t>
      </w:r>
    </w:p>
    <w:p w14:paraId="1D362B34" w14:textId="77777777" w:rsidR="009E260D" w:rsidRPr="003C0CD4" w:rsidRDefault="009E260D" w:rsidP="00650284">
      <w:pPr>
        <w:spacing w:after="240"/>
        <w:ind w:left="560" w:hanging="560"/>
        <w:rPr>
          <w:highlight w:val="white"/>
          <w:lang w:val="en-US"/>
        </w:rPr>
      </w:pPr>
      <w:proofErr w:type="spellStart"/>
      <w:r w:rsidRPr="003C0CD4">
        <w:rPr>
          <w:highlight w:val="white"/>
          <w:lang w:val="en-US"/>
        </w:rPr>
        <w:t>Javed</w:t>
      </w:r>
      <w:proofErr w:type="spellEnd"/>
      <w:r w:rsidRPr="003C0CD4">
        <w:rPr>
          <w:highlight w:val="white"/>
          <w:lang w:val="en-US"/>
        </w:rPr>
        <w:t xml:space="preserve">, M., Rashid, M. A., Hussain, G., &amp; Ali, H. Y. (2019). The effects of corporate social responsibility on corporate reputation and firm financial performance: Moderating role of responsible leadership. </w:t>
      </w:r>
      <w:r w:rsidRPr="003C0CD4">
        <w:rPr>
          <w:i/>
          <w:highlight w:val="white"/>
          <w:lang w:val="en-US"/>
        </w:rPr>
        <w:t>Corporate Social Responsibility and Environmental Management, 27</w:t>
      </w:r>
      <w:r w:rsidRPr="003C0CD4">
        <w:rPr>
          <w:highlight w:val="white"/>
          <w:lang w:val="en-US"/>
        </w:rPr>
        <w:t>(3), 1395-1409. Doi: 10.1002/csr.1892</w:t>
      </w:r>
    </w:p>
    <w:p w14:paraId="4224247C" w14:textId="77777777" w:rsidR="009E260D" w:rsidRPr="003C0CD4" w:rsidRDefault="009E260D" w:rsidP="00650284">
      <w:pPr>
        <w:spacing w:after="240"/>
        <w:ind w:left="560" w:hanging="560"/>
        <w:rPr>
          <w:highlight w:val="white"/>
          <w:lang w:val="en-US"/>
        </w:rPr>
      </w:pPr>
      <w:r w:rsidRPr="003C0CD4">
        <w:rPr>
          <w:highlight w:val="white"/>
          <w:lang w:val="en-US"/>
        </w:rPr>
        <w:lastRenderedPageBreak/>
        <w:t xml:space="preserve">Jones, T. M. (1980). Corporate social responsibility revisited. Redefined. </w:t>
      </w:r>
      <w:r w:rsidRPr="003C0CD4">
        <w:rPr>
          <w:i/>
          <w:highlight w:val="white"/>
          <w:lang w:val="en-US"/>
        </w:rPr>
        <w:t>California Management Review, 22</w:t>
      </w:r>
      <w:r w:rsidRPr="003C0CD4">
        <w:rPr>
          <w:highlight w:val="white"/>
          <w:lang w:val="en-US"/>
        </w:rPr>
        <w:t>(3), 59–67. Doi: 10.2307/41164877</w:t>
      </w:r>
    </w:p>
    <w:p w14:paraId="7F988488" w14:textId="77777777" w:rsidR="009E260D" w:rsidRPr="003C0CD4" w:rsidRDefault="009E260D" w:rsidP="00650284">
      <w:pPr>
        <w:spacing w:after="240"/>
        <w:ind w:left="560" w:hanging="560"/>
        <w:rPr>
          <w:highlight w:val="white"/>
          <w:lang w:val="en-US"/>
        </w:rPr>
      </w:pPr>
      <w:proofErr w:type="spellStart"/>
      <w:r w:rsidRPr="003C0CD4">
        <w:rPr>
          <w:highlight w:val="white"/>
          <w:lang w:val="en-US"/>
        </w:rPr>
        <w:t>Kubenka</w:t>
      </w:r>
      <w:proofErr w:type="spellEnd"/>
      <w:r w:rsidRPr="003C0CD4">
        <w:rPr>
          <w:highlight w:val="white"/>
          <w:lang w:val="en-US"/>
        </w:rPr>
        <w:t xml:space="preserve">, M., &amp; </w:t>
      </w:r>
      <w:proofErr w:type="spellStart"/>
      <w:r w:rsidRPr="003C0CD4">
        <w:rPr>
          <w:highlight w:val="white"/>
          <w:lang w:val="en-US"/>
        </w:rPr>
        <w:t>Myskova</w:t>
      </w:r>
      <w:proofErr w:type="spellEnd"/>
      <w:r w:rsidRPr="003C0CD4">
        <w:rPr>
          <w:highlight w:val="white"/>
          <w:lang w:val="en-US"/>
        </w:rPr>
        <w:t xml:space="preserve">, R. (2009). The B2B market: corporate social responsibility or corporate social responsiveness. </w:t>
      </w:r>
      <w:r w:rsidRPr="003C0CD4">
        <w:rPr>
          <w:i/>
          <w:highlight w:val="white"/>
          <w:lang w:val="en-US"/>
        </w:rPr>
        <w:t>WSEAS transactions on business and economics</w:t>
      </w:r>
      <w:r w:rsidRPr="003C0CD4">
        <w:rPr>
          <w:highlight w:val="white"/>
          <w:lang w:val="en-US"/>
        </w:rPr>
        <w:t xml:space="preserve">, </w:t>
      </w:r>
      <w:r w:rsidRPr="003C0CD4">
        <w:rPr>
          <w:i/>
          <w:highlight w:val="white"/>
          <w:lang w:val="en-US"/>
        </w:rPr>
        <w:t>7</w:t>
      </w:r>
      <w:r w:rsidRPr="003C0CD4">
        <w:rPr>
          <w:highlight w:val="white"/>
          <w:lang w:val="en-US"/>
        </w:rPr>
        <w:t xml:space="preserve">(6), 320-330. </w:t>
      </w:r>
    </w:p>
    <w:p w14:paraId="19214D4B" w14:textId="77777777" w:rsidR="009E260D" w:rsidRPr="003C0CD4" w:rsidRDefault="009E260D" w:rsidP="00650284">
      <w:pPr>
        <w:spacing w:after="240"/>
        <w:ind w:left="560" w:hanging="560"/>
        <w:rPr>
          <w:highlight w:val="white"/>
          <w:lang w:val="en-US"/>
        </w:rPr>
      </w:pPr>
      <w:r w:rsidRPr="003C0CD4">
        <w:rPr>
          <w:highlight w:val="white"/>
          <w:lang w:val="en-US"/>
        </w:rPr>
        <w:t>Lee, Y. M.; Hu, J. L. (2018), “Integrated approaches for business sustainability: The perspective of corporate social responsibility”,</w:t>
      </w:r>
      <w:r w:rsidRPr="003C0CD4">
        <w:rPr>
          <w:i/>
          <w:highlight w:val="white"/>
          <w:lang w:val="en-US"/>
        </w:rPr>
        <w:t xml:space="preserve"> Sustainability, 10</w:t>
      </w:r>
      <w:r w:rsidRPr="003C0CD4">
        <w:rPr>
          <w:highlight w:val="white"/>
          <w:lang w:val="en-US"/>
        </w:rPr>
        <w:t>(7), 2318. Doi: 10.3390/su10072318</w:t>
      </w:r>
    </w:p>
    <w:p w14:paraId="2D9F01B3" w14:textId="77777777" w:rsidR="009E260D" w:rsidRPr="003C0CD4" w:rsidRDefault="009E260D" w:rsidP="00650284">
      <w:pPr>
        <w:spacing w:after="240"/>
        <w:ind w:left="560" w:hanging="560"/>
        <w:rPr>
          <w:highlight w:val="white"/>
          <w:lang w:val="en-US"/>
        </w:rPr>
      </w:pPr>
      <w:r w:rsidRPr="003C0CD4">
        <w:rPr>
          <w:highlight w:val="white"/>
          <w:lang w:val="en-US"/>
        </w:rPr>
        <w:t xml:space="preserve">Liu, Y., Eckert, C., </w:t>
      </w:r>
      <w:proofErr w:type="spellStart"/>
      <w:r w:rsidRPr="003C0CD4">
        <w:rPr>
          <w:highlight w:val="white"/>
          <w:lang w:val="en-US"/>
        </w:rPr>
        <w:t>Yannou</w:t>
      </w:r>
      <w:proofErr w:type="spellEnd"/>
      <w:r w:rsidRPr="003C0CD4">
        <w:rPr>
          <w:highlight w:val="white"/>
          <w:lang w:val="en-US"/>
        </w:rPr>
        <w:t xml:space="preserve">-Le Bris, G., &amp; Petit, G. (2019). A fuzzy decision tool to evaluate the sustainable performance of suppliers in an </w:t>
      </w:r>
      <w:proofErr w:type="spellStart"/>
      <w:r w:rsidRPr="003C0CD4">
        <w:rPr>
          <w:highlight w:val="white"/>
          <w:lang w:val="en-US"/>
        </w:rPr>
        <w:t>agrifood</w:t>
      </w:r>
      <w:proofErr w:type="spellEnd"/>
      <w:r w:rsidRPr="003C0CD4">
        <w:rPr>
          <w:highlight w:val="white"/>
          <w:lang w:val="en-US"/>
        </w:rPr>
        <w:t xml:space="preserve"> value chain. </w:t>
      </w:r>
      <w:r w:rsidRPr="003C0CD4">
        <w:rPr>
          <w:i/>
          <w:highlight w:val="white"/>
          <w:lang w:val="en-US"/>
        </w:rPr>
        <w:t>Computers &amp; Industrial Engineering, 127</w:t>
      </w:r>
      <w:r w:rsidRPr="003C0CD4">
        <w:rPr>
          <w:highlight w:val="white"/>
          <w:lang w:val="en-US"/>
        </w:rPr>
        <w:t>, 196-212. Doi: 10.1016/j.cie.2018.12.022</w:t>
      </w:r>
    </w:p>
    <w:p w14:paraId="4811067F" w14:textId="77777777" w:rsidR="009E260D" w:rsidRPr="003C0CD4" w:rsidRDefault="009E260D" w:rsidP="00650284">
      <w:pPr>
        <w:spacing w:after="240"/>
        <w:ind w:left="560" w:hanging="560"/>
        <w:rPr>
          <w:highlight w:val="white"/>
          <w:lang w:val="en-US"/>
        </w:rPr>
      </w:pPr>
      <w:r w:rsidRPr="003C0CD4">
        <w:rPr>
          <w:highlight w:val="white"/>
          <w:lang w:val="en-US"/>
        </w:rPr>
        <w:t xml:space="preserve">Luthra, S., Govindan, K., Kannan, D., </w:t>
      </w:r>
      <w:proofErr w:type="spellStart"/>
      <w:r w:rsidRPr="003C0CD4">
        <w:rPr>
          <w:highlight w:val="white"/>
          <w:lang w:val="en-US"/>
        </w:rPr>
        <w:t>Mangla</w:t>
      </w:r>
      <w:proofErr w:type="spellEnd"/>
      <w:r w:rsidRPr="003C0CD4">
        <w:rPr>
          <w:highlight w:val="white"/>
          <w:lang w:val="en-US"/>
        </w:rPr>
        <w:t xml:space="preserve">, S. K., &amp; Garg, C. P. (2017). An integrated framework for sustainable supplier selection and evaluation in supply chains. </w:t>
      </w:r>
      <w:r w:rsidRPr="003C0CD4">
        <w:rPr>
          <w:i/>
          <w:highlight w:val="white"/>
          <w:lang w:val="en-US"/>
        </w:rPr>
        <w:t>Journal of Cleaner Production, 140</w:t>
      </w:r>
      <w:r w:rsidRPr="003C0CD4">
        <w:rPr>
          <w:highlight w:val="white"/>
          <w:lang w:val="en-US"/>
        </w:rPr>
        <w:t>(30, 1686-1698. Doi: 10.1016/j.jclepro.2016.09.078</w:t>
      </w:r>
    </w:p>
    <w:p w14:paraId="67E91557" w14:textId="77777777" w:rsidR="009E260D" w:rsidRDefault="009E260D" w:rsidP="00650284">
      <w:pPr>
        <w:spacing w:after="240"/>
        <w:ind w:left="560" w:hanging="560"/>
      </w:pPr>
      <w:r w:rsidRPr="003C0CD4">
        <w:rPr>
          <w:highlight w:val="white"/>
          <w:lang w:val="en-US"/>
        </w:rPr>
        <w:t xml:space="preserve">Marchand, P., &amp; </w:t>
      </w:r>
      <w:proofErr w:type="spellStart"/>
      <w:r w:rsidRPr="003C0CD4">
        <w:rPr>
          <w:highlight w:val="white"/>
          <w:lang w:val="en-US"/>
        </w:rPr>
        <w:t>Ratinaud</w:t>
      </w:r>
      <w:proofErr w:type="spellEnd"/>
      <w:r w:rsidRPr="003C0CD4">
        <w:rPr>
          <w:highlight w:val="white"/>
          <w:lang w:val="en-US"/>
        </w:rPr>
        <w:t xml:space="preserve">, P. (2012). </w:t>
      </w:r>
      <w:proofErr w:type="spellStart"/>
      <w:r w:rsidRPr="003C0CD4">
        <w:rPr>
          <w:highlight w:val="white"/>
          <w:lang w:val="en-US"/>
        </w:rPr>
        <w:t>L’analyse</w:t>
      </w:r>
      <w:proofErr w:type="spellEnd"/>
      <w:r w:rsidRPr="003C0CD4">
        <w:rPr>
          <w:highlight w:val="white"/>
          <w:lang w:val="en-US"/>
        </w:rPr>
        <w:t xml:space="preserve"> de similitude </w:t>
      </w:r>
      <w:proofErr w:type="spellStart"/>
      <w:r w:rsidRPr="003C0CD4">
        <w:rPr>
          <w:highlight w:val="white"/>
          <w:lang w:val="en-US"/>
        </w:rPr>
        <w:t>appliquée</w:t>
      </w:r>
      <w:proofErr w:type="spellEnd"/>
      <w:r w:rsidRPr="003C0CD4">
        <w:rPr>
          <w:highlight w:val="white"/>
          <w:lang w:val="en-US"/>
        </w:rPr>
        <w:t xml:space="preserve"> aux corpus </w:t>
      </w:r>
      <w:proofErr w:type="spellStart"/>
      <w:r w:rsidRPr="003C0CD4">
        <w:rPr>
          <w:highlight w:val="white"/>
          <w:lang w:val="en-US"/>
        </w:rPr>
        <w:t>textuels</w:t>
      </w:r>
      <w:proofErr w:type="spellEnd"/>
      <w:r w:rsidRPr="003C0CD4">
        <w:rPr>
          <w:highlight w:val="white"/>
          <w:lang w:val="en-US"/>
        </w:rPr>
        <w:t xml:space="preserve">: les </w:t>
      </w:r>
      <w:proofErr w:type="spellStart"/>
      <w:r w:rsidRPr="003C0CD4">
        <w:rPr>
          <w:highlight w:val="white"/>
          <w:lang w:val="en-US"/>
        </w:rPr>
        <w:t>primaires</w:t>
      </w:r>
      <w:proofErr w:type="spellEnd"/>
      <w:r w:rsidRPr="003C0CD4">
        <w:rPr>
          <w:highlight w:val="white"/>
          <w:lang w:val="en-US"/>
        </w:rPr>
        <w:t xml:space="preserve"> </w:t>
      </w:r>
      <w:proofErr w:type="spellStart"/>
      <w:r w:rsidRPr="003C0CD4">
        <w:rPr>
          <w:highlight w:val="white"/>
          <w:lang w:val="en-US"/>
        </w:rPr>
        <w:t>socialistes</w:t>
      </w:r>
      <w:proofErr w:type="spellEnd"/>
      <w:r w:rsidRPr="003C0CD4">
        <w:rPr>
          <w:highlight w:val="white"/>
          <w:lang w:val="en-US"/>
        </w:rPr>
        <w:t xml:space="preserve"> pour </w:t>
      </w:r>
      <w:proofErr w:type="spellStart"/>
      <w:r w:rsidRPr="003C0CD4">
        <w:rPr>
          <w:highlight w:val="white"/>
          <w:lang w:val="en-US"/>
        </w:rPr>
        <w:t>l’élection</w:t>
      </w:r>
      <w:proofErr w:type="spellEnd"/>
      <w:r w:rsidRPr="003C0CD4">
        <w:rPr>
          <w:highlight w:val="white"/>
          <w:lang w:val="en-US"/>
        </w:rPr>
        <w:t xml:space="preserve"> </w:t>
      </w:r>
      <w:proofErr w:type="spellStart"/>
      <w:r w:rsidRPr="003C0CD4">
        <w:rPr>
          <w:highlight w:val="white"/>
          <w:lang w:val="en-US"/>
        </w:rPr>
        <w:t>présidentielle</w:t>
      </w:r>
      <w:proofErr w:type="spellEnd"/>
      <w:r w:rsidRPr="003C0CD4">
        <w:rPr>
          <w:highlight w:val="white"/>
          <w:lang w:val="en-US"/>
        </w:rPr>
        <w:t xml:space="preserve"> française (</w:t>
      </w:r>
      <w:proofErr w:type="spellStart"/>
      <w:r w:rsidRPr="003C0CD4">
        <w:rPr>
          <w:highlight w:val="white"/>
          <w:lang w:val="en-US"/>
        </w:rPr>
        <w:t>septembre-octobre</w:t>
      </w:r>
      <w:proofErr w:type="spellEnd"/>
      <w:r w:rsidRPr="003C0CD4">
        <w:rPr>
          <w:highlight w:val="white"/>
          <w:lang w:val="en-US"/>
        </w:rPr>
        <w:t xml:space="preserve"> 2011). </w:t>
      </w:r>
      <w:proofErr w:type="spellStart"/>
      <w:r w:rsidRPr="003C0CD4">
        <w:rPr>
          <w:i/>
          <w:highlight w:val="white"/>
          <w:lang w:val="en-US"/>
        </w:rPr>
        <w:t>Actes</w:t>
      </w:r>
      <w:proofErr w:type="spellEnd"/>
      <w:r w:rsidRPr="003C0CD4">
        <w:rPr>
          <w:i/>
          <w:highlight w:val="white"/>
          <w:lang w:val="en-US"/>
        </w:rPr>
        <w:t xml:space="preserve"> des 11eme </w:t>
      </w:r>
      <w:proofErr w:type="spellStart"/>
      <w:r w:rsidRPr="003C0CD4">
        <w:rPr>
          <w:i/>
          <w:highlight w:val="white"/>
          <w:lang w:val="en-US"/>
        </w:rPr>
        <w:t>Journées</w:t>
      </w:r>
      <w:proofErr w:type="spellEnd"/>
      <w:r w:rsidRPr="003C0CD4">
        <w:rPr>
          <w:i/>
          <w:highlight w:val="white"/>
          <w:lang w:val="en-US"/>
        </w:rPr>
        <w:t xml:space="preserve"> </w:t>
      </w:r>
      <w:proofErr w:type="spellStart"/>
      <w:r w:rsidRPr="003C0CD4">
        <w:rPr>
          <w:i/>
          <w:highlight w:val="white"/>
          <w:lang w:val="en-US"/>
        </w:rPr>
        <w:t>internationales</w:t>
      </w:r>
      <w:proofErr w:type="spellEnd"/>
      <w:r w:rsidRPr="003C0CD4">
        <w:rPr>
          <w:i/>
          <w:highlight w:val="white"/>
          <w:lang w:val="en-US"/>
        </w:rPr>
        <w:t xml:space="preserve"> </w:t>
      </w:r>
      <w:proofErr w:type="spellStart"/>
      <w:r w:rsidRPr="003C0CD4">
        <w:rPr>
          <w:i/>
          <w:highlight w:val="white"/>
          <w:lang w:val="en-US"/>
        </w:rPr>
        <w:t>d’Analyse</w:t>
      </w:r>
      <w:proofErr w:type="spellEnd"/>
      <w:r w:rsidRPr="003C0CD4">
        <w:rPr>
          <w:i/>
          <w:highlight w:val="white"/>
          <w:lang w:val="en-US"/>
        </w:rPr>
        <w:t xml:space="preserve"> </w:t>
      </w:r>
      <w:proofErr w:type="spellStart"/>
      <w:r w:rsidRPr="003C0CD4">
        <w:rPr>
          <w:i/>
          <w:highlight w:val="white"/>
          <w:lang w:val="en-US"/>
        </w:rPr>
        <w:t>statistique</w:t>
      </w:r>
      <w:proofErr w:type="spellEnd"/>
      <w:r w:rsidRPr="003C0CD4">
        <w:rPr>
          <w:i/>
          <w:highlight w:val="white"/>
          <w:lang w:val="en-US"/>
        </w:rPr>
        <w:t xml:space="preserve"> des </w:t>
      </w:r>
      <w:proofErr w:type="spellStart"/>
      <w:r w:rsidRPr="003C0CD4">
        <w:rPr>
          <w:i/>
          <w:highlight w:val="white"/>
          <w:lang w:val="en-US"/>
        </w:rPr>
        <w:t>Données</w:t>
      </w:r>
      <w:proofErr w:type="spellEnd"/>
      <w:r w:rsidRPr="003C0CD4">
        <w:rPr>
          <w:i/>
          <w:highlight w:val="white"/>
          <w:lang w:val="en-US"/>
        </w:rPr>
        <w:t xml:space="preserve"> </w:t>
      </w:r>
      <w:proofErr w:type="spellStart"/>
      <w:r w:rsidRPr="003C0CD4">
        <w:rPr>
          <w:i/>
          <w:highlight w:val="white"/>
          <w:lang w:val="en-US"/>
        </w:rPr>
        <w:t>Textuelles</w:t>
      </w:r>
      <w:proofErr w:type="spellEnd"/>
      <w:r w:rsidRPr="003C0CD4">
        <w:rPr>
          <w:i/>
          <w:highlight w:val="white"/>
          <w:lang w:val="en-US"/>
        </w:rPr>
        <w:t xml:space="preserve">. </w:t>
      </w:r>
      <w:r>
        <w:rPr>
          <w:i/>
          <w:highlight w:val="white"/>
        </w:rPr>
        <w:t>JADT</w:t>
      </w:r>
      <w:r>
        <w:rPr>
          <w:highlight w:val="white"/>
        </w:rPr>
        <w:t xml:space="preserve">, </w:t>
      </w:r>
      <w:r>
        <w:rPr>
          <w:i/>
          <w:highlight w:val="white"/>
        </w:rPr>
        <w:t>2012</w:t>
      </w:r>
      <w:r>
        <w:rPr>
          <w:highlight w:val="white"/>
        </w:rPr>
        <w:t>, 687-699.</w:t>
      </w:r>
    </w:p>
    <w:p w14:paraId="4FBF9519" w14:textId="04631353" w:rsidR="009E260D" w:rsidRDefault="009E260D" w:rsidP="00650284">
      <w:pPr>
        <w:spacing w:after="240"/>
        <w:ind w:left="560" w:hanging="560"/>
        <w:rPr>
          <w:highlight w:val="white"/>
        </w:rPr>
      </w:pPr>
      <w:proofErr w:type="spellStart"/>
      <w:r>
        <w:t>Marfrig</w:t>
      </w:r>
      <w:proofErr w:type="spellEnd"/>
      <w:r>
        <w:t>. (2019). Relatório sustentabilidade 2019. Recuperado em 30 julho, 2021, de https://www.marfrig.com.br/static/pdf/relatorio-anual/Marfrig_RA19.pdf</w:t>
      </w:r>
    </w:p>
    <w:p w14:paraId="03C7C3D1" w14:textId="77777777" w:rsidR="009E260D" w:rsidRPr="003C0CD4" w:rsidRDefault="009E260D" w:rsidP="00650284">
      <w:pPr>
        <w:spacing w:after="240"/>
        <w:ind w:left="560" w:hanging="560"/>
        <w:rPr>
          <w:highlight w:val="white"/>
          <w:lang w:val="en-US"/>
        </w:rPr>
      </w:pPr>
      <w:proofErr w:type="spellStart"/>
      <w:r w:rsidRPr="003C0CD4">
        <w:rPr>
          <w:highlight w:val="white"/>
          <w:lang w:val="en-US"/>
        </w:rPr>
        <w:t>Masocha</w:t>
      </w:r>
      <w:proofErr w:type="spellEnd"/>
      <w:r w:rsidRPr="003C0CD4">
        <w:rPr>
          <w:highlight w:val="white"/>
          <w:lang w:val="en-US"/>
        </w:rPr>
        <w:t xml:space="preserve">, R. (2018). Does environmental sustainability impact innovation, ecological and social measures of firm performance of SMEs? Evidence from South Africa. </w:t>
      </w:r>
      <w:r w:rsidRPr="003C0CD4">
        <w:rPr>
          <w:i/>
          <w:highlight w:val="white"/>
          <w:lang w:val="en-US"/>
        </w:rPr>
        <w:t>Sustainability</w:t>
      </w:r>
      <w:r w:rsidRPr="003C0CD4">
        <w:rPr>
          <w:highlight w:val="white"/>
          <w:lang w:val="en-US"/>
        </w:rPr>
        <w:t>,</w:t>
      </w:r>
      <w:r w:rsidRPr="003C0CD4">
        <w:rPr>
          <w:i/>
          <w:highlight w:val="white"/>
          <w:lang w:val="en-US"/>
        </w:rPr>
        <w:t xml:space="preserve"> 10</w:t>
      </w:r>
      <w:r w:rsidRPr="003C0CD4">
        <w:rPr>
          <w:highlight w:val="white"/>
          <w:lang w:val="en-US"/>
        </w:rPr>
        <w:t>(11), 3855. Doi: 10.3390/su10113855</w:t>
      </w:r>
    </w:p>
    <w:p w14:paraId="21AFD356" w14:textId="77777777" w:rsidR="009E260D" w:rsidRPr="003C0CD4" w:rsidRDefault="009E260D" w:rsidP="00650284">
      <w:pPr>
        <w:spacing w:after="240"/>
        <w:ind w:left="560" w:hanging="560"/>
        <w:rPr>
          <w:highlight w:val="white"/>
          <w:lang w:val="en-US"/>
        </w:rPr>
      </w:pPr>
      <w:r w:rsidRPr="003C0CD4">
        <w:rPr>
          <w:highlight w:val="white"/>
          <w:lang w:val="en-US"/>
        </w:rPr>
        <w:t xml:space="preserve">McKnight, D. H., </w:t>
      </w:r>
      <w:proofErr w:type="spellStart"/>
      <w:r w:rsidRPr="003C0CD4">
        <w:rPr>
          <w:highlight w:val="white"/>
          <w:lang w:val="en-US"/>
        </w:rPr>
        <w:t>Lankton</w:t>
      </w:r>
      <w:proofErr w:type="spellEnd"/>
      <w:r w:rsidRPr="003C0CD4">
        <w:rPr>
          <w:highlight w:val="white"/>
          <w:lang w:val="en-US"/>
        </w:rPr>
        <w:t xml:space="preserve">, N. K., Nicolaou, A., &amp; Price, J. (2017). Distinguishing the effects of B2B information quality, system quality, and service outcome quality on trust and distrust. </w:t>
      </w:r>
      <w:r w:rsidRPr="003C0CD4">
        <w:rPr>
          <w:i/>
          <w:highlight w:val="white"/>
          <w:lang w:val="en-US"/>
        </w:rPr>
        <w:t>The Journal of Strategic Information Systems</w:t>
      </w:r>
      <w:r w:rsidRPr="003C0CD4">
        <w:rPr>
          <w:highlight w:val="white"/>
          <w:lang w:val="en-US"/>
        </w:rPr>
        <w:t xml:space="preserve">, </w:t>
      </w:r>
      <w:r w:rsidRPr="003C0CD4">
        <w:rPr>
          <w:i/>
          <w:highlight w:val="white"/>
          <w:lang w:val="en-US"/>
        </w:rPr>
        <w:t>26</w:t>
      </w:r>
      <w:r w:rsidRPr="003C0CD4">
        <w:rPr>
          <w:highlight w:val="white"/>
          <w:lang w:val="en-US"/>
        </w:rPr>
        <w:t>(2), 118-141. Doi: 10.1016/j.jsis.2017.01.001</w:t>
      </w:r>
    </w:p>
    <w:p w14:paraId="714B5CBC" w14:textId="77777777" w:rsidR="009E260D" w:rsidRDefault="009E260D" w:rsidP="00650284">
      <w:pPr>
        <w:spacing w:after="240"/>
        <w:ind w:left="560" w:hanging="560"/>
        <w:rPr>
          <w:highlight w:val="white"/>
        </w:rPr>
      </w:pPr>
      <w:r w:rsidRPr="003C0CD4">
        <w:rPr>
          <w:highlight w:val="white"/>
          <w:lang w:val="en-US"/>
        </w:rPr>
        <w:t xml:space="preserve">Melo, H. D., de Melo, J. F. M., Pereira, A. W. R., &amp; Barbosa, M. D. F. N. (2016). </w:t>
      </w:r>
      <w:r>
        <w:rPr>
          <w:highlight w:val="white"/>
        </w:rPr>
        <w:t xml:space="preserve">Análise da frequência dos itens ambientais nos instrumentos de evidenciação voluntária e obrigatória: estudo de caso nas empresas do segmento de siderurgia registradas na </w:t>
      </w:r>
      <w:proofErr w:type="spellStart"/>
      <w:r>
        <w:rPr>
          <w:highlight w:val="white"/>
        </w:rPr>
        <w:t>bovespa</w:t>
      </w:r>
      <w:proofErr w:type="spellEnd"/>
      <w:r>
        <w:rPr>
          <w:highlight w:val="white"/>
        </w:rPr>
        <w:t xml:space="preserve"> entre o período de 2008 a 2012. </w:t>
      </w:r>
      <w:r>
        <w:rPr>
          <w:i/>
          <w:highlight w:val="white"/>
        </w:rPr>
        <w:t>Revista metropolitana de sustentabilidade, 6</w:t>
      </w:r>
      <w:r>
        <w:rPr>
          <w:highlight w:val="white"/>
        </w:rPr>
        <w:t xml:space="preserve">(1), 25-42. </w:t>
      </w:r>
    </w:p>
    <w:p w14:paraId="733197F9" w14:textId="77777777" w:rsidR="009E260D" w:rsidRPr="003C0CD4" w:rsidRDefault="009E260D" w:rsidP="00650284">
      <w:pPr>
        <w:spacing w:after="240"/>
        <w:ind w:left="560" w:hanging="560"/>
        <w:rPr>
          <w:highlight w:val="white"/>
          <w:lang w:val="en-US"/>
        </w:rPr>
      </w:pPr>
      <w:proofErr w:type="spellStart"/>
      <w:r>
        <w:rPr>
          <w:highlight w:val="white"/>
        </w:rPr>
        <w:t>Memari</w:t>
      </w:r>
      <w:proofErr w:type="spellEnd"/>
      <w:r>
        <w:rPr>
          <w:highlight w:val="white"/>
        </w:rPr>
        <w:t xml:space="preserve">, A., </w:t>
      </w:r>
      <w:proofErr w:type="spellStart"/>
      <w:r>
        <w:rPr>
          <w:highlight w:val="white"/>
        </w:rPr>
        <w:t>Dargi</w:t>
      </w:r>
      <w:proofErr w:type="spellEnd"/>
      <w:r>
        <w:rPr>
          <w:highlight w:val="white"/>
        </w:rPr>
        <w:t xml:space="preserve">, A., </w:t>
      </w:r>
      <w:proofErr w:type="spellStart"/>
      <w:r>
        <w:rPr>
          <w:highlight w:val="white"/>
        </w:rPr>
        <w:t>Jokar</w:t>
      </w:r>
      <w:proofErr w:type="spellEnd"/>
      <w:r>
        <w:rPr>
          <w:highlight w:val="white"/>
        </w:rPr>
        <w:t xml:space="preserve">, M. R. A., Ahmad, R., &amp; </w:t>
      </w:r>
      <w:proofErr w:type="spellStart"/>
      <w:r>
        <w:rPr>
          <w:highlight w:val="white"/>
        </w:rPr>
        <w:t>Rahim</w:t>
      </w:r>
      <w:proofErr w:type="spellEnd"/>
      <w:r>
        <w:rPr>
          <w:highlight w:val="white"/>
        </w:rPr>
        <w:t xml:space="preserve">, A. R. A. (2019). </w:t>
      </w:r>
      <w:r w:rsidRPr="003C0CD4">
        <w:rPr>
          <w:highlight w:val="white"/>
          <w:lang w:val="en-US"/>
        </w:rPr>
        <w:t xml:space="preserve">Sustainable supplier selection: A multi-criteria intuitionistic fuzzy TOPSIS method. </w:t>
      </w:r>
      <w:r w:rsidRPr="003C0CD4">
        <w:rPr>
          <w:i/>
          <w:highlight w:val="white"/>
          <w:lang w:val="en-US"/>
        </w:rPr>
        <w:t>Journal of Manufacturing Systems, 50</w:t>
      </w:r>
      <w:r w:rsidRPr="003C0CD4">
        <w:rPr>
          <w:highlight w:val="white"/>
          <w:lang w:val="en-US"/>
        </w:rPr>
        <w:t>, 9-24. Doi: 10.1016/j.jmsy.2018.11.002</w:t>
      </w:r>
    </w:p>
    <w:p w14:paraId="6B9B5E95" w14:textId="77777777" w:rsidR="009E260D" w:rsidRDefault="009E260D" w:rsidP="00650284">
      <w:pPr>
        <w:spacing w:after="240"/>
        <w:ind w:left="560" w:hanging="560"/>
      </w:pPr>
      <w:r w:rsidRPr="003C0CD4">
        <w:rPr>
          <w:highlight w:val="white"/>
          <w:lang w:val="en-US"/>
        </w:rPr>
        <w:t xml:space="preserve">Mohammed, A., Harris, I., &amp; Govindan, K. (2019). A hybrid MCDM-FMOO approach for sustainable supplier selection and order allocation. </w:t>
      </w:r>
      <w:proofErr w:type="spellStart"/>
      <w:r>
        <w:rPr>
          <w:i/>
          <w:highlight w:val="white"/>
        </w:rPr>
        <w:t>International</w:t>
      </w:r>
      <w:proofErr w:type="spellEnd"/>
      <w:r>
        <w:rPr>
          <w:i/>
          <w:highlight w:val="white"/>
        </w:rPr>
        <w:t xml:space="preserve"> </w:t>
      </w:r>
      <w:proofErr w:type="spellStart"/>
      <w:r>
        <w:rPr>
          <w:i/>
          <w:highlight w:val="white"/>
        </w:rPr>
        <w:t>Journal</w:t>
      </w:r>
      <w:proofErr w:type="spellEnd"/>
      <w:r>
        <w:rPr>
          <w:i/>
          <w:highlight w:val="white"/>
        </w:rPr>
        <w:t xml:space="preserve"> </w:t>
      </w:r>
      <w:proofErr w:type="spellStart"/>
      <w:r>
        <w:rPr>
          <w:i/>
          <w:highlight w:val="white"/>
        </w:rPr>
        <w:t>of</w:t>
      </w:r>
      <w:proofErr w:type="spellEnd"/>
      <w:r>
        <w:rPr>
          <w:i/>
          <w:highlight w:val="white"/>
        </w:rPr>
        <w:t xml:space="preserve"> </w:t>
      </w:r>
      <w:proofErr w:type="spellStart"/>
      <w:r>
        <w:rPr>
          <w:i/>
          <w:highlight w:val="white"/>
        </w:rPr>
        <w:t>Production</w:t>
      </w:r>
      <w:proofErr w:type="spellEnd"/>
      <w:r>
        <w:rPr>
          <w:i/>
          <w:highlight w:val="white"/>
        </w:rPr>
        <w:t xml:space="preserve"> </w:t>
      </w:r>
      <w:proofErr w:type="spellStart"/>
      <w:r>
        <w:rPr>
          <w:i/>
          <w:highlight w:val="white"/>
        </w:rPr>
        <w:t>Economics</w:t>
      </w:r>
      <w:proofErr w:type="spellEnd"/>
      <w:r>
        <w:rPr>
          <w:i/>
          <w:highlight w:val="white"/>
        </w:rPr>
        <w:t>, 217</w:t>
      </w:r>
      <w:r>
        <w:rPr>
          <w:highlight w:val="white"/>
        </w:rPr>
        <w:t xml:space="preserve">, 171-184. </w:t>
      </w:r>
      <w:proofErr w:type="spellStart"/>
      <w:r>
        <w:rPr>
          <w:highlight w:val="white"/>
        </w:rPr>
        <w:t>Doi</w:t>
      </w:r>
      <w:proofErr w:type="spellEnd"/>
      <w:r>
        <w:rPr>
          <w:highlight w:val="white"/>
        </w:rPr>
        <w:t>: 10.1016/j.ijpe.2019.02.003</w:t>
      </w:r>
    </w:p>
    <w:p w14:paraId="28EEE437" w14:textId="5A7F959C" w:rsidR="009E260D" w:rsidRDefault="009E260D" w:rsidP="00650284">
      <w:pPr>
        <w:spacing w:after="240"/>
        <w:ind w:left="560" w:hanging="560"/>
        <w:rPr>
          <w:highlight w:val="white"/>
        </w:rPr>
      </w:pPr>
      <w:r>
        <w:t xml:space="preserve">Natura. (2019). Relatório anual Natural 2019. Recuperado em 30 julho, 2021, de </w:t>
      </w:r>
      <w:r>
        <w:lastRenderedPageBreak/>
        <w:t>https://static.rede.natura.net/html/home/2020/br_09/relatorio-anual-2019/relatorio_anual_natura_2019.pdf</w:t>
      </w:r>
    </w:p>
    <w:p w14:paraId="6FB5E48D" w14:textId="77777777" w:rsidR="009E260D" w:rsidRPr="003C0CD4" w:rsidRDefault="009E260D" w:rsidP="00650284">
      <w:pPr>
        <w:spacing w:after="240"/>
        <w:ind w:left="560" w:hanging="560"/>
        <w:rPr>
          <w:highlight w:val="white"/>
          <w:lang w:val="en-US"/>
        </w:rPr>
      </w:pPr>
      <w:proofErr w:type="spellStart"/>
      <w:r>
        <w:rPr>
          <w:highlight w:val="white"/>
        </w:rPr>
        <w:t>Nekhili</w:t>
      </w:r>
      <w:proofErr w:type="spellEnd"/>
      <w:r>
        <w:rPr>
          <w:highlight w:val="white"/>
        </w:rPr>
        <w:t xml:space="preserve">, M., </w:t>
      </w:r>
      <w:proofErr w:type="spellStart"/>
      <w:r>
        <w:rPr>
          <w:highlight w:val="white"/>
        </w:rPr>
        <w:t>Nagati</w:t>
      </w:r>
      <w:proofErr w:type="spellEnd"/>
      <w:r>
        <w:rPr>
          <w:highlight w:val="white"/>
        </w:rPr>
        <w:t xml:space="preserve">, H., </w:t>
      </w:r>
      <w:proofErr w:type="spellStart"/>
      <w:r>
        <w:rPr>
          <w:highlight w:val="white"/>
        </w:rPr>
        <w:t>Chtioui</w:t>
      </w:r>
      <w:proofErr w:type="spellEnd"/>
      <w:r>
        <w:rPr>
          <w:highlight w:val="white"/>
        </w:rPr>
        <w:t xml:space="preserve">, T., &amp; Rebolledo, C. (2017). </w:t>
      </w:r>
      <w:r w:rsidRPr="003C0CD4">
        <w:rPr>
          <w:highlight w:val="white"/>
          <w:lang w:val="en-US"/>
        </w:rPr>
        <w:t xml:space="preserve">Corporate social responsibility disclosure and market value: Family versus nonfamily firms. </w:t>
      </w:r>
      <w:r w:rsidRPr="003C0CD4">
        <w:rPr>
          <w:i/>
          <w:highlight w:val="white"/>
          <w:lang w:val="en-US"/>
        </w:rPr>
        <w:t>Journal of Business Research</w:t>
      </w:r>
      <w:r w:rsidRPr="003C0CD4">
        <w:rPr>
          <w:highlight w:val="white"/>
          <w:lang w:val="en-US"/>
        </w:rPr>
        <w:t>,</w:t>
      </w:r>
      <w:r w:rsidRPr="003C0CD4">
        <w:rPr>
          <w:i/>
          <w:highlight w:val="white"/>
          <w:lang w:val="en-US"/>
        </w:rPr>
        <w:t xml:space="preserve"> 77,</w:t>
      </w:r>
      <w:r w:rsidRPr="003C0CD4">
        <w:rPr>
          <w:highlight w:val="white"/>
          <w:lang w:val="en-US"/>
        </w:rPr>
        <w:t xml:space="preserve"> 41-52. Doi: doi.org/10.1016/j.jbusres.2017.04.001</w:t>
      </w:r>
    </w:p>
    <w:p w14:paraId="300DD582" w14:textId="77777777" w:rsidR="009E260D" w:rsidRPr="003C0CD4" w:rsidRDefault="009E260D" w:rsidP="00650284">
      <w:pPr>
        <w:spacing w:after="240"/>
        <w:ind w:left="560" w:hanging="560"/>
        <w:rPr>
          <w:highlight w:val="white"/>
          <w:lang w:val="en-US"/>
        </w:rPr>
      </w:pPr>
      <w:r w:rsidRPr="003C0CD4">
        <w:rPr>
          <w:highlight w:val="white"/>
          <w:lang w:val="en-US"/>
        </w:rPr>
        <w:t xml:space="preserve">Perks, K. J., </w:t>
      </w:r>
      <w:proofErr w:type="spellStart"/>
      <w:r w:rsidRPr="003C0CD4">
        <w:rPr>
          <w:highlight w:val="white"/>
          <w:lang w:val="en-US"/>
        </w:rPr>
        <w:t>Farache</w:t>
      </w:r>
      <w:proofErr w:type="spellEnd"/>
      <w:r w:rsidRPr="003C0CD4">
        <w:rPr>
          <w:highlight w:val="white"/>
          <w:lang w:val="en-US"/>
        </w:rPr>
        <w:t xml:space="preserve">, F., Shukla, P., &amp; Berry, A. (2013). Communicating responsibility-practicing irresponsibility in CSR advertisements. </w:t>
      </w:r>
      <w:r w:rsidRPr="003C0CD4">
        <w:rPr>
          <w:i/>
          <w:highlight w:val="white"/>
          <w:lang w:val="en-US"/>
        </w:rPr>
        <w:t>Journal of Business Research</w:t>
      </w:r>
      <w:r w:rsidRPr="003C0CD4">
        <w:rPr>
          <w:highlight w:val="white"/>
          <w:lang w:val="en-US"/>
        </w:rPr>
        <w:t xml:space="preserve">, </w:t>
      </w:r>
      <w:r w:rsidRPr="003C0CD4">
        <w:rPr>
          <w:i/>
          <w:highlight w:val="white"/>
          <w:lang w:val="en-US"/>
        </w:rPr>
        <w:t>66</w:t>
      </w:r>
      <w:r w:rsidRPr="003C0CD4">
        <w:rPr>
          <w:highlight w:val="white"/>
          <w:lang w:val="en-US"/>
        </w:rPr>
        <w:t>(10), 1881-1888. Doi: 10.1016/j.jbusres.2013.02.009</w:t>
      </w:r>
    </w:p>
    <w:p w14:paraId="1DC49F71" w14:textId="77777777" w:rsidR="009E260D" w:rsidRPr="003C0CD4" w:rsidRDefault="009E260D" w:rsidP="00650284">
      <w:pPr>
        <w:spacing w:after="240"/>
        <w:ind w:left="560" w:hanging="560"/>
        <w:rPr>
          <w:highlight w:val="white"/>
          <w:lang w:val="en-US"/>
        </w:rPr>
      </w:pPr>
      <w:proofErr w:type="spellStart"/>
      <w:r w:rsidRPr="003C0CD4">
        <w:rPr>
          <w:highlight w:val="white"/>
          <w:lang w:val="en-US"/>
        </w:rPr>
        <w:t>Prajogo</w:t>
      </w:r>
      <w:proofErr w:type="spellEnd"/>
      <w:r w:rsidRPr="003C0CD4">
        <w:rPr>
          <w:highlight w:val="white"/>
          <w:lang w:val="en-US"/>
        </w:rPr>
        <w:t xml:space="preserve">, D., Chowdhury, M., Yeung, A.C., Cheng, T.C.E., 2012. The relationship between supplier management and firm’s operational performance: a multidimensional perspective. </w:t>
      </w:r>
      <w:r w:rsidRPr="003C0CD4">
        <w:rPr>
          <w:i/>
          <w:highlight w:val="white"/>
          <w:lang w:val="en-US"/>
        </w:rPr>
        <w:t>International Journal of Production Economics, 136</w:t>
      </w:r>
      <w:r w:rsidRPr="003C0CD4">
        <w:rPr>
          <w:highlight w:val="white"/>
          <w:lang w:val="en-US"/>
        </w:rPr>
        <w:t>(1), 123-130. Doi: 10.1016/j.ijpe.2011.09.022</w:t>
      </w:r>
    </w:p>
    <w:p w14:paraId="1B2562E8" w14:textId="77777777" w:rsidR="009E260D" w:rsidRPr="003C0CD4" w:rsidRDefault="009E260D" w:rsidP="00650284">
      <w:pPr>
        <w:spacing w:after="240"/>
        <w:ind w:left="560" w:hanging="560"/>
        <w:rPr>
          <w:highlight w:val="white"/>
          <w:lang w:val="en-US"/>
        </w:rPr>
      </w:pPr>
      <w:r w:rsidRPr="003C0CD4">
        <w:rPr>
          <w:highlight w:val="white"/>
          <w:lang w:val="en-US"/>
        </w:rPr>
        <w:t xml:space="preserve">Raimi, L. (2017). Understanding theories of corporate social responsibility in the </w:t>
      </w:r>
      <w:proofErr w:type="spellStart"/>
      <w:r w:rsidRPr="003C0CD4">
        <w:rPr>
          <w:highlight w:val="white"/>
          <w:lang w:val="en-US"/>
        </w:rPr>
        <w:t>Ibero</w:t>
      </w:r>
      <w:proofErr w:type="spellEnd"/>
      <w:r w:rsidRPr="003C0CD4">
        <w:rPr>
          <w:highlight w:val="white"/>
          <w:lang w:val="en-US"/>
        </w:rPr>
        <w:t xml:space="preserve">-American hospitality industry. In </w:t>
      </w:r>
      <w:r w:rsidRPr="003C0CD4">
        <w:rPr>
          <w:i/>
          <w:highlight w:val="white"/>
          <w:lang w:val="en-US"/>
        </w:rPr>
        <w:t>Corporate Social Responsibility and Corporate Governance</w:t>
      </w:r>
      <w:r w:rsidRPr="003C0CD4">
        <w:rPr>
          <w:highlight w:val="white"/>
          <w:lang w:val="en-US"/>
        </w:rPr>
        <w:t xml:space="preserve">. Emerald Publishing Limited. </w:t>
      </w:r>
    </w:p>
    <w:p w14:paraId="0450223F" w14:textId="77777777" w:rsidR="009E260D" w:rsidRPr="003C0CD4" w:rsidRDefault="009E260D" w:rsidP="00650284">
      <w:pPr>
        <w:spacing w:after="240"/>
        <w:ind w:left="560" w:hanging="560"/>
        <w:rPr>
          <w:highlight w:val="white"/>
          <w:lang w:val="en-US"/>
        </w:rPr>
      </w:pPr>
      <w:r w:rsidRPr="003C0CD4">
        <w:rPr>
          <w:highlight w:val="white"/>
          <w:lang w:val="en-US"/>
        </w:rPr>
        <w:t xml:space="preserve">Shi, L., Wu, K. J., &amp; Tseng, M. L. (2017). Improving corporate sustainable development by using an interdependent closed-loop hierarchical structure. </w:t>
      </w:r>
      <w:r w:rsidRPr="003C0CD4">
        <w:rPr>
          <w:i/>
          <w:highlight w:val="white"/>
          <w:lang w:val="en-US"/>
        </w:rPr>
        <w:t>Resources, Conservation and Recycling, 119</w:t>
      </w:r>
      <w:r w:rsidRPr="003C0CD4">
        <w:rPr>
          <w:highlight w:val="white"/>
          <w:lang w:val="en-US"/>
        </w:rPr>
        <w:t>, 24-35. Doi: 10.1016/j.resconrec.2016.08.014</w:t>
      </w:r>
    </w:p>
    <w:p w14:paraId="710ACE72" w14:textId="77777777" w:rsidR="009E260D" w:rsidRDefault="009E260D" w:rsidP="00650284">
      <w:pPr>
        <w:spacing w:after="240"/>
        <w:ind w:left="560" w:hanging="560"/>
      </w:pPr>
      <w:proofErr w:type="spellStart"/>
      <w:r w:rsidRPr="003C0CD4">
        <w:rPr>
          <w:highlight w:val="white"/>
          <w:lang w:val="en-US"/>
        </w:rPr>
        <w:t>Staniskiene</w:t>
      </w:r>
      <w:proofErr w:type="spellEnd"/>
      <w:r w:rsidRPr="003C0CD4">
        <w:rPr>
          <w:highlight w:val="white"/>
          <w:lang w:val="en-US"/>
        </w:rPr>
        <w:t xml:space="preserve">, E., </w:t>
      </w:r>
      <w:proofErr w:type="spellStart"/>
      <w:r w:rsidRPr="003C0CD4">
        <w:rPr>
          <w:highlight w:val="white"/>
          <w:lang w:val="en-US"/>
        </w:rPr>
        <w:t>Stankeviciute</w:t>
      </w:r>
      <w:proofErr w:type="spellEnd"/>
      <w:r w:rsidRPr="003C0CD4">
        <w:rPr>
          <w:highlight w:val="white"/>
          <w:lang w:val="en-US"/>
        </w:rPr>
        <w:t xml:space="preserve">, Z., &amp; </w:t>
      </w:r>
      <w:proofErr w:type="spellStart"/>
      <w:r w:rsidRPr="003C0CD4">
        <w:rPr>
          <w:highlight w:val="white"/>
          <w:lang w:val="en-US"/>
        </w:rPr>
        <w:t>Daunoriene</w:t>
      </w:r>
      <w:proofErr w:type="spellEnd"/>
      <w:r w:rsidRPr="003C0CD4">
        <w:rPr>
          <w:highlight w:val="white"/>
          <w:lang w:val="en-US"/>
        </w:rPr>
        <w:t>, A. (2019). Corporate Social Responsibility and Inter-</w:t>
      </w:r>
      <w:proofErr w:type="spellStart"/>
      <w:r w:rsidRPr="003C0CD4">
        <w:rPr>
          <w:highlight w:val="white"/>
          <w:lang w:val="en-US"/>
        </w:rPr>
        <w:t>Organisational</w:t>
      </w:r>
      <w:proofErr w:type="spellEnd"/>
      <w:r w:rsidRPr="003C0CD4">
        <w:rPr>
          <w:highlight w:val="white"/>
          <w:lang w:val="en-US"/>
        </w:rPr>
        <w:t xml:space="preserve"> Trust in a B2B Context. </w:t>
      </w:r>
      <w:proofErr w:type="spellStart"/>
      <w:r>
        <w:rPr>
          <w:i/>
          <w:highlight w:val="white"/>
        </w:rPr>
        <w:t>Quality</w:t>
      </w:r>
      <w:proofErr w:type="spellEnd"/>
      <w:r>
        <w:rPr>
          <w:i/>
          <w:highlight w:val="white"/>
        </w:rPr>
        <w:t xml:space="preserve"> </w:t>
      </w:r>
      <w:proofErr w:type="spellStart"/>
      <w:r>
        <w:rPr>
          <w:i/>
          <w:highlight w:val="white"/>
        </w:rPr>
        <w:t>Innovation</w:t>
      </w:r>
      <w:proofErr w:type="spellEnd"/>
      <w:r>
        <w:rPr>
          <w:i/>
          <w:highlight w:val="white"/>
        </w:rPr>
        <w:t xml:space="preserve"> </w:t>
      </w:r>
      <w:proofErr w:type="spellStart"/>
      <w:r>
        <w:rPr>
          <w:i/>
          <w:highlight w:val="white"/>
        </w:rPr>
        <w:t>Prosperity</w:t>
      </w:r>
      <w:proofErr w:type="spellEnd"/>
      <w:r>
        <w:rPr>
          <w:highlight w:val="white"/>
        </w:rPr>
        <w:t xml:space="preserve">, </w:t>
      </w:r>
      <w:r>
        <w:rPr>
          <w:i/>
          <w:highlight w:val="white"/>
        </w:rPr>
        <w:t>23</w:t>
      </w:r>
      <w:r>
        <w:rPr>
          <w:highlight w:val="white"/>
        </w:rPr>
        <w:t xml:space="preserve">(2), 46-63. </w:t>
      </w:r>
      <w:proofErr w:type="spellStart"/>
      <w:r>
        <w:rPr>
          <w:highlight w:val="white"/>
        </w:rPr>
        <w:t>Doi</w:t>
      </w:r>
      <w:proofErr w:type="spellEnd"/>
      <w:r>
        <w:rPr>
          <w:highlight w:val="white"/>
        </w:rPr>
        <w:t>: 10.12776/</w:t>
      </w:r>
      <w:proofErr w:type="gramStart"/>
      <w:r>
        <w:rPr>
          <w:highlight w:val="white"/>
        </w:rPr>
        <w:t>qip.v</w:t>
      </w:r>
      <w:proofErr w:type="gramEnd"/>
      <w:r>
        <w:rPr>
          <w:highlight w:val="white"/>
        </w:rPr>
        <w:t>23i2.1244</w:t>
      </w:r>
    </w:p>
    <w:p w14:paraId="240FB824" w14:textId="22FD78AA" w:rsidR="009E260D" w:rsidRDefault="009E260D" w:rsidP="00650284">
      <w:pPr>
        <w:spacing w:after="240"/>
        <w:ind w:left="560" w:hanging="560"/>
        <w:rPr>
          <w:highlight w:val="white"/>
        </w:rPr>
      </w:pPr>
      <w:r>
        <w:t>Tim. (2019). Relatório de sustentabilidade 2019. Recuperado em 30 julho, 2021, de https://www.tim.com.br/Portal_Conteudo/_staticfiles/sobre-a-tim/sustentabilidade/relatorio-de-sustentabilidade/relatorio_sustentabilidade_2019_versao_completa.pdf</w:t>
      </w:r>
    </w:p>
    <w:p w14:paraId="0A181100" w14:textId="77777777" w:rsidR="009E260D" w:rsidRPr="003C0CD4" w:rsidRDefault="009E260D" w:rsidP="00650284">
      <w:pPr>
        <w:spacing w:after="240"/>
        <w:ind w:left="560" w:hanging="560"/>
        <w:rPr>
          <w:highlight w:val="white"/>
          <w:lang w:val="en-US"/>
        </w:rPr>
      </w:pPr>
      <w:r w:rsidRPr="003C0CD4">
        <w:rPr>
          <w:highlight w:val="white"/>
          <w:lang w:val="en-US"/>
        </w:rPr>
        <w:t xml:space="preserve">Wolf, J. 2014. “The Relationship Between Sustainable Supply Chain Management, Stakeholder Pressure and Corporate Sustainability Performance.” </w:t>
      </w:r>
      <w:r w:rsidRPr="003C0CD4">
        <w:rPr>
          <w:i/>
          <w:highlight w:val="white"/>
          <w:lang w:val="en-US"/>
        </w:rPr>
        <w:t>Journal of Business Ethics, 119</w:t>
      </w:r>
      <w:r w:rsidRPr="003C0CD4">
        <w:rPr>
          <w:highlight w:val="white"/>
          <w:lang w:val="en-US"/>
        </w:rPr>
        <w:t>(3), 317–328. Doi: 10.1007/s10551-012-1603-0</w:t>
      </w:r>
    </w:p>
    <w:p w14:paraId="5850F142" w14:textId="77777777" w:rsidR="009E260D" w:rsidRPr="003C0CD4" w:rsidRDefault="009E260D" w:rsidP="00650284">
      <w:pPr>
        <w:spacing w:after="240"/>
        <w:ind w:left="560" w:hanging="560"/>
        <w:rPr>
          <w:highlight w:val="white"/>
          <w:lang w:val="en-US"/>
        </w:rPr>
      </w:pPr>
      <w:r w:rsidRPr="003C0CD4">
        <w:rPr>
          <w:highlight w:val="white"/>
          <w:lang w:val="en-US"/>
        </w:rPr>
        <w:t xml:space="preserve">Xu, L., Kumar, D.T., Shankar, K.M., Kannan, D., Chen, G., 2013. Analyzing criteria and sub-criteria for the corporate social responsibility-based supplier selection process using AHP. </w:t>
      </w:r>
      <w:r w:rsidRPr="003C0CD4">
        <w:rPr>
          <w:i/>
          <w:highlight w:val="white"/>
          <w:lang w:val="en-US"/>
        </w:rPr>
        <w:t>International Journal of Advanced Manufacturing Technology, 68</w:t>
      </w:r>
      <w:r w:rsidRPr="003C0CD4">
        <w:rPr>
          <w:highlight w:val="white"/>
          <w:lang w:val="en-US"/>
        </w:rPr>
        <w:t>(1), 907-916. Doi: 10.1007/s00170-013-4952-7</w:t>
      </w:r>
    </w:p>
    <w:p w14:paraId="34445D06" w14:textId="77777777" w:rsidR="009E260D" w:rsidRPr="003C0CD4" w:rsidRDefault="009E260D" w:rsidP="00650284">
      <w:pPr>
        <w:spacing w:after="240"/>
        <w:ind w:left="560" w:hanging="560"/>
        <w:rPr>
          <w:highlight w:val="white"/>
          <w:lang w:val="en-US"/>
        </w:rPr>
      </w:pPr>
      <w:r w:rsidRPr="003C0CD4">
        <w:rPr>
          <w:highlight w:val="white"/>
          <w:lang w:val="en-US"/>
        </w:rPr>
        <w:t xml:space="preserve">Yang, F., &amp; Zhang, X. (2017). The impact of sustainable supplier management practices on buyer-supplier performance: An empirical study in China. </w:t>
      </w:r>
      <w:r w:rsidRPr="003C0CD4">
        <w:rPr>
          <w:i/>
          <w:highlight w:val="white"/>
          <w:lang w:val="en-US"/>
        </w:rPr>
        <w:t>Review of International Business and Strategy, 27</w:t>
      </w:r>
      <w:r w:rsidRPr="003C0CD4">
        <w:rPr>
          <w:highlight w:val="white"/>
          <w:lang w:val="en-US"/>
        </w:rPr>
        <w:t>(1), 112.132. Doi: 10.1108/RIBS-08-2016-0043</w:t>
      </w:r>
    </w:p>
    <w:p w14:paraId="3DB1862C" w14:textId="77777777" w:rsidR="009E260D" w:rsidRPr="003C0CD4" w:rsidRDefault="009E260D" w:rsidP="00650284">
      <w:pPr>
        <w:spacing w:after="240"/>
        <w:ind w:left="560" w:hanging="560"/>
        <w:rPr>
          <w:highlight w:val="white"/>
          <w:lang w:val="en-US"/>
        </w:rPr>
      </w:pPr>
      <w:r w:rsidRPr="003C0CD4">
        <w:rPr>
          <w:highlight w:val="white"/>
          <w:lang w:val="en-US"/>
        </w:rPr>
        <w:t xml:space="preserve">Yazdani, M., </w:t>
      </w:r>
      <w:proofErr w:type="spellStart"/>
      <w:r w:rsidRPr="003C0CD4">
        <w:rPr>
          <w:highlight w:val="white"/>
          <w:lang w:val="en-US"/>
        </w:rPr>
        <w:t>Zolfani</w:t>
      </w:r>
      <w:proofErr w:type="spellEnd"/>
      <w:r w:rsidRPr="003C0CD4">
        <w:rPr>
          <w:highlight w:val="white"/>
          <w:lang w:val="en-US"/>
        </w:rPr>
        <w:t xml:space="preserve">, S. H., </w:t>
      </w:r>
      <w:proofErr w:type="spellStart"/>
      <w:r w:rsidRPr="003C0CD4">
        <w:rPr>
          <w:highlight w:val="white"/>
          <w:lang w:val="en-US"/>
        </w:rPr>
        <w:t>Zavadskas</w:t>
      </w:r>
      <w:proofErr w:type="spellEnd"/>
      <w:r w:rsidRPr="003C0CD4">
        <w:rPr>
          <w:highlight w:val="white"/>
          <w:lang w:val="en-US"/>
        </w:rPr>
        <w:t>, E.K., 2016. New integration of MCDM methods and QFD in the selection of green suppliers. J</w:t>
      </w:r>
      <w:r w:rsidRPr="003C0CD4">
        <w:rPr>
          <w:i/>
          <w:highlight w:val="white"/>
          <w:lang w:val="en-US"/>
        </w:rPr>
        <w:t>ournal of Business Economics &amp; Management, 17</w:t>
      </w:r>
      <w:r w:rsidRPr="003C0CD4">
        <w:rPr>
          <w:highlight w:val="white"/>
          <w:lang w:val="en-US"/>
        </w:rPr>
        <w:t>(6), 1-17. Doi: 10.3846/16111699.2016.1165282</w:t>
      </w:r>
    </w:p>
    <w:p w14:paraId="5E751B67" w14:textId="7674E504" w:rsidR="009E260D" w:rsidRDefault="009E260D" w:rsidP="00650284">
      <w:pPr>
        <w:spacing w:after="240"/>
        <w:ind w:left="560" w:hanging="560"/>
        <w:rPr>
          <w:highlight w:val="white"/>
        </w:rPr>
      </w:pPr>
      <w:r w:rsidRPr="003C0CD4">
        <w:rPr>
          <w:highlight w:val="white"/>
          <w:lang w:val="en-US"/>
        </w:rPr>
        <w:lastRenderedPageBreak/>
        <w:t xml:space="preserve">Zimmer, K., </w:t>
      </w:r>
      <w:proofErr w:type="spellStart"/>
      <w:r w:rsidRPr="003C0CD4">
        <w:rPr>
          <w:highlight w:val="white"/>
          <w:lang w:val="en-US"/>
        </w:rPr>
        <w:t>Fröhling</w:t>
      </w:r>
      <w:proofErr w:type="spellEnd"/>
      <w:r w:rsidRPr="003C0CD4">
        <w:rPr>
          <w:highlight w:val="white"/>
          <w:lang w:val="en-US"/>
        </w:rPr>
        <w:t xml:space="preserve">, M., &amp; </w:t>
      </w:r>
      <w:proofErr w:type="spellStart"/>
      <w:r w:rsidRPr="003C0CD4">
        <w:rPr>
          <w:highlight w:val="white"/>
          <w:lang w:val="en-US"/>
        </w:rPr>
        <w:t>Schultmann</w:t>
      </w:r>
      <w:proofErr w:type="spellEnd"/>
      <w:r w:rsidRPr="003C0CD4">
        <w:rPr>
          <w:highlight w:val="white"/>
          <w:lang w:val="en-US"/>
        </w:rPr>
        <w:t xml:space="preserve">, F. (2016). Sustainable supplier management–a review of models supporting sustainable supplier selection, monitoring and development. </w:t>
      </w:r>
      <w:proofErr w:type="spellStart"/>
      <w:r>
        <w:rPr>
          <w:i/>
          <w:highlight w:val="white"/>
        </w:rPr>
        <w:t>International</w:t>
      </w:r>
      <w:proofErr w:type="spellEnd"/>
      <w:r>
        <w:rPr>
          <w:i/>
          <w:highlight w:val="white"/>
        </w:rPr>
        <w:t xml:space="preserve"> </w:t>
      </w:r>
      <w:proofErr w:type="spellStart"/>
      <w:r>
        <w:rPr>
          <w:i/>
          <w:highlight w:val="white"/>
        </w:rPr>
        <w:t>Journal</w:t>
      </w:r>
      <w:proofErr w:type="spellEnd"/>
      <w:r>
        <w:rPr>
          <w:i/>
          <w:highlight w:val="white"/>
        </w:rPr>
        <w:t xml:space="preserve"> </w:t>
      </w:r>
      <w:proofErr w:type="spellStart"/>
      <w:r>
        <w:rPr>
          <w:i/>
          <w:highlight w:val="white"/>
        </w:rPr>
        <w:t>of</w:t>
      </w:r>
      <w:proofErr w:type="spellEnd"/>
      <w:r>
        <w:rPr>
          <w:i/>
          <w:highlight w:val="white"/>
        </w:rPr>
        <w:t xml:space="preserve"> </w:t>
      </w:r>
      <w:proofErr w:type="spellStart"/>
      <w:r>
        <w:rPr>
          <w:i/>
          <w:highlight w:val="white"/>
        </w:rPr>
        <w:t>Production</w:t>
      </w:r>
      <w:proofErr w:type="spellEnd"/>
      <w:r>
        <w:rPr>
          <w:i/>
          <w:highlight w:val="white"/>
        </w:rPr>
        <w:t xml:space="preserve"> </w:t>
      </w:r>
      <w:proofErr w:type="spellStart"/>
      <w:r>
        <w:rPr>
          <w:i/>
          <w:highlight w:val="white"/>
        </w:rPr>
        <w:t>Research</w:t>
      </w:r>
      <w:proofErr w:type="spellEnd"/>
      <w:r>
        <w:rPr>
          <w:i/>
          <w:highlight w:val="white"/>
        </w:rPr>
        <w:t>, 54</w:t>
      </w:r>
      <w:r>
        <w:rPr>
          <w:highlight w:val="white"/>
        </w:rPr>
        <w:t>(5), 1412-1442. Doi:10.1080/00207543.2015.1079340</w:t>
      </w:r>
    </w:p>
    <w:p w14:paraId="69A6D522" w14:textId="404B592F" w:rsidR="00426D4C" w:rsidRDefault="00426D4C" w:rsidP="00650284">
      <w:pPr>
        <w:spacing w:after="240"/>
        <w:ind w:left="560" w:hanging="560"/>
        <w:rPr>
          <w:highlight w:val="white"/>
        </w:rPr>
      </w:pPr>
    </w:p>
    <w:p w14:paraId="25A94621" w14:textId="69F42299" w:rsidR="00426D4C" w:rsidRDefault="00426D4C" w:rsidP="00650284">
      <w:pPr>
        <w:spacing w:after="240"/>
        <w:ind w:left="560" w:hanging="560"/>
        <w:rPr>
          <w:highlight w:val="white"/>
        </w:rPr>
      </w:pPr>
    </w:p>
    <w:p w14:paraId="55E033C7" w14:textId="152F3E39" w:rsidR="00426D4C" w:rsidRDefault="00426D4C" w:rsidP="00650284">
      <w:pPr>
        <w:spacing w:after="240"/>
        <w:ind w:left="560" w:hanging="560"/>
        <w:rPr>
          <w:highlight w:val="white"/>
        </w:rPr>
      </w:pPr>
    </w:p>
    <w:p w14:paraId="5072DDE2" w14:textId="61B70463" w:rsidR="00426D4C" w:rsidRDefault="00426D4C" w:rsidP="00650284">
      <w:pPr>
        <w:spacing w:after="240"/>
        <w:ind w:left="560" w:hanging="560"/>
        <w:rPr>
          <w:highlight w:val="white"/>
        </w:rPr>
      </w:pPr>
    </w:p>
    <w:p w14:paraId="06D3F7F1" w14:textId="0CDB8EBA" w:rsidR="00426D4C" w:rsidRDefault="00426D4C" w:rsidP="00650284">
      <w:pPr>
        <w:spacing w:after="240"/>
        <w:ind w:firstLine="0"/>
        <w:rPr>
          <w:highlight w:val="white"/>
        </w:rPr>
      </w:pPr>
    </w:p>
    <w:sectPr w:rsidR="00426D4C">
      <w:headerReference w:type="default" r:id="rId9"/>
      <w:footerReference w:type="default" r:id="rId10"/>
      <w:pgSz w:w="12240" w:h="15840"/>
      <w:pgMar w:top="1701" w:right="1134" w:bottom="1134" w:left="1701" w:header="14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5F4437" w14:textId="77777777" w:rsidR="00622E1A" w:rsidRDefault="00622E1A">
      <w:r>
        <w:separator/>
      </w:r>
    </w:p>
  </w:endnote>
  <w:endnote w:type="continuationSeparator" w:id="0">
    <w:p w14:paraId="53E25DCC" w14:textId="77777777" w:rsidR="00622E1A" w:rsidRDefault="00622E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3CC29" w14:textId="03D5F37F" w:rsidR="00A73C1E" w:rsidRDefault="00F2127F">
    <w:pPr>
      <w:pBdr>
        <w:top w:val="nil"/>
        <w:left w:val="nil"/>
        <w:bottom w:val="nil"/>
        <w:right w:val="nil"/>
        <w:between w:val="nil"/>
      </w:pBdr>
      <w:tabs>
        <w:tab w:val="center" w:pos="4419"/>
        <w:tab w:val="right" w:pos="8838"/>
      </w:tabs>
      <w:ind w:firstLine="0"/>
      <w:jc w:val="right"/>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9E260D">
      <w:rPr>
        <w:noProof/>
        <w:color w:val="000000"/>
        <w:sz w:val="20"/>
        <w:szCs w:val="20"/>
      </w:rPr>
      <w:t>1</w:t>
    </w:r>
    <w:r>
      <w:rPr>
        <w:color w:val="000000"/>
        <w:sz w:val="20"/>
        <w:szCs w:val="20"/>
      </w:rPr>
      <w:fldChar w:fldCharType="end"/>
    </w:r>
  </w:p>
  <w:p w14:paraId="528C1929" w14:textId="77777777" w:rsidR="00A73C1E" w:rsidRDefault="00A73C1E">
    <w:pPr>
      <w:pBdr>
        <w:top w:val="nil"/>
        <w:left w:val="nil"/>
        <w:bottom w:val="nil"/>
        <w:right w:val="nil"/>
        <w:between w:val="nil"/>
      </w:pBdr>
      <w:tabs>
        <w:tab w:val="center" w:pos="4419"/>
        <w:tab w:val="right" w:pos="8838"/>
      </w:tabs>
      <w:ind w:firstLine="0"/>
      <w:jc w:val="cen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E53513" w14:textId="77777777" w:rsidR="00622E1A" w:rsidRDefault="00622E1A">
      <w:r>
        <w:separator/>
      </w:r>
    </w:p>
  </w:footnote>
  <w:footnote w:type="continuationSeparator" w:id="0">
    <w:p w14:paraId="2D9703BB" w14:textId="77777777" w:rsidR="00622E1A" w:rsidRDefault="00622E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24164" w14:textId="434AA79E" w:rsidR="00A73C1E" w:rsidRDefault="00A73C1E">
    <w:pPr>
      <w:pBdr>
        <w:top w:val="nil"/>
        <w:left w:val="nil"/>
        <w:bottom w:val="nil"/>
        <w:right w:val="nil"/>
        <w:between w:val="nil"/>
      </w:pBdr>
      <w:tabs>
        <w:tab w:val="center" w:pos="4252"/>
        <w:tab w:val="right" w:pos="8504"/>
      </w:tabs>
      <w:ind w:firstLine="0"/>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542C7A"/>
    <w:multiLevelType w:val="hybridMultilevel"/>
    <w:tmpl w:val="20C0CCF0"/>
    <w:lvl w:ilvl="0" w:tplc="BE1252EC">
      <w:start w:val="1"/>
      <w:numFmt w:val="bullet"/>
      <w:lvlText w:val=""/>
      <w:lvlJc w:val="left"/>
      <w:pPr>
        <w:tabs>
          <w:tab w:val="num" w:pos="720"/>
        </w:tabs>
        <w:ind w:left="720" w:hanging="360"/>
      </w:pPr>
      <w:rPr>
        <w:rFonts w:ascii="Wingdings" w:hAnsi="Wingdings" w:hint="default"/>
      </w:rPr>
    </w:lvl>
    <w:lvl w:ilvl="1" w:tplc="885496E4" w:tentative="1">
      <w:start w:val="1"/>
      <w:numFmt w:val="bullet"/>
      <w:lvlText w:val=""/>
      <w:lvlJc w:val="left"/>
      <w:pPr>
        <w:tabs>
          <w:tab w:val="num" w:pos="1440"/>
        </w:tabs>
        <w:ind w:left="1440" w:hanging="360"/>
      </w:pPr>
      <w:rPr>
        <w:rFonts w:ascii="Wingdings" w:hAnsi="Wingdings" w:hint="default"/>
      </w:rPr>
    </w:lvl>
    <w:lvl w:ilvl="2" w:tplc="1F42B30C" w:tentative="1">
      <w:start w:val="1"/>
      <w:numFmt w:val="bullet"/>
      <w:lvlText w:val=""/>
      <w:lvlJc w:val="left"/>
      <w:pPr>
        <w:tabs>
          <w:tab w:val="num" w:pos="2160"/>
        </w:tabs>
        <w:ind w:left="2160" w:hanging="360"/>
      </w:pPr>
      <w:rPr>
        <w:rFonts w:ascii="Wingdings" w:hAnsi="Wingdings" w:hint="default"/>
      </w:rPr>
    </w:lvl>
    <w:lvl w:ilvl="3" w:tplc="3FD06DEA" w:tentative="1">
      <w:start w:val="1"/>
      <w:numFmt w:val="bullet"/>
      <w:lvlText w:val=""/>
      <w:lvlJc w:val="left"/>
      <w:pPr>
        <w:tabs>
          <w:tab w:val="num" w:pos="2880"/>
        </w:tabs>
        <w:ind w:left="2880" w:hanging="360"/>
      </w:pPr>
      <w:rPr>
        <w:rFonts w:ascii="Wingdings" w:hAnsi="Wingdings" w:hint="default"/>
      </w:rPr>
    </w:lvl>
    <w:lvl w:ilvl="4" w:tplc="0B1C7208" w:tentative="1">
      <w:start w:val="1"/>
      <w:numFmt w:val="bullet"/>
      <w:lvlText w:val=""/>
      <w:lvlJc w:val="left"/>
      <w:pPr>
        <w:tabs>
          <w:tab w:val="num" w:pos="3600"/>
        </w:tabs>
        <w:ind w:left="3600" w:hanging="360"/>
      </w:pPr>
      <w:rPr>
        <w:rFonts w:ascii="Wingdings" w:hAnsi="Wingdings" w:hint="default"/>
      </w:rPr>
    </w:lvl>
    <w:lvl w:ilvl="5" w:tplc="1590B1FE" w:tentative="1">
      <w:start w:val="1"/>
      <w:numFmt w:val="bullet"/>
      <w:lvlText w:val=""/>
      <w:lvlJc w:val="left"/>
      <w:pPr>
        <w:tabs>
          <w:tab w:val="num" w:pos="4320"/>
        </w:tabs>
        <w:ind w:left="4320" w:hanging="360"/>
      </w:pPr>
      <w:rPr>
        <w:rFonts w:ascii="Wingdings" w:hAnsi="Wingdings" w:hint="default"/>
      </w:rPr>
    </w:lvl>
    <w:lvl w:ilvl="6" w:tplc="FE76B5FC" w:tentative="1">
      <w:start w:val="1"/>
      <w:numFmt w:val="bullet"/>
      <w:lvlText w:val=""/>
      <w:lvlJc w:val="left"/>
      <w:pPr>
        <w:tabs>
          <w:tab w:val="num" w:pos="5040"/>
        </w:tabs>
        <w:ind w:left="5040" w:hanging="360"/>
      </w:pPr>
      <w:rPr>
        <w:rFonts w:ascii="Wingdings" w:hAnsi="Wingdings" w:hint="default"/>
      </w:rPr>
    </w:lvl>
    <w:lvl w:ilvl="7" w:tplc="12521F64" w:tentative="1">
      <w:start w:val="1"/>
      <w:numFmt w:val="bullet"/>
      <w:lvlText w:val=""/>
      <w:lvlJc w:val="left"/>
      <w:pPr>
        <w:tabs>
          <w:tab w:val="num" w:pos="5760"/>
        </w:tabs>
        <w:ind w:left="5760" w:hanging="360"/>
      </w:pPr>
      <w:rPr>
        <w:rFonts w:ascii="Wingdings" w:hAnsi="Wingdings" w:hint="default"/>
      </w:rPr>
    </w:lvl>
    <w:lvl w:ilvl="8" w:tplc="9C888A04"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1EA192A"/>
    <w:multiLevelType w:val="multilevel"/>
    <w:tmpl w:val="07604CA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31EB4939"/>
    <w:multiLevelType w:val="multilevel"/>
    <w:tmpl w:val="B784DB6E"/>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3" w15:restartNumberingAfterBreak="0">
    <w:nsid w:val="4FA5211E"/>
    <w:multiLevelType w:val="multilevel"/>
    <w:tmpl w:val="4EA45180"/>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760F70DA"/>
    <w:multiLevelType w:val="multilevel"/>
    <w:tmpl w:val="502C2DA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C1E"/>
    <w:rsid w:val="00005C71"/>
    <w:rsid w:val="00015AE8"/>
    <w:rsid w:val="00037D3B"/>
    <w:rsid w:val="0008492B"/>
    <w:rsid w:val="00090E0E"/>
    <w:rsid w:val="000A7479"/>
    <w:rsid w:val="000D0D14"/>
    <w:rsid w:val="000E2C18"/>
    <w:rsid w:val="001721A4"/>
    <w:rsid w:val="001A3463"/>
    <w:rsid w:val="001D50B8"/>
    <w:rsid w:val="001F2E12"/>
    <w:rsid w:val="00207713"/>
    <w:rsid w:val="002226DE"/>
    <w:rsid w:val="002430E2"/>
    <w:rsid w:val="00295963"/>
    <w:rsid w:val="002F0A1F"/>
    <w:rsid w:val="003619F4"/>
    <w:rsid w:val="00370CAC"/>
    <w:rsid w:val="00426D4C"/>
    <w:rsid w:val="00454805"/>
    <w:rsid w:val="004C5CB3"/>
    <w:rsid w:val="004C7B6B"/>
    <w:rsid w:val="004D559D"/>
    <w:rsid w:val="004E0AEB"/>
    <w:rsid w:val="004E3CFB"/>
    <w:rsid w:val="005103A5"/>
    <w:rsid w:val="005776DF"/>
    <w:rsid w:val="006048C8"/>
    <w:rsid w:val="00622E1A"/>
    <w:rsid w:val="00634332"/>
    <w:rsid w:val="00650284"/>
    <w:rsid w:val="006720C5"/>
    <w:rsid w:val="006940B3"/>
    <w:rsid w:val="00696FC1"/>
    <w:rsid w:val="006B7720"/>
    <w:rsid w:val="00724A8C"/>
    <w:rsid w:val="007378B2"/>
    <w:rsid w:val="00777554"/>
    <w:rsid w:val="007B1894"/>
    <w:rsid w:val="00825833"/>
    <w:rsid w:val="00860548"/>
    <w:rsid w:val="00880BE7"/>
    <w:rsid w:val="008C395D"/>
    <w:rsid w:val="008E4E31"/>
    <w:rsid w:val="008E647F"/>
    <w:rsid w:val="00971A56"/>
    <w:rsid w:val="009A29F2"/>
    <w:rsid w:val="009A5717"/>
    <w:rsid w:val="009E260D"/>
    <w:rsid w:val="00A22C4C"/>
    <w:rsid w:val="00A41F7E"/>
    <w:rsid w:val="00A436AC"/>
    <w:rsid w:val="00A45755"/>
    <w:rsid w:val="00A52F66"/>
    <w:rsid w:val="00A63F27"/>
    <w:rsid w:val="00A64D86"/>
    <w:rsid w:val="00A73C1E"/>
    <w:rsid w:val="00A93785"/>
    <w:rsid w:val="00AF22CA"/>
    <w:rsid w:val="00B636CF"/>
    <w:rsid w:val="00C02B51"/>
    <w:rsid w:val="00CB38B4"/>
    <w:rsid w:val="00CD72FF"/>
    <w:rsid w:val="00CF2C36"/>
    <w:rsid w:val="00D44BDB"/>
    <w:rsid w:val="00DA514D"/>
    <w:rsid w:val="00DE32D1"/>
    <w:rsid w:val="00E056A3"/>
    <w:rsid w:val="00E15E81"/>
    <w:rsid w:val="00E32A29"/>
    <w:rsid w:val="00EC6059"/>
    <w:rsid w:val="00EE4D2D"/>
    <w:rsid w:val="00F2127F"/>
    <w:rsid w:val="00F46CEB"/>
    <w:rsid w:val="00F51F55"/>
    <w:rsid w:val="00F53427"/>
    <w:rsid w:val="00F62780"/>
    <w:rsid w:val="00F7156A"/>
    <w:rsid w:val="00F817FC"/>
    <w:rsid w:val="00F90FA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BF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pt-BR" w:eastAsia="pt-BR" w:bidi="ar-SA"/>
      </w:rPr>
    </w:rPrDefault>
    <w:pPrDefault>
      <w:pPr>
        <w:widowControl w:val="0"/>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56D7"/>
    <w:pPr>
      <w:suppressLineNumbers/>
      <w:suppressAutoHyphens/>
    </w:pPr>
  </w:style>
  <w:style w:type="paragraph" w:styleId="Ttulo1">
    <w:name w:val="heading 1"/>
    <w:basedOn w:val="Normal"/>
    <w:next w:val="Normal"/>
    <w:link w:val="Ttulo1Char"/>
    <w:uiPriority w:val="9"/>
    <w:qFormat/>
    <w:rsid w:val="002056D7"/>
    <w:pPr>
      <w:keepNext/>
      <w:numPr>
        <w:numId w:val="4"/>
      </w:numPr>
      <w:spacing w:before="120" w:after="120"/>
      <w:ind w:left="431" w:hanging="431"/>
      <w:outlineLvl w:val="0"/>
    </w:pPr>
    <w:rPr>
      <w:b/>
      <w:sz w:val="22"/>
    </w:rPr>
  </w:style>
  <w:style w:type="paragraph" w:styleId="Ttulo2">
    <w:name w:val="heading 2"/>
    <w:basedOn w:val="Normal"/>
    <w:next w:val="Normal"/>
    <w:link w:val="Ttulo2Char"/>
    <w:uiPriority w:val="9"/>
    <w:semiHidden/>
    <w:unhideWhenUsed/>
    <w:qFormat/>
    <w:rsid w:val="002056D7"/>
    <w:pPr>
      <w:keepNext/>
      <w:numPr>
        <w:ilvl w:val="1"/>
        <w:numId w:val="4"/>
      </w:numPr>
      <w:outlineLvl w:val="1"/>
    </w:pPr>
    <w:rPr>
      <w:caps/>
    </w:rPr>
  </w:style>
  <w:style w:type="paragraph" w:styleId="Ttulo3">
    <w:name w:val="heading 3"/>
    <w:basedOn w:val="Normal"/>
    <w:next w:val="Normal"/>
    <w:link w:val="Ttulo3Char"/>
    <w:uiPriority w:val="9"/>
    <w:semiHidden/>
    <w:unhideWhenUsed/>
    <w:qFormat/>
    <w:rsid w:val="003F5071"/>
    <w:pPr>
      <w:keepNext/>
      <w:numPr>
        <w:ilvl w:val="2"/>
        <w:numId w:val="4"/>
      </w:numPr>
      <w:tabs>
        <w:tab w:val="left" w:pos="0"/>
      </w:tabs>
      <w:outlineLvl w:val="2"/>
    </w:pPr>
    <w:rPr>
      <w:b/>
      <w:sz w:val="22"/>
      <w:u w:val="single"/>
    </w:rPr>
  </w:style>
  <w:style w:type="paragraph" w:styleId="Ttulo4">
    <w:name w:val="heading 4"/>
    <w:basedOn w:val="Normal"/>
    <w:next w:val="Normal"/>
    <w:link w:val="Ttulo4Char"/>
    <w:uiPriority w:val="9"/>
    <w:semiHidden/>
    <w:unhideWhenUsed/>
    <w:qFormat/>
    <w:rsid w:val="003F5071"/>
    <w:pPr>
      <w:keepNext/>
      <w:numPr>
        <w:ilvl w:val="3"/>
        <w:numId w:val="4"/>
      </w:numPr>
      <w:outlineLvl w:val="3"/>
    </w:pPr>
    <w:rPr>
      <w:rFonts w:ascii="Arial" w:hAnsi="Arial"/>
    </w:rPr>
  </w:style>
  <w:style w:type="paragraph" w:styleId="Ttulo5">
    <w:name w:val="heading 5"/>
    <w:basedOn w:val="Normal"/>
    <w:next w:val="Normal"/>
    <w:link w:val="Ttulo5Char"/>
    <w:uiPriority w:val="9"/>
    <w:semiHidden/>
    <w:unhideWhenUsed/>
    <w:qFormat/>
    <w:rsid w:val="003F5071"/>
    <w:pPr>
      <w:keepNext/>
      <w:numPr>
        <w:ilvl w:val="4"/>
        <w:numId w:val="4"/>
      </w:numPr>
      <w:tabs>
        <w:tab w:val="left" w:pos="0"/>
      </w:tabs>
      <w:jc w:val="center"/>
      <w:outlineLvl w:val="4"/>
    </w:pPr>
    <w:rPr>
      <w:b/>
      <w:sz w:val="22"/>
    </w:rPr>
  </w:style>
  <w:style w:type="paragraph" w:styleId="Ttulo6">
    <w:name w:val="heading 6"/>
    <w:basedOn w:val="Normal"/>
    <w:next w:val="Normal"/>
    <w:link w:val="Ttulo6Char"/>
    <w:uiPriority w:val="9"/>
    <w:semiHidden/>
    <w:unhideWhenUsed/>
    <w:qFormat/>
    <w:rsid w:val="00E24E18"/>
    <w:pPr>
      <w:numPr>
        <w:ilvl w:val="5"/>
        <w:numId w:val="4"/>
      </w:numPr>
      <w:spacing w:before="240" w:after="60"/>
      <w:outlineLvl w:val="5"/>
    </w:pPr>
    <w:rPr>
      <w:rFonts w:ascii="Calibri" w:hAnsi="Calibri"/>
      <w:b/>
      <w:bCs/>
      <w:sz w:val="22"/>
      <w:szCs w:val="22"/>
      <w:lang w:eastAsia="en-US"/>
    </w:rPr>
  </w:style>
  <w:style w:type="paragraph" w:styleId="Ttulo7">
    <w:name w:val="heading 7"/>
    <w:basedOn w:val="Normal"/>
    <w:next w:val="Normal"/>
    <w:link w:val="Ttulo7Char"/>
    <w:uiPriority w:val="9"/>
    <w:semiHidden/>
    <w:unhideWhenUsed/>
    <w:qFormat/>
    <w:rsid w:val="00E24E18"/>
    <w:pPr>
      <w:numPr>
        <w:ilvl w:val="6"/>
        <w:numId w:val="4"/>
      </w:numPr>
      <w:spacing w:before="240" w:after="60"/>
      <w:outlineLvl w:val="6"/>
    </w:pPr>
    <w:rPr>
      <w:rFonts w:ascii="Calibri" w:hAnsi="Calibri"/>
      <w:lang w:eastAsia="en-US"/>
    </w:rPr>
  </w:style>
  <w:style w:type="paragraph" w:styleId="Ttulo8">
    <w:name w:val="heading 8"/>
    <w:basedOn w:val="Normal"/>
    <w:next w:val="Normal"/>
    <w:link w:val="Ttulo8Char"/>
    <w:uiPriority w:val="9"/>
    <w:semiHidden/>
    <w:unhideWhenUsed/>
    <w:qFormat/>
    <w:rsid w:val="00E24E18"/>
    <w:pPr>
      <w:numPr>
        <w:ilvl w:val="7"/>
        <w:numId w:val="4"/>
      </w:numPr>
      <w:spacing w:before="240" w:after="60"/>
      <w:outlineLvl w:val="7"/>
    </w:pPr>
    <w:rPr>
      <w:rFonts w:ascii="Calibri" w:hAnsi="Calibri"/>
      <w:i/>
      <w:iCs/>
      <w:lang w:eastAsia="en-US"/>
    </w:rPr>
  </w:style>
  <w:style w:type="paragraph" w:styleId="Ttulo9">
    <w:name w:val="heading 9"/>
    <w:basedOn w:val="Normal"/>
    <w:next w:val="Normal"/>
    <w:link w:val="Ttulo9Char"/>
    <w:uiPriority w:val="9"/>
    <w:semiHidden/>
    <w:unhideWhenUsed/>
    <w:qFormat/>
    <w:rsid w:val="00E24E18"/>
    <w:pPr>
      <w:numPr>
        <w:ilvl w:val="8"/>
        <w:numId w:val="4"/>
      </w:numPr>
      <w:spacing w:before="240" w:after="60"/>
      <w:outlineLvl w:val="8"/>
    </w:pPr>
    <w:rPr>
      <w:rFonts w:ascii="Cambria" w:hAnsi="Cambria"/>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Corpodetexto2">
    <w:name w:val="Body Text 2"/>
    <w:basedOn w:val="Normal"/>
    <w:semiHidden/>
    <w:rsid w:val="003F5071"/>
    <w:pPr>
      <w:tabs>
        <w:tab w:val="left" w:pos="0"/>
      </w:tabs>
    </w:pPr>
    <w:rPr>
      <w:sz w:val="22"/>
    </w:rPr>
  </w:style>
  <w:style w:type="paragraph" w:styleId="Rodap">
    <w:name w:val="footer"/>
    <w:basedOn w:val="Normal"/>
    <w:link w:val="RodapChar"/>
    <w:uiPriority w:val="99"/>
    <w:rsid w:val="003F5071"/>
    <w:pPr>
      <w:tabs>
        <w:tab w:val="center" w:pos="4419"/>
        <w:tab w:val="right" w:pos="8838"/>
      </w:tabs>
    </w:pPr>
  </w:style>
  <w:style w:type="character" w:styleId="Hyperlink">
    <w:name w:val="Hyperlink"/>
    <w:uiPriority w:val="99"/>
    <w:rsid w:val="003F5071"/>
    <w:rPr>
      <w:color w:val="0000FF"/>
      <w:u w:val="single"/>
    </w:rPr>
  </w:style>
  <w:style w:type="paragraph" w:styleId="Textodenotaderodap">
    <w:name w:val="footnote text"/>
    <w:basedOn w:val="Normal"/>
    <w:link w:val="TextodenotaderodapChar"/>
    <w:uiPriority w:val="99"/>
    <w:semiHidden/>
    <w:unhideWhenUsed/>
    <w:rsid w:val="005840EF"/>
  </w:style>
  <w:style w:type="character" w:customStyle="1" w:styleId="TextodenotaderodapChar">
    <w:name w:val="Texto de nota de rodapé Char"/>
    <w:basedOn w:val="Fontepargpadro"/>
    <w:link w:val="Textodenotaderodap"/>
    <w:uiPriority w:val="99"/>
    <w:semiHidden/>
    <w:rsid w:val="005840EF"/>
  </w:style>
  <w:style w:type="character" w:styleId="Refdenotaderodap">
    <w:name w:val="footnote reference"/>
    <w:uiPriority w:val="99"/>
    <w:semiHidden/>
    <w:unhideWhenUsed/>
    <w:rsid w:val="005840EF"/>
    <w:rPr>
      <w:vertAlign w:val="superscript"/>
    </w:rPr>
  </w:style>
  <w:style w:type="paragraph" w:styleId="Cabealho">
    <w:name w:val="header"/>
    <w:basedOn w:val="Normal"/>
    <w:link w:val="CabealhoChar"/>
    <w:uiPriority w:val="99"/>
    <w:unhideWhenUsed/>
    <w:rsid w:val="005D711E"/>
    <w:pPr>
      <w:tabs>
        <w:tab w:val="center" w:pos="4252"/>
        <w:tab w:val="right" w:pos="8504"/>
      </w:tabs>
    </w:pPr>
  </w:style>
  <w:style w:type="character" w:customStyle="1" w:styleId="CabealhoChar">
    <w:name w:val="Cabeçalho Char"/>
    <w:basedOn w:val="Fontepargpadro"/>
    <w:link w:val="Cabealho"/>
    <w:uiPriority w:val="99"/>
    <w:rsid w:val="005D711E"/>
  </w:style>
  <w:style w:type="character" w:customStyle="1" w:styleId="RodapChar">
    <w:name w:val="Rodapé Char"/>
    <w:link w:val="Rodap"/>
    <w:uiPriority w:val="99"/>
    <w:rsid w:val="005D711E"/>
    <w:rPr>
      <w:sz w:val="24"/>
      <w:szCs w:val="24"/>
    </w:rPr>
  </w:style>
  <w:style w:type="paragraph" w:styleId="Textodebalo">
    <w:name w:val="Balloon Text"/>
    <w:basedOn w:val="Normal"/>
    <w:link w:val="TextodebaloChar"/>
    <w:uiPriority w:val="99"/>
    <w:semiHidden/>
    <w:unhideWhenUsed/>
    <w:rsid w:val="005D711E"/>
    <w:rPr>
      <w:rFonts w:ascii="Tahoma" w:hAnsi="Tahoma"/>
      <w:sz w:val="16"/>
      <w:szCs w:val="16"/>
    </w:rPr>
  </w:style>
  <w:style w:type="character" w:customStyle="1" w:styleId="TextodebaloChar">
    <w:name w:val="Texto de balão Char"/>
    <w:link w:val="Textodebalo"/>
    <w:uiPriority w:val="99"/>
    <w:semiHidden/>
    <w:rsid w:val="005D711E"/>
    <w:rPr>
      <w:rFonts w:ascii="Tahoma" w:hAnsi="Tahoma" w:cs="Tahoma"/>
      <w:sz w:val="16"/>
      <w:szCs w:val="16"/>
    </w:rPr>
  </w:style>
  <w:style w:type="character" w:styleId="Forte">
    <w:name w:val="Strong"/>
    <w:uiPriority w:val="22"/>
    <w:qFormat/>
    <w:rsid w:val="009B11E7"/>
    <w:rPr>
      <w:b/>
      <w:bCs/>
    </w:rPr>
  </w:style>
  <w:style w:type="character" w:customStyle="1" w:styleId="Ttulo1Char">
    <w:name w:val="Título 1 Char"/>
    <w:link w:val="Ttulo1"/>
    <w:uiPriority w:val="9"/>
    <w:rsid w:val="002056D7"/>
    <w:rPr>
      <w:b/>
      <w:sz w:val="22"/>
    </w:rPr>
  </w:style>
  <w:style w:type="character" w:customStyle="1" w:styleId="apple-converted-space">
    <w:name w:val="apple-converted-space"/>
    <w:rsid w:val="000720BF"/>
  </w:style>
  <w:style w:type="character" w:customStyle="1" w:styleId="Ttulo6Char">
    <w:name w:val="Título 6 Char"/>
    <w:link w:val="Ttulo6"/>
    <w:uiPriority w:val="9"/>
    <w:semiHidden/>
    <w:rsid w:val="00E24E18"/>
    <w:rPr>
      <w:rFonts w:ascii="Calibri" w:hAnsi="Calibri"/>
      <w:b/>
      <w:bCs/>
      <w:sz w:val="22"/>
      <w:szCs w:val="22"/>
      <w:lang w:eastAsia="en-US"/>
    </w:rPr>
  </w:style>
  <w:style w:type="character" w:customStyle="1" w:styleId="Ttulo7Char">
    <w:name w:val="Título 7 Char"/>
    <w:link w:val="Ttulo7"/>
    <w:uiPriority w:val="9"/>
    <w:semiHidden/>
    <w:rsid w:val="00E24E18"/>
    <w:rPr>
      <w:rFonts w:ascii="Calibri" w:hAnsi="Calibri"/>
      <w:sz w:val="24"/>
      <w:szCs w:val="24"/>
      <w:lang w:eastAsia="en-US"/>
    </w:rPr>
  </w:style>
  <w:style w:type="character" w:customStyle="1" w:styleId="Ttulo8Char">
    <w:name w:val="Título 8 Char"/>
    <w:link w:val="Ttulo8"/>
    <w:uiPriority w:val="9"/>
    <w:semiHidden/>
    <w:rsid w:val="00E24E18"/>
    <w:rPr>
      <w:rFonts w:ascii="Calibri" w:hAnsi="Calibri"/>
      <w:i/>
      <w:iCs/>
      <w:sz w:val="24"/>
      <w:szCs w:val="24"/>
      <w:lang w:eastAsia="en-US"/>
    </w:rPr>
  </w:style>
  <w:style w:type="character" w:customStyle="1" w:styleId="Ttulo9Char">
    <w:name w:val="Título 9 Char"/>
    <w:link w:val="Ttulo9"/>
    <w:uiPriority w:val="9"/>
    <w:semiHidden/>
    <w:rsid w:val="00E24E18"/>
    <w:rPr>
      <w:rFonts w:ascii="Cambria" w:hAnsi="Cambria"/>
      <w:sz w:val="22"/>
      <w:szCs w:val="22"/>
      <w:lang w:eastAsia="en-US"/>
    </w:rPr>
  </w:style>
  <w:style w:type="table" w:customStyle="1" w:styleId="Tabelacomgrade1">
    <w:name w:val="Tabela com grade1"/>
    <w:basedOn w:val="Tabelanormal"/>
    <w:next w:val="Tabelacomgrade"/>
    <w:uiPriority w:val="59"/>
    <w:rsid w:val="00E24E18"/>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elacomgrade">
    <w:name w:val="Table Grid"/>
    <w:basedOn w:val="Tabelanormal"/>
    <w:uiPriority w:val="59"/>
    <w:rsid w:val="00E24E1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har">
    <w:name w:val="Título 2 Char"/>
    <w:link w:val="Ttulo2"/>
    <w:uiPriority w:val="9"/>
    <w:rsid w:val="002056D7"/>
    <w:rPr>
      <w:caps/>
      <w:sz w:val="24"/>
    </w:rPr>
  </w:style>
  <w:style w:type="character" w:customStyle="1" w:styleId="Ttulo3Char">
    <w:name w:val="Título 3 Char"/>
    <w:link w:val="Ttulo3"/>
    <w:uiPriority w:val="9"/>
    <w:rsid w:val="00E24E18"/>
    <w:rPr>
      <w:b/>
      <w:sz w:val="22"/>
      <w:u w:val="single"/>
    </w:rPr>
  </w:style>
  <w:style w:type="character" w:customStyle="1" w:styleId="Ttulo4Char">
    <w:name w:val="Título 4 Char"/>
    <w:link w:val="Ttulo4"/>
    <w:uiPriority w:val="9"/>
    <w:rsid w:val="00E24E18"/>
    <w:rPr>
      <w:rFonts w:ascii="Arial" w:hAnsi="Arial" w:cs="Arial"/>
      <w:sz w:val="24"/>
      <w:szCs w:val="24"/>
    </w:rPr>
  </w:style>
  <w:style w:type="character" w:customStyle="1" w:styleId="Ttulo5Char">
    <w:name w:val="Título 5 Char"/>
    <w:link w:val="Ttulo5"/>
    <w:uiPriority w:val="9"/>
    <w:rsid w:val="00E24E18"/>
    <w:rPr>
      <w:b/>
      <w:sz w:val="22"/>
    </w:rPr>
  </w:style>
  <w:style w:type="paragraph" w:styleId="Legenda">
    <w:name w:val="caption"/>
    <w:basedOn w:val="Normal"/>
    <w:next w:val="Normal"/>
    <w:uiPriority w:val="35"/>
    <w:unhideWhenUsed/>
    <w:qFormat/>
    <w:rsid w:val="00E24E18"/>
    <w:pPr>
      <w:ind w:firstLine="567"/>
    </w:pPr>
    <w:rPr>
      <w:rFonts w:eastAsia="Calibri"/>
      <w:b/>
      <w:bCs/>
    </w:rPr>
  </w:style>
  <w:style w:type="paragraph" w:styleId="NormalWeb">
    <w:name w:val="Normal (Web)"/>
    <w:basedOn w:val="Normal"/>
    <w:uiPriority w:val="99"/>
    <w:unhideWhenUsed/>
    <w:rsid w:val="00E24E18"/>
    <w:pPr>
      <w:spacing w:before="100" w:beforeAutospacing="1" w:after="100" w:afterAutospacing="1"/>
    </w:pPr>
  </w:style>
  <w:style w:type="table" w:customStyle="1" w:styleId="SombreamentoClaro1">
    <w:name w:val="Sombreamento Claro1"/>
    <w:basedOn w:val="Tabelanormal"/>
    <w:uiPriority w:val="60"/>
    <w:rsid w:val="00E24E18"/>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Refdecomentrio">
    <w:name w:val="annotation reference"/>
    <w:uiPriority w:val="99"/>
    <w:semiHidden/>
    <w:unhideWhenUsed/>
    <w:rsid w:val="00E24E18"/>
    <w:rPr>
      <w:sz w:val="16"/>
      <w:szCs w:val="16"/>
    </w:rPr>
  </w:style>
  <w:style w:type="paragraph" w:styleId="Textodecomentrio">
    <w:name w:val="annotation text"/>
    <w:basedOn w:val="Normal"/>
    <w:link w:val="TextodecomentrioChar"/>
    <w:uiPriority w:val="99"/>
    <w:semiHidden/>
    <w:unhideWhenUsed/>
    <w:rsid w:val="00E24E18"/>
    <w:pPr>
      <w:ind w:firstLine="567"/>
    </w:pPr>
    <w:rPr>
      <w:rFonts w:eastAsia="Calibri"/>
      <w:sz w:val="20"/>
    </w:rPr>
  </w:style>
  <w:style w:type="character" w:customStyle="1" w:styleId="TextodecomentrioChar">
    <w:name w:val="Texto de comentário Char"/>
    <w:link w:val="Textodecomentrio"/>
    <w:uiPriority w:val="99"/>
    <w:semiHidden/>
    <w:rsid w:val="00E24E18"/>
    <w:rPr>
      <w:rFonts w:eastAsia="Calibri"/>
    </w:rPr>
  </w:style>
  <w:style w:type="paragraph" w:styleId="Assuntodocomentrio">
    <w:name w:val="annotation subject"/>
    <w:basedOn w:val="Textodecomentrio"/>
    <w:next w:val="Textodecomentrio"/>
    <w:link w:val="AssuntodocomentrioChar"/>
    <w:uiPriority w:val="99"/>
    <w:semiHidden/>
    <w:unhideWhenUsed/>
    <w:rsid w:val="00E24E18"/>
    <w:rPr>
      <w:b/>
      <w:bCs/>
    </w:rPr>
  </w:style>
  <w:style w:type="character" w:customStyle="1" w:styleId="AssuntodocomentrioChar">
    <w:name w:val="Assunto do comentário Char"/>
    <w:link w:val="Assuntodocomentrio"/>
    <w:uiPriority w:val="99"/>
    <w:semiHidden/>
    <w:rsid w:val="00E24E18"/>
    <w:rPr>
      <w:rFonts w:eastAsia="Calibri"/>
      <w:b/>
      <w:bCs/>
    </w:rPr>
  </w:style>
  <w:style w:type="paragraph" w:styleId="SemEspaamento">
    <w:name w:val="No Spacing"/>
    <w:uiPriority w:val="1"/>
    <w:qFormat/>
    <w:rsid w:val="00E24E18"/>
  </w:style>
  <w:style w:type="paragraph" w:styleId="PargrafodaLista">
    <w:name w:val="List Paragraph"/>
    <w:basedOn w:val="Normal"/>
    <w:uiPriority w:val="34"/>
    <w:qFormat/>
    <w:rsid w:val="008875D5"/>
    <w:pPr>
      <w:ind w:left="720"/>
      <w:contextualSpacing/>
    </w:p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MenoPendente">
    <w:name w:val="Unresolved Mention"/>
    <w:basedOn w:val="Fontepargpadro"/>
    <w:uiPriority w:val="99"/>
    <w:semiHidden/>
    <w:unhideWhenUsed/>
    <w:rsid w:val="007775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0823877">
      <w:bodyDiv w:val="1"/>
      <w:marLeft w:val="0"/>
      <w:marRight w:val="0"/>
      <w:marTop w:val="0"/>
      <w:marBottom w:val="0"/>
      <w:divBdr>
        <w:top w:val="none" w:sz="0" w:space="0" w:color="auto"/>
        <w:left w:val="none" w:sz="0" w:space="0" w:color="auto"/>
        <w:bottom w:val="none" w:sz="0" w:space="0" w:color="auto"/>
        <w:right w:val="none" w:sz="0" w:space="0" w:color="auto"/>
      </w:divBdr>
      <w:divsChild>
        <w:div w:id="709453545">
          <w:marLeft w:val="0"/>
          <w:marRight w:val="0"/>
          <w:marTop w:val="0"/>
          <w:marBottom w:val="0"/>
          <w:divBdr>
            <w:top w:val="none" w:sz="0" w:space="0" w:color="auto"/>
            <w:left w:val="none" w:sz="0" w:space="0" w:color="auto"/>
            <w:bottom w:val="none" w:sz="0" w:space="0" w:color="auto"/>
            <w:right w:val="none" w:sz="0" w:space="0" w:color="auto"/>
          </w:divBdr>
        </w:div>
      </w:divsChild>
    </w:div>
    <w:div w:id="1530332901">
      <w:bodyDiv w:val="1"/>
      <w:marLeft w:val="0"/>
      <w:marRight w:val="0"/>
      <w:marTop w:val="0"/>
      <w:marBottom w:val="0"/>
      <w:divBdr>
        <w:top w:val="none" w:sz="0" w:space="0" w:color="auto"/>
        <w:left w:val="none" w:sz="0" w:space="0" w:color="auto"/>
        <w:bottom w:val="none" w:sz="0" w:space="0" w:color="auto"/>
        <w:right w:val="none" w:sz="0" w:space="0" w:color="auto"/>
      </w:divBdr>
      <w:divsChild>
        <w:div w:id="1042822528">
          <w:marLeft w:val="720"/>
          <w:marRight w:val="0"/>
          <w:marTop w:val="0"/>
          <w:marBottom w:val="360"/>
          <w:divBdr>
            <w:top w:val="none" w:sz="0" w:space="0" w:color="auto"/>
            <w:left w:val="none" w:sz="0" w:space="0" w:color="auto"/>
            <w:bottom w:val="none" w:sz="0" w:space="0" w:color="auto"/>
            <w:right w:val="none" w:sz="0" w:space="0" w:color="auto"/>
          </w:divBdr>
        </w:div>
        <w:div w:id="1520002061">
          <w:marLeft w:val="720"/>
          <w:marRight w:val="0"/>
          <w:marTop w:val="0"/>
          <w:marBottom w:val="360"/>
          <w:divBdr>
            <w:top w:val="none" w:sz="0" w:space="0" w:color="auto"/>
            <w:left w:val="none" w:sz="0" w:space="0" w:color="auto"/>
            <w:bottom w:val="none" w:sz="0" w:space="0" w:color="auto"/>
            <w:right w:val="none" w:sz="0" w:space="0" w:color="auto"/>
          </w:divBdr>
        </w:div>
      </w:divsChild>
    </w:div>
    <w:div w:id="1555190368">
      <w:bodyDiv w:val="1"/>
      <w:marLeft w:val="0"/>
      <w:marRight w:val="0"/>
      <w:marTop w:val="0"/>
      <w:marBottom w:val="0"/>
      <w:divBdr>
        <w:top w:val="none" w:sz="0" w:space="0" w:color="auto"/>
        <w:left w:val="none" w:sz="0" w:space="0" w:color="auto"/>
        <w:bottom w:val="none" w:sz="0" w:space="0" w:color="auto"/>
        <w:right w:val="none" w:sz="0" w:space="0" w:color="auto"/>
      </w:divBdr>
      <w:divsChild>
        <w:div w:id="28069311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Q5aKNUZmGqxM5WdXfTd8T2uwA0w==">AMUW2mXD9+ILT/usj7GE04M1cg2zrB3MXVbFbCNTdOliTPHTKSdXMtN2IDnSH2+tnKlN62he1DNOApVugfRBH3kMwvBbKxKfQQdw1PKF3kgjtQZEItuDy+0=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8251</Words>
  <Characters>44560</Characters>
  <Application>Microsoft Office Word</Application>
  <DocSecurity>0</DocSecurity>
  <Lines>371</Lines>
  <Paragraphs>105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2022-04-01T13:22:00Z</dcterms:created>
  <dcterms:modified xsi:type="dcterms:W3CDTF">2022-04-01T13:22:00Z</dcterms:modified>
</cp:coreProperties>
</file>